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8C" w:rsidRPr="00777EDD" w:rsidRDefault="009F6182" w:rsidP="00AC278C">
      <w:pPr>
        <w:rPr>
          <w:rFonts w:ascii="Times New Roman" w:hAnsi="Times New Roman" w:cs="Times New Roman"/>
          <w:sz w:val="24"/>
          <w:szCs w:val="24"/>
        </w:rPr>
      </w:pPr>
      <w:r w:rsidRPr="00777E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88DD6" wp14:editId="333603FD">
                <wp:simplePos x="0" y="0"/>
                <wp:positionH relativeFrom="column">
                  <wp:posOffset>-10795</wp:posOffset>
                </wp:positionH>
                <wp:positionV relativeFrom="paragraph">
                  <wp:posOffset>-120015</wp:posOffset>
                </wp:positionV>
                <wp:extent cx="9062085" cy="5322570"/>
                <wp:effectExtent l="0" t="0" r="2476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2085" cy="532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85pt;margin-top:-9.45pt;width:713.55pt;height:41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" fillcolor="window" strokecolor="windowText" strokeweight=".25pt"/>
            </w:pict>
          </mc:Fallback>
        </mc:AlternateContent>
      </w:r>
      <w:r w:rsidR="004C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669204" wp14:editId="57FC95B8">
            <wp:extent cx="7757295" cy="496778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y4revision_da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5"/>
                    <a:stretch/>
                  </pic:blipFill>
                  <pic:spPr bwMode="auto">
                    <a:xfrm>
                      <a:off x="0" y="0"/>
                      <a:ext cx="7764105" cy="4972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915" cy="1971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803" cy="198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82" w:rsidRDefault="009F6182" w:rsidP="0010344A">
      <w:pPr>
        <w:spacing w:line="240" w:lineRule="auto"/>
        <w:contextualSpacing/>
        <w:rPr>
          <w:rFonts w:ascii="Times New Roman" w:hAnsi="Times New Roman" w:cs="Times New Roman"/>
          <w:b/>
          <w:sz w:val="19"/>
          <w:szCs w:val="19"/>
        </w:rPr>
      </w:pPr>
    </w:p>
    <w:p w:rsidR="006218C0" w:rsidRDefault="00AC278C" w:rsidP="0010344A">
      <w:pPr>
        <w:spacing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777EDD">
        <w:rPr>
          <w:rFonts w:ascii="Times New Roman" w:hAnsi="Times New Roman" w:cs="Times New Roman"/>
          <w:b/>
          <w:sz w:val="19"/>
          <w:szCs w:val="19"/>
        </w:rPr>
        <w:t>Supplemental Figure 1</w:t>
      </w:r>
      <w:r w:rsidRPr="00777EDD">
        <w:rPr>
          <w:rFonts w:ascii="Times New Roman" w:hAnsi="Times New Roman" w:cs="Times New Roman"/>
          <w:sz w:val="19"/>
          <w:szCs w:val="19"/>
        </w:rPr>
        <w:t>: Theoretical framework for the association between diet quality an</w:t>
      </w:r>
      <w:r w:rsidR="00DF725A">
        <w:rPr>
          <w:rFonts w:ascii="Times New Roman" w:hAnsi="Times New Roman" w:cs="Times New Roman"/>
          <w:sz w:val="19"/>
          <w:szCs w:val="19"/>
        </w:rPr>
        <w:t xml:space="preserve">d depressive symptoms for women </w:t>
      </w:r>
      <w:r w:rsidRPr="00777EDD">
        <w:rPr>
          <w:rFonts w:ascii="Times New Roman" w:hAnsi="Times New Roman" w:cs="Times New Roman"/>
          <w:sz w:val="19"/>
          <w:szCs w:val="19"/>
        </w:rPr>
        <w:t xml:space="preserve">in the 1946-51 </w:t>
      </w:r>
      <w:proofErr w:type="gramStart"/>
      <w:r w:rsidRPr="00777EDD">
        <w:rPr>
          <w:rFonts w:ascii="Times New Roman" w:hAnsi="Times New Roman" w:cs="Times New Roman"/>
          <w:sz w:val="19"/>
          <w:szCs w:val="19"/>
        </w:rPr>
        <w:t>cohort</w:t>
      </w:r>
      <w:proofErr w:type="gramEnd"/>
      <w:r w:rsidRPr="00777EDD">
        <w:rPr>
          <w:rFonts w:ascii="Times New Roman" w:hAnsi="Times New Roman" w:cs="Times New Roman"/>
          <w:sz w:val="19"/>
          <w:szCs w:val="19"/>
        </w:rPr>
        <w:t xml:space="preserve"> of the Australian Longitudinal Study on Women’s Health. Diet quality (diet) was summarised using the Australian Recommended Food Score. Depressive symptoms were measured using the 10-item Centre for Epidemiologic Studies Depression Scale (CESD). Confounding variables were: socioeconomic (SES) indicators which include area of residence, average household income, marital status, and education; health behaviour (</w:t>
      </w:r>
      <w:proofErr w:type="spellStart"/>
      <w:r w:rsidRPr="00777EDD">
        <w:rPr>
          <w:rFonts w:ascii="Times New Roman" w:hAnsi="Times New Roman" w:cs="Times New Roman"/>
          <w:sz w:val="19"/>
          <w:szCs w:val="19"/>
        </w:rPr>
        <w:t>healthbehaviour</w:t>
      </w:r>
      <w:proofErr w:type="spellEnd"/>
      <w:r w:rsidRPr="00777EDD">
        <w:rPr>
          <w:rFonts w:ascii="Times New Roman" w:hAnsi="Times New Roman" w:cs="Times New Roman"/>
          <w:sz w:val="19"/>
          <w:szCs w:val="19"/>
        </w:rPr>
        <w:t>) indicators which include physical activity and smoking status; self-reported physician diagnosis of depression (</w:t>
      </w:r>
      <w:proofErr w:type="spellStart"/>
      <w:r w:rsidRPr="00777EDD">
        <w:rPr>
          <w:rFonts w:ascii="Times New Roman" w:hAnsi="Times New Roman" w:cs="Times New Roman"/>
          <w:sz w:val="19"/>
          <w:szCs w:val="19"/>
        </w:rPr>
        <w:t>clindepress</w:t>
      </w:r>
      <w:proofErr w:type="spellEnd"/>
      <w:r w:rsidRPr="00777EDD">
        <w:rPr>
          <w:rFonts w:ascii="Times New Roman" w:hAnsi="Times New Roman" w:cs="Times New Roman"/>
          <w:sz w:val="19"/>
          <w:szCs w:val="19"/>
        </w:rPr>
        <w:t xml:space="preserve">) and use of antidepressants (meds).  </w:t>
      </w:r>
      <w:r w:rsidR="00747AD6" w:rsidRPr="00747AD6">
        <w:rPr>
          <w:rFonts w:ascii="Times New Roman" w:hAnsi="Times New Roman" w:cs="Times New Roman"/>
          <w:sz w:val="19"/>
          <w:szCs w:val="19"/>
        </w:rPr>
        <w:t xml:space="preserve">BMI, diabetes </w:t>
      </w:r>
      <w:r w:rsidR="004C07C8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="004C07C8">
        <w:rPr>
          <w:rFonts w:ascii="Times New Roman" w:hAnsi="Times New Roman" w:cs="Times New Roman"/>
          <w:sz w:val="19"/>
          <w:szCs w:val="19"/>
        </w:rPr>
        <w:t>diab</w:t>
      </w:r>
      <w:proofErr w:type="spellEnd"/>
      <w:r w:rsidR="004C07C8">
        <w:rPr>
          <w:rFonts w:ascii="Times New Roman" w:hAnsi="Times New Roman" w:cs="Times New Roman"/>
          <w:sz w:val="19"/>
          <w:szCs w:val="19"/>
        </w:rPr>
        <w:t xml:space="preserve">) </w:t>
      </w:r>
      <w:r w:rsidR="00747AD6" w:rsidRPr="00747AD6">
        <w:rPr>
          <w:rFonts w:ascii="Times New Roman" w:hAnsi="Times New Roman" w:cs="Times New Roman"/>
          <w:sz w:val="19"/>
          <w:szCs w:val="19"/>
        </w:rPr>
        <w:t>and cardiovascular disease (CVD) were mediators and not adjusted for in statistical analyses. Numbers represent survey wave.</w:t>
      </w:r>
    </w:p>
    <w:p w:rsidR="00FC29D5" w:rsidRDefault="00FC29D5" w:rsidP="0010344A">
      <w:pPr>
        <w:spacing w:line="240" w:lineRule="auto"/>
        <w:contextualSpacing/>
        <w:sectPr w:rsidR="00FC29D5" w:rsidSect="00FC29D5">
          <w:headerReference w:type="default" r:id="rId10"/>
          <w:pgSz w:w="16838" w:h="11906" w:orient="landscape"/>
          <w:pgMar w:top="1134" w:right="1134" w:bottom="1134" w:left="1134" w:header="454" w:footer="708" w:gutter="0"/>
          <w:cols w:space="708"/>
          <w:docGrid w:linePitch="360"/>
        </w:sectPr>
      </w:pPr>
    </w:p>
    <w:p w:rsidR="00FC29D5" w:rsidRDefault="00FC29D5" w:rsidP="0010344A">
      <w:pPr>
        <w:spacing w:line="240" w:lineRule="auto"/>
        <w:contextualSpacing/>
      </w:pPr>
    </w:p>
    <w:p w:rsidR="009819FA" w:rsidRPr="00CA3299" w:rsidRDefault="009819FA" w:rsidP="009819FA">
      <w:pPr>
        <w:snapToGrid w:val="0"/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 w:rsidRPr="000E334D">
        <w:rPr>
          <w:rFonts w:ascii="Times New Roman" w:hAnsi="Times New Roman" w:cs="Times New Roman"/>
          <w:b/>
          <w:sz w:val="20"/>
          <w:szCs w:val="20"/>
        </w:rPr>
        <w:t xml:space="preserve">Supplemental Table 1: </w:t>
      </w:r>
      <w:r w:rsidRPr="000E334D">
        <w:rPr>
          <w:rFonts w:ascii="Times New Roman" w:hAnsi="Times New Roman" w:cs="Times New Roman"/>
          <w:sz w:val="20"/>
          <w:szCs w:val="20"/>
        </w:rPr>
        <w:t>Associations between diet quality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0E334D">
        <w:rPr>
          <w:rFonts w:ascii="Times New Roman" w:hAnsi="Times New Roman" w:cs="Times New Roman"/>
          <w:sz w:val="20"/>
          <w:szCs w:val="20"/>
        </w:rPr>
        <w:t xml:space="preserve"> quintiles and depressive symptoms for women in the 1946-51 cohort of the Australian Longitudinal Study on Women’s Health (n=11046</w:t>
      </w:r>
      <w:proofErr w:type="gramStart"/>
      <w:r w:rsidRPr="00CA3299">
        <w:rPr>
          <w:rFonts w:ascii="Times New Roman" w:hAnsi="Times New Roman" w:cs="Times New Roman"/>
          <w:sz w:val="20"/>
          <w:szCs w:val="20"/>
        </w:rPr>
        <w:t>)</w:t>
      </w:r>
      <w:r w:rsidRPr="00CA3299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proofErr w:type="gramEnd"/>
      <w:r w:rsidRPr="00CA3299">
        <w:rPr>
          <w:rFonts w:ascii="Times New Roman" w:hAnsi="Times New Roman" w:cs="Times New Roman"/>
          <w:sz w:val="20"/>
          <w:szCs w:val="20"/>
          <w:vertAlign w:val="superscript"/>
        </w:rPr>
        <w:t>, 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707"/>
        <w:gridCol w:w="684"/>
        <w:gridCol w:w="1163"/>
        <w:gridCol w:w="709"/>
        <w:gridCol w:w="1134"/>
        <w:gridCol w:w="709"/>
        <w:gridCol w:w="1134"/>
        <w:gridCol w:w="708"/>
        <w:gridCol w:w="1148"/>
        <w:gridCol w:w="660"/>
      </w:tblGrid>
      <w:tr w:rsidR="009819FA" w:rsidRPr="00DC4019" w:rsidTr="00D53B51">
        <w:trPr>
          <w:trHeight w:val="437"/>
        </w:trPr>
        <w:tc>
          <w:tcPr>
            <w:tcW w:w="1098" w:type="dxa"/>
            <w:vAlign w:val="center"/>
          </w:tcPr>
          <w:p w:rsidR="009819FA" w:rsidRPr="00DC4019" w:rsidRDefault="009819FA" w:rsidP="00D53B5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7" w:type="dxa"/>
            <w:vAlign w:val="center"/>
          </w:tcPr>
          <w:p w:rsidR="009819FA" w:rsidRPr="00DC4019" w:rsidRDefault="009819FA" w:rsidP="00D53B51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  <w:vertAlign w:val="superscript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9819FA" w:rsidRPr="00DC4019" w:rsidRDefault="009819FA" w:rsidP="00D53B5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Q2</w:t>
            </w:r>
          </w:p>
        </w:tc>
        <w:tc>
          <w:tcPr>
            <w:tcW w:w="1843" w:type="dxa"/>
            <w:gridSpan w:val="2"/>
            <w:vAlign w:val="center"/>
          </w:tcPr>
          <w:p w:rsidR="009819FA" w:rsidRPr="00DC4019" w:rsidRDefault="009819FA" w:rsidP="00D53B5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Q3</w:t>
            </w:r>
          </w:p>
        </w:tc>
        <w:tc>
          <w:tcPr>
            <w:tcW w:w="1843" w:type="dxa"/>
            <w:gridSpan w:val="2"/>
            <w:vAlign w:val="center"/>
          </w:tcPr>
          <w:p w:rsidR="009819FA" w:rsidRPr="00DC4019" w:rsidRDefault="009819FA" w:rsidP="00D53B5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Q4</w:t>
            </w:r>
          </w:p>
        </w:tc>
        <w:tc>
          <w:tcPr>
            <w:tcW w:w="1856" w:type="dxa"/>
            <w:gridSpan w:val="2"/>
            <w:vAlign w:val="center"/>
          </w:tcPr>
          <w:p w:rsidR="009819FA" w:rsidRPr="00DC4019" w:rsidRDefault="009819FA" w:rsidP="00D53B5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Q5</w:t>
            </w:r>
          </w:p>
        </w:tc>
        <w:tc>
          <w:tcPr>
            <w:tcW w:w="0" w:type="auto"/>
          </w:tcPr>
          <w:p w:rsidR="009819FA" w:rsidRPr="00DC4019" w:rsidRDefault="009819FA" w:rsidP="00D53B51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</w:tr>
      <w:tr w:rsidR="009819FA" w:rsidRPr="00DC4019" w:rsidTr="00D53B51">
        <w:trPr>
          <w:trHeight w:val="437"/>
        </w:trPr>
        <w:tc>
          <w:tcPr>
            <w:tcW w:w="1098" w:type="dxa"/>
          </w:tcPr>
          <w:p w:rsidR="009819FA" w:rsidRPr="00DC4019" w:rsidRDefault="009819FA" w:rsidP="00D53B5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7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6671B">
              <w:rPr>
                <w:rFonts w:ascii="Times New Roman" w:hAnsi="Times New Roman" w:cs="Times New Roman"/>
                <w:i/>
                <w:sz w:val="19"/>
                <w:szCs w:val="19"/>
              </w:rPr>
              <w:t>n</w:t>
            </w:r>
            <w:r w:rsidRPr="00CA3299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§</w:t>
            </w:r>
          </w:p>
        </w:tc>
        <w:tc>
          <w:tcPr>
            <w:tcW w:w="684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6671B">
              <w:rPr>
                <w:rFonts w:ascii="Times New Roman" w:hAnsi="Times New Roman" w:cs="Times New Roman"/>
                <w:i/>
                <w:sz w:val="19"/>
                <w:szCs w:val="19"/>
              </w:rPr>
              <w:t>β</w:t>
            </w:r>
          </w:p>
        </w:tc>
        <w:tc>
          <w:tcPr>
            <w:tcW w:w="1163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709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6671B">
              <w:rPr>
                <w:rFonts w:ascii="Times New Roman" w:hAnsi="Times New Roman" w:cs="Times New Roman"/>
                <w:i/>
                <w:sz w:val="19"/>
                <w:szCs w:val="19"/>
              </w:rPr>
              <w:t>β</w:t>
            </w:r>
          </w:p>
        </w:tc>
        <w:tc>
          <w:tcPr>
            <w:tcW w:w="1134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709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6671B">
              <w:rPr>
                <w:rFonts w:ascii="Times New Roman" w:hAnsi="Times New Roman" w:cs="Times New Roman"/>
                <w:i/>
                <w:sz w:val="19"/>
                <w:szCs w:val="19"/>
              </w:rPr>
              <w:t>β</w:t>
            </w:r>
          </w:p>
        </w:tc>
        <w:tc>
          <w:tcPr>
            <w:tcW w:w="1134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708" w:type="dxa"/>
            <w:vAlign w:val="center"/>
          </w:tcPr>
          <w:p w:rsidR="009819FA" w:rsidRPr="0026671B" w:rsidRDefault="009819FA" w:rsidP="00D53B51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6671B">
              <w:rPr>
                <w:rFonts w:ascii="Times New Roman" w:hAnsi="Times New Roman" w:cs="Times New Roman"/>
                <w:i/>
                <w:sz w:val="19"/>
                <w:szCs w:val="19"/>
              </w:rPr>
              <w:t>β</w:t>
            </w:r>
          </w:p>
        </w:tc>
        <w:tc>
          <w:tcPr>
            <w:tcW w:w="1148" w:type="dxa"/>
            <w:vAlign w:val="center"/>
          </w:tcPr>
          <w:p w:rsidR="009819FA" w:rsidRDefault="009819FA" w:rsidP="00D53B51">
            <w:pPr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95% CI</w:t>
            </w:r>
          </w:p>
        </w:tc>
        <w:tc>
          <w:tcPr>
            <w:tcW w:w="0" w:type="auto"/>
            <w:vAlign w:val="center"/>
          </w:tcPr>
          <w:p w:rsidR="009819FA" w:rsidRPr="0026671B" w:rsidRDefault="009819FA" w:rsidP="00D53B51">
            <w:pPr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6671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 </w:t>
            </w:r>
            <w:r w:rsidRPr="0026671B">
              <w:rPr>
                <w:rFonts w:ascii="Times New Roman" w:hAnsi="Times New Roman" w:cs="Times New Roman"/>
                <w:sz w:val="19"/>
                <w:szCs w:val="19"/>
              </w:rPr>
              <w:t>trend</w:t>
            </w:r>
          </w:p>
        </w:tc>
      </w:tr>
      <w:tr w:rsidR="009819FA" w:rsidRPr="00DC4019" w:rsidTr="00D53B51">
        <w:trPr>
          <w:trHeight w:val="437"/>
        </w:trPr>
        <w:tc>
          <w:tcPr>
            <w:tcW w:w="1098" w:type="dxa"/>
          </w:tcPr>
          <w:p w:rsidR="009819FA" w:rsidRPr="00DC4019" w:rsidRDefault="009819FA" w:rsidP="00D53B5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Model 1 - Univariate </w:t>
            </w:r>
          </w:p>
        </w:tc>
        <w:tc>
          <w:tcPr>
            <w:tcW w:w="707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11046</w:t>
            </w:r>
          </w:p>
        </w:tc>
        <w:tc>
          <w:tcPr>
            <w:tcW w:w="68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-0.80 </w:t>
            </w:r>
          </w:p>
        </w:tc>
        <w:tc>
          <w:tcPr>
            <w:tcW w:w="1163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-0.96, -0.64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-1.18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-1.34, -1.02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-1.45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-1.61, -1.29</w:t>
            </w:r>
          </w:p>
        </w:tc>
        <w:tc>
          <w:tcPr>
            <w:tcW w:w="708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-1.70 </w:t>
            </w:r>
          </w:p>
        </w:tc>
        <w:tc>
          <w:tcPr>
            <w:tcW w:w="1148" w:type="dxa"/>
            <w:vAlign w:val="center"/>
          </w:tcPr>
          <w:p w:rsidR="009819FA" w:rsidRPr="00DC4019" w:rsidRDefault="009819FA" w:rsidP="00D53B51">
            <w:pPr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-1.87, -1.56</w:t>
            </w:r>
          </w:p>
        </w:tc>
        <w:tc>
          <w:tcPr>
            <w:tcW w:w="0" w:type="auto"/>
            <w:vAlign w:val="center"/>
          </w:tcPr>
          <w:p w:rsidR="009819FA" w:rsidRPr="00DC4019" w:rsidRDefault="009819FA" w:rsidP="00D53B51">
            <w:pPr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0.001</w:t>
            </w:r>
          </w:p>
        </w:tc>
      </w:tr>
      <w:tr w:rsidR="009819FA" w:rsidRPr="00DC4019" w:rsidTr="00D53B51">
        <w:trPr>
          <w:trHeight w:val="227"/>
        </w:trPr>
        <w:tc>
          <w:tcPr>
            <w:tcW w:w="1098" w:type="dxa"/>
          </w:tcPr>
          <w:p w:rsidR="009819FA" w:rsidRPr="00DC4019" w:rsidRDefault="009819FA" w:rsidP="00D53B5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Model 2</w:t>
            </w:r>
          </w:p>
        </w:tc>
        <w:tc>
          <w:tcPr>
            <w:tcW w:w="707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9710</w:t>
            </w:r>
          </w:p>
        </w:tc>
        <w:tc>
          <w:tcPr>
            <w:tcW w:w="68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-0.69 </w:t>
            </w:r>
          </w:p>
        </w:tc>
        <w:tc>
          <w:tcPr>
            <w:tcW w:w="1163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-0.87, 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0.52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-0.96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-1.14, -0.78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-1.24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-1.42, -1.06</w:t>
            </w:r>
          </w:p>
        </w:tc>
        <w:tc>
          <w:tcPr>
            <w:tcW w:w="708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-1.52 </w:t>
            </w:r>
          </w:p>
        </w:tc>
        <w:tc>
          <w:tcPr>
            <w:tcW w:w="1148" w:type="dxa"/>
            <w:vAlign w:val="center"/>
          </w:tcPr>
          <w:p w:rsidR="009819FA" w:rsidRPr="00DC4019" w:rsidRDefault="009819FA" w:rsidP="00D53B51">
            <w:pPr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-1.71, -1.34</w:t>
            </w:r>
          </w:p>
        </w:tc>
        <w:tc>
          <w:tcPr>
            <w:tcW w:w="0" w:type="auto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0.001</w:t>
            </w:r>
          </w:p>
        </w:tc>
      </w:tr>
      <w:tr w:rsidR="009819FA" w:rsidRPr="00DC4019" w:rsidTr="00D53B51">
        <w:trPr>
          <w:trHeight w:val="227"/>
        </w:trPr>
        <w:tc>
          <w:tcPr>
            <w:tcW w:w="1098" w:type="dxa"/>
          </w:tcPr>
          <w:p w:rsidR="009819FA" w:rsidRPr="00DC4019" w:rsidRDefault="009819FA" w:rsidP="00D53B5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Model 3</w:t>
            </w:r>
          </w:p>
        </w:tc>
        <w:tc>
          <w:tcPr>
            <w:tcW w:w="707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9656</w:t>
            </w:r>
          </w:p>
        </w:tc>
        <w:tc>
          <w:tcPr>
            <w:tcW w:w="68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-0.51 </w:t>
            </w:r>
          </w:p>
        </w:tc>
        <w:tc>
          <w:tcPr>
            <w:tcW w:w="1163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-0.69, -0.33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-0.68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-0.87, -0.50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-0.90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-1.09, -0.72</w:t>
            </w:r>
          </w:p>
        </w:tc>
        <w:tc>
          <w:tcPr>
            <w:tcW w:w="708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-1.13 </w:t>
            </w:r>
          </w:p>
        </w:tc>
        <w:tc>
          <w:tcPr>
            <w:tcW w:w="1148" w:type="dxa"/>
            <w:vAlign w:val="center"/>
          </w:tcPr>
          <w:p w:rsidR="009819FA" w:rsidRPr="00DC4019" w:rsidRDefault="009819FA" w:rsidP="00D53B51">
            <w:pPr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-1.32, -0.94</w:t>
            </w:r>
          </w:p>
        </w:tc>
        <w:tc>
          <w:tcPr>
            <w:tcW w:w="0" w:type="auto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0.001</w:t>
            </w:r>
          </w:p>
        </w:tc>
      </w:tr>
      <w:tr w:rsidR="009819FA" w:rsidRPr="00DC4019" w:rsidTr="00D53B51">
        <w:trPr>
          <w:trHeight w:val="227"/>
        </w:trPr>
        <w:tc>
          <w:tcPr>
            <w:tcW w:w="1098" w:type="dxa"/>
          </w:tcPr>
          <w:p w:rsidR="009819FA" w:rsidRPr="00DC4019" w:rsidRDefault="009819FA" w:rsidP="00D53B5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b/>
                <w:sz w:val="19"/>
                <w:szCs w:val="19"/>
              </w:rPr>
              <w:t>Model 4</w:t>
            </w:r>
          </w:p>
        </w:tc>
        <w:tc>
          <w:tcPr>
            <w:tcW w:w="707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9647</w:t>
            </w:r>
          </w:p>
        </w:tc>
        <w:tc>
          <w:tcPr>
            <w:tcW w:w="68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-0.44 </w:t>
            </w:r>
          </w:p>
        </w:tc>
        <w:tc>
          <w:tcPr>
            <w:tcW w:w="1163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-0.61, -0.27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-0.60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-0.78, -0.42</w:t>
            </w:r>
          </w:p>
        </w:tc>
        <w:tc>
          <w:tcPr>
            <w:tcW w:w="709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-0.81 </w:t>
            </w:r>
          </w:p>
        </w:tc>
        <w:tc>
          <w:tcPr>
            <w:tcW w:w="1134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-0.98, -0.63</w:t>
            </w:r>
          </w:p>
        </w:tc>
        <w:tc>
          <w:tcPr>
            <w:tcW w:w="708" w:type="dxa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 xml:space="preserve">-1.01 </w:t>
            </w:r>
          </w:p>
        </w:tc>
        <w:tc>
          <w:tcPr>
            <w:tcW w:w="1148" w:type="dxa"/>
            <w:vAlign w:val="center"/>
          </w:tcPr>
          <w:p w:rsidR="009819FA" w:rsidRPr="00DC4019" w:rsidRDefault="009819FA" w:rsidP="00D53B51">
            <w:pPr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-1.19, -0.83</w:t>
            </w:r>
          </w:p>
        </w:tc>
        <w:tc>
          <w:tcPr>
            <w:tcW w:w="0" w:type="auto"/>
            <w:vAlign w:val="center"/>
          </w:tcPr>
          <w:p w:rsidR="009819FA" w:rsidRPr="00DC4019" w:rsidRDefault="009819FA" w:rsidP="00D53B51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DC4019">
              <w:rPr>
                <w:rFonts w:ascii="Times New Roman" w:hAnsi="Times New Roman" w:cs="Times New Roman"/>
                <w:sz w:val="19"/>
                <w:szCs w:val="19"/>
              </w:rPr>
              <w:t>0.001</w:t>
            </w:r>
          </w:p>
        </w:tc>
      </w:tr>
    </w:tbl>
    <w:p w:rsidR="009819FA" w:rsidRPr="000E334D" w:rsidRDefault="009819FA" w:rsidP="009819FA">
      <w:pPr>
        <w:contextualSpacing/>
        <w:rPr>
          <w:rFonts w:ascii="Times New Roman" w:hAnsi="Times New Roman" w:cs="Times New Roman"/>
          <w:sz w:val="20"/>
          <w:szCs w:val="20"/>
        </w:rPr>
      </w:pPr>
      <w:r w:rsidRPr="00CA329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0E334D">
        <w:rPr>
          <w:rFonts w:ascii="Times New Roman" w:hAnsi="Times New Roman" w:cs="Times New Roman"/>
          <w:sz w:val="20"/>
          <w:szCs w:val="20"/>
        </w:rPr>
        <w:t xml:space="preserve"> Summarised by the Australian Recommended Food Score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6899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0E334D">
        <w:rPr>
          <w:rFonts w:ascii="Times New Roman" w:hAnsi="Times New Roman" w:cs="Times New Roman"/>
          <w:sz w:val="20"/>
          <w:szCs w:val="20"/>
        </w:rPr>
        <w:t xml:space="preserve"> as time-independent variable.  </w:t>
      </w:r>
    </w:p>
    <w:p w:rsidR="009819FA" w:rsidRPr="000E334D" w:rsidRDefault="009819FA" w:rsidP="009819FA">
      <w:pPr>
        <w:contextualSpacing/>
        <w:rPr>
          <w:rFonts w:ascii="Times New Roman" w:hAnsi="Times New Roman" w:cs="Times New Roman"/>
          <w:sz w:val="20"/>
          <w:szCs w:val="20"/>
        </w:rPr>
      </w:pPr>
      <w:r w:rsidRPr="00CA3299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Pr="000E334D">
        <w:rPr>
          <w:rFonts w:ascii="Times New Roman" w:hAnsi="Times New Roman" w:cs="Times New Roman"/>
          <w:sz w:val="20"/>
          <w:szCs w:val="20"/>
        </w:rPr>
        <w:t xml:space="preserve"> Model 1 was the univariate analysis including only diet quality and depressive symptoms. Model 2 was adjusted for indicators of socioeconomic status: area of residence, marital status, average household income, and education. Model 3 was adjusted as for model 2 and for smoking status and physical activity as time-independent variable. Model 4 was adjusted as for model 3 and self-reported physician diagnosis of depression and use of antidepressants.</w:t>
      </w:r>
    </w:p>
    <w:p w:rsidR="009819FA" w:rsidRPr="000E334D" w:rsidRDefault="009819FA" w:rsidP="009819F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 w:rsidRPr="000E334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E334D">
        <w:rPr>
          <w:rFonts w:ascii="Times New Roman" w:hAnsi="Times New Roman" w:cs="Times New Roman"/>
          <w:sz w:val="20"/>
          <w:szCs w:val="20"/>
        </w:rPr>
        <w:t xml:space="preserve">Coefficients and 95% CI for depressive symptoms in each diet quality quintiles compared to the lowest quintile. </w:t>
      </w:r>
    </w:p>
    <w:p w:rsidR="009819FA" w:rsidRPr="000E334D" w:rsidRDefault="009819FA" w:rsidP="009819F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 w:rsidRPr="000E334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E334D">
        <w:rPr>
          <w:rFonts w:ascii="Times New Roman" w:hAnsi="Times New Roman" w:cs="Times New Roman"/>
          <w:sz w:val="20"/>
          <w:szCs w:val="20"/>
        </w:rPr>
        <w:t>Number of participants varies because of missing data for the covariates.</w:t>
      </w:r>
    </w:p>
    <w:p w:rsidR="009819FA" w:rsidRDefault="009819FA" w:rsidP="009819FA"/>
    <w:p w:rsidR="009819FA" w:rsidRPr="00476899" w:rsidRDefault="009819FA" w:rsidP="009819FA">
      <w:pPr>
        <w:rPr>
          <w:rFonts w:ascii="Times New Roman" w:hAnsi="Times New Roman" w:cs="Times New Roman"/>
          <w:b/>
          <w:sz w:val="20"/>
          <w:szCs w:val="20"/>
        </w:rPr>
      </w:pPr>
      <w:r w:rsidRPr="00476899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9819FA" w:rsidRPr="00616D13" w:rsidRDefault="009819FA" w:rsidP="009819FA">
      <w:pPr>
        <w:pStyle w:val="EndNoteBibliography"/>
        <w:numPr>
          <w:ilvl w:val="0"/>
          <w:numId w:val="1"/>
        </w:numPr>
        <w:spacing w:after="0"/>
        <w:rPr>
          <w:sz w:val="20"/>
          <w:szCs w:val="20"/>
        </w:rPr>
      </w:pPr>
      <w:r w:rsidRPr="00616D13">
        <w:rPr>
          <w:sz w:val="20"/>
          <w:szCs w:val="20"/>
        </w:rPr>
        <w:t xml:space="preserve">Collins CE, Young AF, Hodge A (2008) Diet Quality Is Associated with Higher Nutrient Intake and Self-Rated Health in Mid-Aged Women. </w:t>
      </w:r>
      <w:r w:rsidRPr="00616D13">
        <w:rPr>
          <w:i/>
          <w:sz w:val="20"/>
          <w:szCs w:val="20"/>
        </w:rPr>
        <w:t>J Am Coll Nutr</w:t>
      </w:r>
      <w:r w:rsidRPr="00616D13">
        <w:rPr>
          <w:sz w:val="20"/>
          <w:szCs w:val="20"/>
        </w:rPr>
        <w:t xml:space="preserve"> </w:t>
      </w:r>
      <w:r w:rsidRPr="00616D13">
        <w:rPr>
          <w:b/>
          <w:sz w:val="20"/>
          <w:szCs w:val="20"/>
        </w:rPr>
        <w:t>27</w:t>
      </w:r>
      <w:r w:rsidRPr="00616D13">
        <w:rPr>
          <w:sz w:val="20"/>
          <w:szCs w:val="20"/>
        </w:rPr>
        <w:t>, 146-157.</w:t>
      </w:r>
    </w:p>
    <w:p w:rsidR="009819FA" w:rsidRDefault="009819FA" w:rsidP="009819FA"/>
    <w:p w:rsidR="009819FA" w:rsidRDefault="009819FA" w:rsidP="0010344A">
      <w:pPr>
        <w:spacing w:line="240" w:lineRule="auto"/>
        <w:contextualSpacing/>
      </w:pPr>
      <w:bookmarkStart w:id="0" w:name="_GoBack"/>
      <w:bookmarkEnd w:id="0"/>
    </w:p>
    <w:sectPr w:rsidR="009819FA" w:rsidSect="00FC29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3A" w:rsidRDefault="00943D3A">
      <w:pPr>
        <w:spacing w:after="0" w:line="240" w:lineRule="auto"/>
      </w:pPr>
      <w:r>
        <w:separator/>
      </w:r>
    </w:p>
  </w:endnote>
  <w:endnote w:type="continuationSeparator" w:id="0">
    <w:p w:rsidR="00943D3A" w:rsidRDefault="009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3A" w:rsidRDefault="00943D3A">
      <w:pPr>
        <w:spacing w:after="0" w:line="240" w:lineRule="auto"/>
      </w:pPr>
      <w:r>
        <w:separator/>
      </w:r>
    </w:p>
  </w:footnote>
  <w:footnote w:type="continuationSeparator" w:id="0">
    <w:p w:rsidR="00943D3A" w:rsidRDefault="009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D5" w:rsidRDefault="00FC29D5">
    <w:pPr>
      <w:pStyle w:val="Header"/>
    </w:pPr>
    <w:r>
      <w:t>Longitudinal diet quality is not associated with depressive symptoms in a cohort of mid-aged Australian women (Online Supplementary Material)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4BA9"/>
    <w:multiLevelType w:val="hybridMultilevel"/>
    <w:tmpl w:val="C58AE2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8C"/>
    <w:rsid w:val="0010344A"/>
    <w:rsid w:val="004C07C8"/>
    <w:rsid w:val="006218C0"/>
    <w:rsid w:val="00656397"/>
    <w:rsid w:val="00682754"/>
    <w:rsid w:val="00747AD6"/>
    <w:rsid w:val="00943D3A"/>
    <w:rsid w:val="009819FA"/>
    <w:rsid w:val="009963D6"/>
    <w:rsid w:val="009F6182"/>
    <w:rsid w:val="00AC278C"/>
    <w:rsid w:val="00DF725A"/>
    <w:rsid w:val="00F60ECF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AC278C"/>
    <w:pPr>
      <w:spacing w:line="36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C278C"/>
    <w:rPr>
      <w:rFonts w:ascii="Times New Roman" w:hAnsi="Times New Roman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AC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8C"/>
  </w:style>
  <w:style w:type="paragraph" w:styleId="Footer">
    <w:name w:val="footer"/>
    <w:basedOn w:val="Normal"/>
    <w:link w:val="FooterChar"/>
    <w:uiPriority w:val="99"/>
    <w:unhideWhenUsed/>
    <w:rsid w:val="0010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4A"/>
  </w:style>
  <w:style w:type="paragraph" w:styleId="BalloonText">
    <w:name w:val="Balloon Text"/>
    <w:basedOn w:val="Normal"/>
    <w:link w:val="BalloonTextChar"/>
    <w:uiPriority w:val="99"/>
    <w:semiHidden/>
    <w:unhideWhenUsed/>
    <w:rsid w:val="004C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AC278C"/>
    <w:pPr>
      <w:spacing w:line="36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C278C"/>
    <w:rPr>
      <w:rFonts w:ascii="Times New Roman" w:hAnsi="Times New Roman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AC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8C"/>
  </w:style>
  <w:style w:type="paragraph" w:styleId="Footer">
    <w:name w:val="footer"/>
    <w:basedOn w:val="Normal"/>
    <w:link w:val="FooterChar"/>
    <w:uiPriority w:val="99"/>
    <w:unhideWhenUsed/>
    <w:rsid w:val="0010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4A"/>
  </w:style>
  <w:style w:type="paragraph" w:styleId="BalloonText">
    <w:name w:val="Balloon Text"/>
    <w:basedOn w:val="Normal"/>
    <w:link w:val="BalloonTextChar"/>
    <w:uiPriority w:val="99"/>
    <w:semiHidden/>
    <w:unhideWhenUsed/>
    <w:rsid w:val="004C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Lai</dc:creator>
  <cp:lastModifiedBy>Jun Lai</cp:lastModifiedBy>
  <cp:revision>3</cp:revision>
  <dcterms:created xsi:type="dcterms:W3CDTF">2015-11-26T02:44:00Z</dcterms:created>
  <dcterms:modified xsi:type="dcterms:W3CDTF">2015-11-26T02:45:00Z</dcterms:modified>
</cp:coreProperties>
</file>