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A6" w:rsidRDefault="007778A6" w:rsidP="00202999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ONLINE SUPPLEMENTAL MATERIAL</w:t>
      </w:r>
    </w:p>
    <w:p w:rsidR="007778A6" w:rsidRDefault="007778A6" w:rsidP="00202999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</w:p>
    <w:p w:rsidR="00843C1E" w:rsidRPr="007D6B2C" w:rsidRDefault="00DF643B" w:rsidP="00202999">
      <w:pPr>
        <w:spacing w:line="48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Supplemental </w:t>
      </w:r>
      <w:r w:rsidR="00843C1E" w:rsidRPr="007D6B2C">
        <w:rPr>
          <w:rFonts w:ascii="Arial" w:hAnsi="Arial" w:cs="Arial"/>
          <w:sz w:val="24"/>
          <w:szCs w:val="24"/>
          <w:lang w:val="en-US"/>
        </w:rPr>
        <w:t xml:space="preserve">Table </w:t>
      </w:r>
      <w:r w:rsidR="002B710A" w:rsidRPr="007D6B2C">
        <w:rPr>
          <w:rFonts w:ascii="Arial" w:hAnsi="Arial" w:cs="Arial"/>
          <w:sz w:val="24"/>
          <w:szCs w:val="24"/>
          <w:lang w:val="en-US"/>
        </w:rPr>
        <w:t>1</w:t>
      </w:r>
      <w:r w:rsidR="00843C1E" w:rsidRPr="007D6B2C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843C1E" w:rsidRPr="007D6B2C">
        <w:rPr>
          <w:rFonts w:ascii="Arial" w:hAnsi="Arial" w:cs="Arial"/>
          <w:sz w:val="24"/>
          <w:szCs w:val="24"/>
          <w:lang w:val="en-US"/>
        </w:rPr>
        <w:t xml:space="preserve"> Average fasting plasma parameters </w:t>
      </w:r>
      <w:r w:rsidR="00843C1E" w:rsidRPr="007D6B2C">
        <w:rPr>
          <w:rFonts w:ascii="Arial" w:hAnsi="Arial" w:cs="Arial"/>
          <w:sz w:val="24"/>
          <w:szCs w:val="24"/>
        </w:rPr>
        <w:t>of mice fed different IMF diets and challenged with a WSD from PN42 till P</w:t>
      </w:r>
      <w:r w:rsidR="00FC7195" w:rsidRPr="007D6B2C">
        <w:rPr>
          <w:rFonts w:ascii="Arial" w:hAnsi="Arial" w:cs="Arial"/>
          <w:sz w:val="24"/>
          <w:szCs w:val="24"/>
        </w:rPr>
        <w:t>N</w:t>
      </w:r>
      <w:r w:rsidR="00843C1E" w:rsidRPr="007D6B2C">
        <w:rPr>
          <w:rFonts w:ascii="Arial" w:hAnsi="Arial" w:cs="Arial"/>
          <w:sz w:val="24"/>
          <w:szCs w:val="24"/>
        </w:rPr>
        <w:t>98</w:t>
      </w:r>
    </w:p>
    <w:p w:rsidR="00D513C6" w:rsidRDefault="00D513C6" w:rsidP="00E92315">
      <w:pPr>
        <w:ind w:firstLine="0"/>
        <w:rPr>
          <w:sz w:val="22"/>
          <w:szCs w:val="22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84"/>
        <w:gridCol w:w="335"/>
        <w:gridCol w:w="1376"/>
        <w:gridCol w:w="1449"/>
        <w:gridCol w:w="1643"/>
        <w:gridCol w:w="1559"/>
        <w:gridCol w:w="1418"/>
      </w:tblGrid>
      <w:tr w:rsidR="00894E20" w:rsidRPr="00D513C6" w:rsidTr="00894E20">
        <w:trPr>
          <w:trHeight w:val="490"/>
        </w:trPr>
        <w:tc>
          <w:tcPr>
            <w:tcW w:w="2019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6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913CC3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94E2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coating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894E2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coating</w:t>
            </w:r>
          </w:p>
        </w:tc>
      </w:tr>
      <w:tr w:rsidR="00894E20" w:rsidRPr="00D513C6" w:rsidTr="00894E20">
        <w:trPr>
          <w:trHeight w:val="31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PN98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E20" w:rsidRPr="00D513C6" w:rsidTr="00894E20">
        <w:trPr>
          <w:trHeight w:val="300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Lipids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Total cholesterol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3.6   ± 0.2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3.1    ± 0.3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3.2    ± 0.3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3.1 ± 0.2</w:t>
            </w:r>
          </w:p>
        </w:tc>
      </w:tr>
      <w:tr w:rsidR="00894E20" w:rsidRPr="00D513C6" w:rsidTr="00894E20">
        <w:trPr>
          <w:trHeight w:val="34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Triglycerides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0.8   ± 0.1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51352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0.7   </w:t>
            </w:r>
            <w:r w:rsidR="003A1B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0.0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0.6    ± 0.1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0.8 ± 0.1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</w:tr>
      <w:tr w:rsidR="00894E20" w:rsidRPr="00D513C6" w:rsidTr="00894E20">
        <w:trPr>
          <w:trHeight w:val="34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HDL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/L)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1.9   ± 0.1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1.6    ± 0.2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1.6    ± 0.2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r w:rsidRPr="00894E20">
              <w:rPr>
                <w:rFonts w:ascii="Arial" w:hAnsi="Arial" w:cs="Arial"/>
                <w:sz w:val="24"/>
                <w:szCs w:val="24"/>
              </w:rPr>
              <w:t>± 0.1</w:t>
            </w:r>
          </w:p>
        </w:tc>
      </w:tr>
      <w:tr w:rsidR="00894E20" w:rsidRPr="00D513C6" w:rsidTr="00894E20">
        <w:trPr>
          <w:trHeight w:val="300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LDL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1.3   ± 0.1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1.2    ± 0.1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1.3    ± 0.2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1.2 ± 0.1</w:t>
            </w:r>
          </w:p>
        </w:tc>
      </w:tr>
      <w:tr w:rsidR="00894E20" w:rsidRPr="00D513C6" w:rsidTr="00894E20">
        <w:trPr>
          <w:trHeight w:val="300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VLDL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/L)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0.4   ± 0.0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51352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0.3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0.0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0.3    ± 0.0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3A1B7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0.3 ± 0.0</w:t>
            </w:r>
            <w:r w:rsidRPr="00894E20">
              <w:rPr>
                <w:rFonts w:ascii="Arial" w:hAnsi="Arial" w:cs="Arial"/>
                <w:sz w:val="24"/>
                <w:szCs w:val="24"/>
                <w:vertAlign w:val="superscript"/>
              </w:rPr>
              <w:t>ab</w:t>
            </w:r>
          </w:p>
        </w:tc>
      </w:tr>
      <w:tr w:rsidR="00894E20" w:rsidRPr="00D513C6" w:rsidTr="00894E20">
        <w:trPr>
          <w:trHeight w:val="34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Glucose homeostasis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Insulin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pmol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/L)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104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21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96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94E20">
              <w:rPr>
                <w:rFonts w:ascii="Arial" w:hAnsi="Arial" w:cs="Arial"/>
                <w:sz w:val="24"/>
                <w:szCs w:val="24"/>
              </w:rPr>
              <w:t>± 20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149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94E20">
              <w:rPr>
                <w:rFonts w:ascii="Arial" w:hAnsi="Arial" w:cs="Arial"/>
                <w:sz w:val="24"/>
                <w:szCs w:val="24"/>
              </w:rPr>
              <w:t>± 39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88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15</w:t>
            </w:r>
          </w:p>
        </w:tc>
      </w:tr>
      <w:tr w:rsidR="00894E20" w:rsidRPr="00D513C6" w:rsidTr="00894E20">
        <w:trPr>
          <w:trHeight w:val="34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Glucose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/L)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15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0.8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2B710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15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94E20">
              <w:rPr>
                <w:rFonts w:ascii="Arial" w:hAnsi="Arial" w:cs="Arial"/>
                <w:sz w:val="24"/>
                <w:szCs w:val="24"/>
              </w:rPr>
              <w:t>± 1.9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17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894E20">
              <w:rPr>
                <w:rFonts w:ascii="Arial" w:hAnsi="Arial" w:cs="Arial"/>
                <w:sz w:val="24"/>
                <w:szCs w:val="24"/>
              </w:rPr>
              <w:t>± 1.1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1.2</w:t>
            </w:r>
          </w:p>
        </w:tc>
      </w:tr>
      <w:tr w:rsidR="00894E20" w:rsidRPr="00D513C6" w:rsidTr="00894E20">
        <w:trPr>
          <w:trHeight w:val="345"/>
        </w:trPr>
        <w:tc>
          <w:tcPr>
            <w:tcW w:w="1684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894E20">
              <w:rPr>
                <w:rFonts w:ascii="Arial" w:hAnsi="Arial" w:cs="Arial"/>
                <w:b/>
                <w:sz w:val="24"/>
                <w:szCs w:val="24"/>
              </w:rPr>
              <w:t>HOMA-IR (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mmol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 xml:space="preserve">/L x </w:t>
            </w:r>
            <w:proofErr w:type="spellStart"/>
            <w:r w:rsidRPr="00894E20">
              <w:rPr>
                <w:rFonts w:ascii="Arial" w:hAnsi="Arial" w:cs="Arial"/>
                <w:b/>
                <w:sz w:val="24"/>
                <w:szCs w:val="24"/>
              </w:rPr>
              <w:t>pmol</w:t>
            </w:r>
            <w:proofErr w:type="spellEnd"/>
            <w:r w:rsidRPr="00894E20">
              <w:rPr>
                <w:rFonts w:ascii="Arial" w:hAnsi="Arial" w:cs="Arial"/>
                <w:b/>
                <w:sz w:val="24"/>
                <w:szCs w:val="24"/>
              </w:rPr>
              <w:t>/L/2.25)</w:t>
            </w:r>
          </w:p>
        </w:tc>
        <w:tc>
          <w:tcPr>
            <w:tcW w:w="144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76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22</w:t>
            </w:r>
          </w:p>
        </w:tc>
        <w:tc>
          <w:tcPr>
            <w:tcW w:w="1643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71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94E20">
              <w:rPr>
                <w:rFonts w:ascii="Arial" w:hAnsi="Arial" w:cs="Arial"/>
                <w:sz w:val="24"/>
                <w:szCs w:val="24"/>
              </w:rPr>
              <w:t>± 14</w:t>
            </w:r>
          </w:p>
        </w:tc>
        <w:tc>
          <w:tcPr>
            <w:tcW w:w="1559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>117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94E20">
              <w:rPr>
                <w:rFonts w:ascii="Arial" w:hAnsi="Arial" w:cs="Arial"/>
                <w:sz w:val="24"/>
                <w:szCs w:val="24"/>
              </w:rPr>
              <w:t xml:space="preserve"> ± 32</w:t>
            </w:r>
          </w:p>
        </w:tc>
        <w:tc>
          <w:tcPr>
            <w:tcW w:w="1418" w:type="dxa"/>
            <w:noWrap/>
            <w:hideMark/>
          </w:tcPr>
          <w:p w:rsidR="00894E20" w:rsidRPr="00894E20" w:rsidRDefault="00894E20" w:rsidP="00D513C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94E20">
              <w:rPr>
                <w:rFonts w:ascii="Arial" w:hAnsi="Arial" w:cs="Arial"/>
                <w:sz w:val="24"/>
                <w:szCs w:val="24"/>
              </w:rPr>
              <w:t xml:space="preserve">54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E20">
              <w:rPr>
                <w:rFonts w:ascii="Arial" w:hAnsi="Arial" w:cs="Arial"/>
                <w:sz w:val="24"/>
                <w:szCs w:val="24"/>
              </w:rPr>
              <w:t>± 10</w:t>
            </w:r>
          </w:p>
        </w:tc>
      </w:tr>
    </w:tbl>
    <w:p w:rsidR="00D513C6" w:rsidRPr="007D6B2C" w:rsidRDefault="00D513C6" w:rsidP="00C07D07">
      <w:pPr>
        <w:spacing w:line="480" w:lineRule="auto"/>
        <w:ind w:firstLine="0"/>
        <w:rPr>
          <w:rFonts w:ascii="Arial" w:hAnsi="Arial" w:cs="Arial"/>
          <w:sz w:val="24"/>
          <w:szCs w:val="24"/>
          <w:lang w:val="en-US"/>
        </w:rPr>
      </w:pPr>
      <w:r w:rsidRPr="007D6B2C">
        <w:rPr>
          <w:rFonts w:ascii="Arial" w:hAnsi="Arial" w:cs="Arial"/>
          <w:sz w:val="24"/>
          <w:szCs w:val="24"/>
          <w:lang w:val="en-US"/>
        </w:rPr>
        <w:t>Glucose PN98 n=10</w:t>
      </w:r>
      <w:r w:rsidR="00275E4D" w:rsidRPr="007D6B2C">
        <w:rPr>
          <w:rFonts w:ascii="Arial" w:hAnsi="Arial" w:cs="Arial"/>
          <w:sz w:val="24"/>
          <w:szCs w:val="24"/>
          <w:lang w:val="en-US"/>
        </w:rPr>
        <w:t>,9,11,10,</w:t>
      </w:r>
      <w:r w:rsidR="00BC63ED" w:rsidRPr="007D6B2C">
        <w:rPr>
          <w:rFonts w:ascii="Arial" w:hAnsi="Arial" w:cs="Arial"/>
          <w:sz w:val="24"/>
          <w:szCs w:val="24"/>
          <w:lang w:val="en-US"/>
        </w:rPr>
        <w:t xml:space="preserve"> respectively</w:t>
      </w:r>
      <w:r w:rsidR="00275E4D" w:rsidRPr="007D6B2C">
        <w:rPr>
          <w:rFonts w:ascii="Arial" w:hAnsi="Arial" w:cs="Arial"/>
          <w:sz w:val="24"/>
          <w:szCs w:val="24"/>
          <w:lang w:val="en-US"/>
        </w:rPr>
        <w:t>; Insulin PN98 n=8,9,7,9</w:t>
      </w:r>
      <w:r w:rsidRPr="007D6B2C">
        <w:rPr>
          <w:rFonts w:ascii="Arial" w:hAnsi="Arial" w:cs="Arial"/>
          <w:sz w:val="24"/>
          <w:szCs w:val="24"/>
          <w:lang w:val="en-US"/>
        </w:rPr>
        <w:t xml:space="preserve"> respectively:</w:t>
      </w:r>
      <w:r w:rsidR="00275E4D" w:rsidRPr="007D6B2C">
        <w:rPr>
          <w:rFonts w:ascii="Arial" w:hAnsi="Arial" w:cs="Arial"/>
          <w:sz w:val="24"/>
          <w:szCs w:val="24"/>
          <w:lang w:val="en-US"/>
        </w:rPr>
        <w:t xml:space="preserve"> </w:t>
      </w:r>
      <w:r w:rsidR="00275E4D" w:rsidRPr="00CC1C04">
        <w:rPr>
          <w:rFonts w:ascii="Arial" w:hAnsi="Arial" w:cs="Arial"/>
          <w:sz w:val="24"/>
          <w:szCs w:val="24"/>
          <w:highlight w:val="red"/>
          <w:lang w:val="en-US"/>
        </w:rPr>
        <w:t>HOMA-</w:t>
      </w:r>
      <w:r w:rsidR="008C0AB0" w:rsidRPr="00CC1C04">
        <w:rPr>
          <w:rFonts w:ascii="Arial" w:hAnsi="Arial" w:cs="Arial"/>
          <w:sz w:val="24"/>
          <w:szCs w:val="24"/>
          <w:highlight w:val="red"/>
          <w:lang w:val="en-US"/>
        </w:rPr>
        <w:t>I</w:t>
      </w:r>
      <w:r w:rsidR="00275E4D" w:rsidRPr="00CC1C04">
        <w:rPr>
          <w:rFonts w:ascii="Arial" w:hAnsi="Arial" w:cs="Arial"/>
          <w:sz w:val="24"/>
          <w:szCs w:val="24"/>
          <w:highlight w:val="red"/>
          <w:lang w:val="en-US"/>
        </w:rPr>
        <w:t>R</w:t>
      </w:r>
      <w:r w:rsidR="00275E4D" w:rsidRPr="007D6B2C">
        <w:rPr>
          <w:rFonts w:ascii="Arial" w:hAnsi="Arial" w:cs="Arial"/>
          <w:sz w:val="24"/>
          <w:szCs w:val="24"/>
          <w:lang w:val="en-US"/>
        </w:rPr>
        <w:t xml:space="preserve"> PN98 n=7,7,7,7</w:t>
      </w:r>
      <w:r w:rsidRPr="007D6B2C">
        <w:rPr>
          <w:rFonts w:ascii="Arial" w:hAnsi="Arial" w:cs="Arial"/>
          <w:sz w:val="24"/>
          <w:szCs w:val="24"/>
          <w:lang w:val="en-US"/>
        </w:rPr>
        <w:t xml:space="preserve"> respectively; CHOL,</w:t>
      </w:r>
      <w:r w:rsidR="00275E4D" w:rsidRPr="007D6B2C">
        <w:rPr>
          <w:rFonts w:ascii="Arial" w:hAnsi="Arial" w:cs="Arial"/>
          <w:sz w:val="24"/>
          <w:szCs w:val="24"/>
          <w:lang w:val="en-US"/>
        </w:rPr>
        <w:t xml:space="preserve"> TG, HDL, LDL and VLDL n=12</w:t>
      </w:r>
      <w:r w:rsidRPr="007D6B2C">
        <w:rPr>
          <w:rFonts w:ascii="Arial" w:hAnsi="Arial" w:cs="Arial"/>
          <w:sz w:val="24"/>
          <w:szCs w:val="24"/>
          <w:lang w:val="en-US"/>
        </w:rPr>
        <w:t xml:space="preserve"> respectively</w:t>
      </w:r>
      <w:r w:rsidR="00CE631B" w:rsidRPr="007D6B2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="00CE631B" w:rsidRPr="007D6B2C">
        <w:rPr>
          <w:rFonts w:ascii="Arial" w:hAnsi="Arial" w:cs="Arial"/>
          <w:sz w:val="24"/>
          <w:szCs w:val="24"/>
          <w:lang w:val="en-US"/>
        </w:rPr>
        <w:t>p</w:t>
      </w:r>
      <w:proofErr w:type="gramEnd"/>
      <w:r w:rsidR="00CE631B" w:rsidRPr="007D6B2C">
        <w:rPr>
          <w:rFonts w:ascii="Arial" w:hAnsi="Arial" w:cs="Arial"/>
          <w:sz w:val="24"/>
          <w:szCs w:val="24"/>
          <w:lang w:val="en-US"/>
        </w:rPr>
        <w:t xml:space="preserve"> &lt; 0.05 is indicated by a different letter.</w:t>
      </w:r>
      <w:bookmarkStart w:id="0" w:name="_GoBack"/>
      <w:bookmarkEnd w:id="0"/>
    </w:p>
    <w:p w:rsidR="00D513C6" w:rsidRPr="004F1A0A" w:rsidRDefault="00D513C6" w:rsidP="00E92315">
      <w:pPr>
        <w:ind w:firstLine="0"/>
        <w:rPr>
          <w:sz w:val="22"/>
          <w:szCs w:val="22"/>
          <w:lang w:val="en-US"/>
        </w:rPr>
      </w:pPr>
    </w:p>
    <w:sectPr w:rsidR="00D513C6" w:rsidRPr="004F1A0A" w:rsidSect="00202999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F0"/>
    <w:rsid w:val="000342E6"/>
    <w:rsid w:val="000C699C"/>
    <w:rsid w:val="000D2ABF"/>
    <w:rsid w:val="000F0B96"/>
    <w:rsid w:val="0012390A"/>
    <w:rsid w:val="0014524F"/>
    <w:rsid w:val="00187A58"/>
    <w:rsid w:val="001A511F"/>
    <w:rsid w:val="001D639F"/>
    <w:rsid w:val="001F1A92"/>
    <w:rsid w:val="00201512"/>
    <w:rsid w:val="00202999"/>
    <w:rsid w:val="00211944"/>
    <w:rsid w:val="00234258"/>
    <w:rsid w:val="00240394"/>
    <w:rsid w:val="002436B0"/>
    <w:rsid w:val="00275E4D"/>
    <w:rsid w:val="00291822"/>
    <w:rsid w:val="002B710A"/>
    <w:rsid w:val="002C5114"/>
    <w:rsid w:val="002F325B"/>
    <w:rsid w:val="00305798"/>
    <w:rsid w:val="003159DB"/>
    <w:rsid w:val="00337994"/>
    <w:rsid w:val="003A1B75"/>
    <w:rsid w:val="003B0CC5"/>
    <w:rsid w:val="003B7332"/>
    <w:rsid w:val="0040045A"/>
    <w:rsid w:val="00401E04"/>
    <w:rsid w:val="00406D4E"/>
    <w:rsid w:val="00407EC6"/>
    <w:rsid w:val="004253B5"/>
    <w:rsid w:val="00425EA1"/>
    <w:rsid w:val="00465B09"/>
    <w:rsid w:val="00466D0A"/>
    <w:rsid w:val="004706D2"/>
    <w:rsid w:val="004F1048"/>
    <w:rsid w:val="004F13D8"/>
    <w:rsid w:val="004F1A0A"/>
    <w:rsid w:val="0051352E"/>
    <w:rsid w:val="00516E29"/>
    <w:rsid w:val="00533FF0"/>
    <w:rsid w:val="00572E6A"/>
    <w:rsid w:val="00580C3F"/>
    <w:rsid w:val="00603A19"/>
    <w:rsid w:val="0062044D"/>
    <w:rsid w:val="00672538"/>
    <w:rsid w:val="006876A3"/>
    <w:rsid w:val="00694DAB"/>
    <w:rsid w:val="006A73C6"/>
    <w:rsid w:val="006E701B"/>
    <w:rsid w:val="007778A6"/>
    <w:rsid w:val="007D2C46"/>
    <w:rsid w:val="007D6B2C"/>
    <w:rsid w:val="00831A12"/>
    <w:rsid w:val="00843C1E"/>
    <w:rsid w:val="008665F2"/>
    <w:rsid w:val="00894E20"/>
    <w:rsid w:val="008A1C16"/>
    <w:rsid w:val="008A35F8"/>
    <w:rsid w:val="008C0AB0"/>
    <w:rsid w:val="008E5160"/>
    <w:rsid w:val="008F37DC"/>
    <w:rsid w:val="00913CC3"/>
    <w:rsid w:val="0095477B"/>
    <w:rsid w:val="00991CE2"/>
    <w:rsid w:val="00995777"/>
    <w:rsid w:val="009A22C7"/>
    <w:rsid w:val="009A5EB8"/>
    <w:rsid w:val="009A6216"/>
    <w:rsid w:val="009B6DBB"/>
    <w:rsid w:val="009C1A21"/>
    <w:rsid w:val="00A03E2F"/>
    <w:rsid w:val="00A07903"/>
    <w:rsid w:val="00A23433"/>
    <w:rsid w:val="00A264AE"/>
    <w:rsid w:val="00A57B7F"/>
    <w:rsid w:val="00A901CA"/>
    <w:rsid w:val="00AA5AA8"/>
    <w:rsid w:val="00AB12D0"/>
    <w:rsid w:val="00AB261E"/>
    <w:rsid w:val="00AE51E0"/>
    <w:rsid w:val="00B01383"/>
    <w:rsid w:val="00B0324E"/>
    <w:rsid w:val="00B5175B"/>
    <w:rsid w:val="00B910B9"/>
    <w:rsid w:val="00B926E5"/>
    <w:rsid w:val="00BC63ED"/>
    <w:rsid w:val="00BD57C2"/>
    <w:rsid w:val="00C06652"/>
    <w:rsid w:val="00C07D07"/>
    <w:rsid w:val="00C63348"/>
    <w:rsid w:val="00C84322"/>
    <w:rsid w:val="00C952FB"/>
    <w:rsid w:val="00CA1F83"/>
    <w:rsid w:val="00CA6880"/>
    <w:rsid w:val="00CB4CD6"/>
    <w:rsid w:val="00CC1C04"/>
    <w:rsid w:val="00CE631B"/>
    <w:rsid w:val="00D17053"/>
    <w:rsid w:val="00D206D3"/>
    <w:rsid w:val="00D4111E"/>
    <w:rsid w:val="00D513C6"/>
    <w:rsid w:val="00DB7847"/>
    <w:rsid w:val="00DE7270"/>
    <w:rsid w:val="00DF643B"/>
    <w:rsid w:val="00E0045F"/>
    <w:rsid w:val="00E53034"/>
    <w:rsid w:val="00E92315"/>
    <w:rsid w:val="00EB595E"/>
    <w:rsid w:val="00EE6F5A"/>
    <w:rsid w:val="00F4153B"/>
    <w:rsid w:val="00F519D0"/>
    <w:rsid w:val="00F56F4B"/>
    <w:rsid w:val="00F86CE4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1E"/>
    <w:pPr>
      <w:spacing w:after="0" w:line="240" w:lineRule="auto"/>
      <w:ind w:firstLine="708"/>
      <w:jc w:val="both"/>
    </w:pPr>
    <w:rPr>
      <w:bCs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A58"/>
    <w:pPr>
      <w:keepNext/>
      <w:keepLines/>
      <w:spacing w:after="200"/>
      <w:outlineLvl w:val="0"/>
    </w:pPr>
    <w:rPr>
      <w:rFonts w:ascii="Verdana" w:eastAsiaTheme="majorEastAsia" w:hAnsi="Verdana" w:cstheme="majorBidi"/>
      <w:b/>
      <w:sz w:val="24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A58"/>
    <w:pPr>
      <w:keepNext/>
      <w:keepLines/>
      <w:spacing w:after="200"/>
      <w:outlineLvl w:val="1"/>
    </w:pPr>
    <w:rPr>
      <w:rFonts w:ascii="Verdana" w:eastAsiaTheme="majorEastAsia" w:hAnsi="Verdana" w:cstheme="majorBidi"/>
      <w:b/>
      <w:i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A58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A58"/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ListParagraph">
    <w:name w:val="List Paragraph"/>
    <w:basedOn w:val="Normal"/>
    <w:uiPriority w:val="34"/>
    <w:qFormat/>
    <w:rsid w:val="00187A58"/>
    <w:pPr>
      <w:spacing w:after="200"/>
      <w:ind w:left="708"/>
    </w:pPr>
    <w:rPr>
      <w:rFonts w:ascii="Verdana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187A58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1E"/>
    <w:rPr>
      <w:rFonts w:ascii="Tahoma" w:hAnsi="Tahoma" w:cs="Tahoma"/>
      <w:bCs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A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342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2999"/>
  </w:style>
  <w:style w:type="character" w:styleId="CommentReference">
    <w:name w:val="annotation reference"/>
    <w:basedOn w:val="DefaultParagraphFont"/>
    <w:uiPriority w:val="99"/>
    <w:semiHidden/>
    <w:unhideWhenUsed/>
    <w:rsid w:val="00B0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383"/>
  </w:style>
  <w:style w:type="character" w:customStyle="1" w:styleId="CommentTextChar">
    <w:name w:val="Comment Text Char"/>
    <w:basedOn w:val="DefaultParagraphFont"/>
    <w:link w:val="CommentText"/>
    <w:uiPriority w:val="99"/>
    <w:rsid w:val="00B01383"/>
    <w:rPr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D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1E"/>
    <w:pPr>
      <w:spacing w:after="0" w:line="240" w:lineRule="auto"/>
      <w:ind w:firstLine="708"/>
      <w:jc w:val="both"/>
    </w:pPr>
    <w:rPr>
      <w:bCs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A58"/>
    <w:pPr>
      <w:keepNext/>
      <w:keepLines/>
      <w:spacing w:after="200"/>
      <w:outlineLvl w:val="0"/>
    </w:pPr>
    <w:rPr>
      <w:rFonts w:ascii="Verdana" w:eastAsiaTheme="majorEastAsia" w:hAnsi="Verdana" w:cstheme="majorBidi"/>
      <w:b/>
      <w:sz w:val="24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A58"/>
    <w:pPr>
      <w:keepNext/>
      <w:keepLines/>
      <w:spacing w:after="200"/>
      <w:outlineLvl w:val="1"/>
    </w:pPr>
    <w:rPr>
      <w:rFonts w:ascii="Verdana" w:eastAsiaTheme="majorEastAsia" w:hAnsi="Verdana" w:cstheme="majorBidi"/>
      <w:b/>
      <w:i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A58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A58"/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ListParagraph">
    <w:name w:val="List Paragraph"/>
    <w:basedOn w:val="Normal"/>
    <w:uiPriority w:val="34"/>
    <w:qFormat/>
    <w:rsid w:val="00187A58"/>
    <w:pPr>
      <w:spacing w:after="200"/>
      <w:ind w:left="708"/>
    </w:pPr>
    <w:rPr>
      <w:rFonts w:ascii="Verdana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187A58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1E"/>
    <w:rPr>
      <w:rFonts w:ascii="Tahoma" w:hAnsi="Tahoma" w:cs="Tahoma"/>
      <w:bCs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A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342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02999"/>
  </w:style>
  <w:style w:type="character" w:styleId="CommentReference">
    <w:name w:val="annotation reference"/>
    <w:basedOn w:val="DefaultParagraphFont"/>
    <w:uiPriority w:val="99"/>
    <w:semiHidden/>
    <w:unhideWhenUsed/>
    <w:rsid w:val="00B01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383"/>
  </w:style>
  <w:style w:type="character" w:customStyle="1" w:styleId="CommentTextChar">
    <w:name w:val="Comment Text Char"/>
    <w:basedOn w:val="DefaultParagraphFont"/>
    <w:link w:val="CommentText"/>
    <w:uiPriority w:val="99"/>
    <w:rsid w:val="00B01383"/>
    <w:rPr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D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D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abaars</dc:creator>
  <cp:lastModifiedBy>Baars, Annemarie</cp:lastModifiedBy>
  <cp:revision>3</cp:revision>
  <dcterms:created xsi:type="dcterms:W3CDTF">2016-01-05T07:26:00Z</dcterms:created>
  <dcterms:modified xsi:type="dcterms:W3CDTF">2016-01-06T11:20:00Z</dcterms:modified>
</cp:coreProperties>
</file>