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CF93D" w14:textId="77777777" w:rsidR="00DC548B" w:rsidRPr="003B22AD" w:rsidRDefault="00DC548B" w:rsidP="00DC548B">
      <w:pPr>
        <w:rPr>
          <w:rFonts w:ascii="Times New Roman" w:hAnsi="Times New Roman" w:cs="Times New Roman"/>
        </w:rPr>
      </w:pPr>
      <w:r w:rsidRPr="003B22AD">
        <w:rPr>
          <w:rFonts w:ascii="Times New Roman" w:hAnsi="Times New Roman" w:cs="Times New Roman"/>
        </w:rPr>
        <w:t>Supplementary Table 1</w:t>
      </w:r>
    </w:p>
    <w:p w14:paraId="688240F2" w14:textId="6DB2A2BD" w:rsidR="00DC548B" w:rsidRPr="003B22AD" w:rsidRDefault="0090600B" w:rsidP="00DC548B">
      <w:pPr>
        <w:rPr>
          <w:rFonts w:ascii="Times New Roman" w:hAnsi="Times New Roman" w:cs="Times New Roman"/>
        </w:rPr>
      </w:pPr>
      <w:r w:rsidRPr="003B22AD">
        <w:rPr>
          <w:rFonts w:ascii="Times New Roman" w:hAnsi="Times New Roman" w:cs="Times New Roman"/>
        </w:rPr>
        <w:t xml:space="preserve">Correlation analysis between </w:t>
      </w:r>
      <w:r w:rsidR="001A78B4" w:rsidRPr="003B22AD">
        <w:rPr>
          <w:rFonts w:ascii="Times New Roman" w:hAnsi="Times New Roman" w:cs="Times New Roman"/>
        </w:rPr>
        <w:t xml:space="preserve">the </w:t>
      </w:r>
      <w:proofErr w:type="gramStart"/>
      <w:r w:rsidR="001A78B4" w:rsidRPr="003B22AD">
        <w:rPr>
          <w:rFonts w:ascii="Times New Roman" w:hAnsi="Times New Roman" w:cs="Times New Roman"/>
        </w:rPr>
        <w:t>number</w:t>
      </w:r>
      <w:proofErr w:type="gramEnd"/>
      <w:r w:rsidR="001A78B4" w:rsidRPr="003B22AD">
        <w:rPr>
          <w:rFonts w:ascii="Times New Roman" w:hAnsi="Times New Roman" w:cs="Times New Roman"/>
        </w:rPr>
        <w:t xml:space="preserve"> of specific cell types placed in culture and </w:t>
      </w:r>
      <w:r w:rsidRPr="003B22AD">
        <w:rPr>
          <w:rFonts w:ascii="Times New Roman" w:hAnsi="Times New Roman" w:cs="Times New Roman"/>
        </w:rPr>
        <w:t>e</w:t>
      </w:r>
      <w:r w:rsidR="00DC548B" w:rsidRPr="003B22AD">
        <w:rPr>
          <w:rFonts w:ascii="Times New Roman" w:hAnsi="Times New Roman" w:cs="Times New Roman"/>
          <w:i/>
        </w:rPr>
        <w:t xml:space="preserve">x vivo </w:t>
      </w:r>
      <w:r w:rsidRPr="003B22AD">
        <w:rPr>
          <w:rFonts w:ascii="Times New Roman" w:hAnsi="Times New Roman" w:cs="Times New Roman"/>
        </w:rPr>
        <w:t>IL-2</w:t>
      </w:r>
      <w:r w:rsidR="00DC548B" w:rsidRPr="003B22AD">
        <w:rPr>
          <w:rFonts w:ascii="Times New Roman" w:hAnsi="Times New Roman" w:cs="Times New Roman"/>
        </w:rPr>
        <w:t xml:space="preserve"> production </w:t>
      </w:r>
      <w:r w:rsidRPr="003B22AD">
        <w:rPr>
          <w:rFonts w:ascii="Times New Roman" w:hAnsi="Times New Roman" w:cs="Times New Roman"/>
        </w:rPr>
        <w:t xml:space="preserve">following ConA stimulation </w:t>
      </w:r>
    </w:p>
    <w:tbl>
      <w:tblPr>
        <w:tblpPr w:leftFromText="180" w:rightFromText="180" w:vertAnchor="text" w:horzAnchor="page" w:tblpX="1726" w:tblpY="74"/>
        <w:tblW w:w="9747" w:type="dxa"/>
        <w:tblLayout w:type="fixed"/>
        <w:tblLook w:val="04A0" w:firstRow="1" w:lastRow="0" w:firstColumn="1" w:lastColumn="0" w:noHBand="0" w:noVBand="1"/>
      </w:tblPr>
      <w:tblGrid>
        <w:gridCol w:w="3245"/>
        <w:gridCol w:w="1116"/>
        <w:gridCol w:w="1051"/>
        <w:gridCol w:w="1084"/>
        <w:gridCol w:w="1083"/>
        <w:gridCol w:w="1084"/>
        <w:gridCol w:w="1084"/>
      </w:tblGrid>
      <w:tr w:rsidR="00A54B80" w:rsidRPr="003B22AD" w14:paraId="403122C9" w14:textId="77777777" w:rsidTr="006A08E5">
        <w:trPr>
          <w:trHeight w:val="225"/>
        </w:trPr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118AA" w14:textId="77777777" w:rsidR="00A54B80" w:rsidRPr="003B22AD" w:rsidRDefault="00A54B80" w:rsidP="00EC23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6502" w:type="dxa"/>
            <w:gridSpan w:val="6"/>
            <w:tcBorders>
              <w:top w:val="single" w:sz="8" w:space="0" w:color="auto"/>
              <w:left w:val="nil"/>
              <w:right w:val="nil"/>
            </w:tcBorders>
          </w:tcPr>
          <w:p w14:paraId="458CA8B6" w14:textId="7DBDFAC2" w:rsidR="00A54B80" w:rsidRPr="003B22AD" w:rsidRDefault="00A54B80" w:rsidP="00EC23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 xml:space="preserve">Correlation between </w:t>
            </w:r>
            <w:r w:rsidR="0006293F" w:rsidRPr="003B22AD">
              <w:rPr>
                <w:rFonts w:ascii="Times New Roman" w:eastAsia="Times New Roman" w:hAnsi="Times New Roman" w:cs="Times New Roman"/>
              </w:rPr>
              <w:t>IL-2 production</w:t>
            </w:r>
            <w:r w:rsidRPr="003B22AD">
              <w:rPr>
                <w:rFonts w:ascii="Times New Roman" w:eastAsia="Times New Roman" w:hAnsi="Times New Roman" w:cs="Times New Roman"/>
              </w:rPr>
              <w:t xml:space="preserve"> and lymphocyte subset (</w:t>
            </w:r>
            <w:proofErr w:type="spellStart"/>
            <w:r w:rsidRPr="003B22AD">
              <w:rPr>
                <w:rFonts w:ascii="Times New Roman" w:eastAsia="Times New Roman" w:hAnsi="Times New Roman" w:cs="Times New Roman"/>
              </w:rPr>
              <w:t>pg</w:t>
            </w:r>
            <w:proofErr w:type="spellEnd"/>
            <w:r w:rsidRPr="003B22AD">
              <w:rPr>
                <w:rFonts w:ascii="Times New Roman" w:eastAsia="Times New Roman" w:hAnsi="Times New Roman" w:cs="Times New Roman"/>
              </w:rPr>
              <w:t>/x10</w:t>
            </w:r>
            <w:r w:rsidRPr="003B22AD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  <w:r w:rsidRPr="003B22AD">
              <w:rPr>
                <w:rFonts w:ascii="Times New Roman" w:eastAsia="Times New Roman" w:hAnsi="Times New Roman" w:cs="Times New Roman"/>
              </w:rPr>
              <w:t xml:space="preserve"> cells</w:t>
            </w:r>
            <w:r w:rsidRPr="003B22AD">
              <w:rPr>
                <w:rFonts w:ascii="Times New Roman" w:hAnsi="Times New Roman" w:cs="Times New Roman"/>
                <w:vertAlign w:val="superscript"/>
              </w:rPr>
              <w:t>¥</w:t>
            </w:r>
            <w:r w:rsidRPr="003B22A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C2320" w:rsidRPr="003B22AD" w14:paraId="4E831D9F" w14:textId="77777777" w:rsidTr="00EC2320">
        <w:trPr>
          <w:trHeight w:val="225"/>
        </w:trPr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2926" w14:textId="77777777" w:rsidR="00EC2320" w:rsidRPr="003B22AD" w:rsidRDefault="00EC2320" w:rsidP="00EC23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03207093" w14:textId="77777777" w:rsidR="00EC2320" w:rsidRPr="003B22AD" w:rsidRDefault="00EC2320" w:rsidP="00EC232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2AD">
              <w:rPr>
                <w:rFonts w:ascii="Times New Roman" w:eastAsia="Times New Roman" w:hAnsi="Times New Roman" w:cs="Times New Roman"/>
                <w:bCs/>
              </w:rPr>
              <w:t>All groups</w:t>
            </w: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0E8B5BBF" w14:textId="77777777" w:rsidR="00EC2320" w:rsidRPr="003B22AD" w:rsidRDefault="00EC2320" w:rsidP="00EC232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B22AD">
              <w:rPr>
                <w:rFonts w:ascii="Times New Roman" w:eastAsia="Times New Roman" w:hAnsi="Times New Roman" w:cs="Times New Roman"/>
                <w:bCs/>
              </w:rPr>
              <w:t>ChS</w:t>
            </w:r>
            <w:proofErr w:type="spellEnd"/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134B658A" w14:textId="77777777" w:rsidR="00EC2320" w:rsidRPr="003B22AD" w:rsidRDefault="00EC2320" w:rsidP="00EC232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B22AD">
              <w:rPr>
                <w:rFonts w:ascii="Times New Roman" w:eastAsia="Times New Roman" w:hAnsi="Times New Roman" w:cs="Times New Roman"/>
                <w:bCs/>
              </w:rPr>
              <w:t>ChD</w:t>
            </w:r>
            <w:proofErr w:type="spellEnd"/>
          </w:p>
        </w:tc>
      </w:tr>
      <w:tr w:rsidR="00EC2320" w:rsidRPr="003B22AD" w14:paraId="38FD33D2" w14:textId="77777777" w:rsidTr="00A54B80">
        <w:trPr>
          <w:trHeight w:val="189"/>
        </w:trPr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44956" w14:textId="77777777" w:rsidR="00EC2320" w:rsidRPr="003B22AD" w:rsidRDefault="00EC2320" w:rsidP="00EC23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2A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04E234A" w14:textId="7DEEBCA9" w:rsidR="00EC2320" w:rsidRPr="003B22AD" w:rsidRDefault="00EC2320" w:rsidP="00A54B8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3B22AD">
              <w:rPr>
                <w:rFonts w:ascii="Times New Roman" w:eastAsia="Times New Roman" w:hAnsi="Times New Roman" w:cs="Times New Roman"/>
                <w:bCs/>
              </w:rPr>
              <w:t>r</w:t>
            </w:r>
            <w:r w:rsidRPr="003B22AD">
              <w:rPr>
                <w:rFonts w:ascii="Times New Roman" w:eastAsia="Times New Roman" w:hAnsi="Times New Roman" w:cs="Times New Roman"/>
                <w:bCs/>
                <w:vertAlign w:val="subscript"/>
              </w:rPr>
              <w:t>s</w:t>
            </w:r>
            <w:proofErr w:type="spellEnd"/>
            <w:proofErr w:type="gramEnd"/>
            <w:r w:rsidR="00517BA0" w:rsidRPr="003B22AD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1051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0AC8674" w14:textId="77777777" w:rsidR="00EC2320" w:rsidRPr="003B22AD" w:rsidRDefault="00EC2320" w:rsidP="00A54B8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2AD">
              <w:rPr>
                <w:rFonts w:ascii="Times New Roman" w:eastAsia="Times New Roman" w:hAnsi="Times New Roman" w:cs="Times New Roman"/>
                <w:bCs/>
              </w:rPr>
              <w:t>P-value</w:t>
            </w:r>
          </w:p>
        </w:tc>
        <w:tc>
          <w:tcPr>
            <w:tcW w:w="108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5AEEF4E" w14:textId="3783F931" w:rsidR="00EC2320" w:rsidRPr="003B22AD" w:rsidRDefault="00EC2320" w:rsidP="00A54B8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3B22AD">
              <w:rPr>
                <w:rFonts w:ascii="Times New Roman" w:eastAsia="Times New Roman" w:hAnsi="Times New Roman" w:cs="Times New Roman"/>
                <w:bCs/>
              </w:rPr>
              <w:t>r</w:t>
            </w:r>
            <w:r w:rsidRPr="003B22AD">
              <w:rPr>
                <w:rFonts w:ascii="Times New Roman" w:eastAsia="Times New Roman" w:hAnsi="Times New Roman" w:cs="Times New Roman"/>
                <w:bCs/>
                <w:vertAlign w:val="subscript"/>
              </w:rPr>
              <w:t>s</w:t>
            </w:r>
            <w:proofErr w:type="spellEnd"/>
            <w:proofErr w:type="gramEnd"/>
            <w:r w:rsidR="00517BA0" w:rsidRPr="003B22AD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108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31F3910" w14:textId="77777777" w:rsidR="00EC2320" w:rsidRPr="003B22AD" w:rsidRDefault="00EC2320" w:rsidP="00A54B8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2AD">
              <w:rPr>
                <w:rFonts w:ascii="Times New Roman" w:eastAsia="Times New Roman" w:hAnsi="Times New Roman" w:cs="Times New Roman"/>
                <w:bCs/>
              </w:rPr>
              <w:t>P-value</w:t>
            </w:r>
          </w:p>
        </w:tc>
        <w:tc>
          <w:tcPr>
            <w:tcW w:w="108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FDCD75A" w14:textId="4C38D666" w:rsidR="00EC2320" w:rsidRPr="003B22AD" w:rsidRDefault="00EC2320" w:rsidP="00A54B8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3B22AD">
              <w:rPr>
                <w:rFonts w:ascii="Times New Roman" w:eastAsia="Times New Roman" w:hAnsi="Times New Roman" w:cs="Times New Roman"/>
                <w:bCs/>
              </w:rPr>
              <w:t>r</w:t>
            </w:r>
            <w:r w:rsidRPr="003B22AD">
              <w:rPr>
                <w:rFonts w:ascii="Times New Roman" w:eastAsia="Times New Roman" w:hAnsi="Times New Roman" w:cs="Times New Roman"/>
                <w:bCs/>
                <w:vertAlign w:val="subscript"/>
              </w:rPr>
              <w:t>s</w:t>
            </w:r>
            <w:proofErr w:type="spellEnd"/>
            <w:proofErr w:type="gramEnd"/>
            <w:r w:rsidR="00517BA0" w:rsidRPr="003B22AD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108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63E8EE8" w14:textId="77777777" w:rsidR="00EC2320" w:rsidRPr="003B22AD" w:rsidRDefault="00EC2320" w:rsidP="00A54B8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2AD">
              <w:rPr>
                <w:rFonts w:ascii="Times New Roman" w:eastAsia="Times New Roman" w:hAnsi="Times New Roman" w:cs="Times New Roman"/>
                <w:bCs/>
              </w:rPr>
              <w:t>P-value</w:t>
            </w:r>
          </w:p>
        </w:tc>
      </w:tr>
      <w:tr w:rsidR="00EC2320" w:rsidRPr="003B22AD" w14:paraId="132E2B6D" w14:textId="77777777" w:rsidTr="004C1B1B">
        <w:trPr>
          <w:trHeight w:val="178"/>
        </w:trPr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B488" w14:textId="08773F6F" w:rsidR="00EC2320" w:rsidRPr="003B22AD" w:rsidRDefault="00EC2320" w:rsidP="004C1B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CD4+CD25+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C77390" w14:textId="035955E0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-0.007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A930F5" w14:textId="2DAAE93F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0.982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7F216" w14:textId="7DFF97B3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-0.317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9EE99E" w14:textId="623BB925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0.406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753201" w14:textId="51F3C01D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0.600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0C47E0" w14:textId="6F934896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0.285</w:t>
            </w:r>
          </w:p>
        </w:tc>
      </w:tr>
      <w:tr w:rsidR="00EC2320" w:rsidRPr="003B22AD" w14:paraId="0AB9340F" w14:textId="77777777" w:rsidTr="004C1B1B">
        <w:trPr>
          <w:trHeight w:val="178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C046" w14:textId="61C9453C" w:rsidR="00EC2320" w:rsidRPr="003B22AD" w:rsidRDefault="00EC2320" w:rsidP="004C1B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CD8+CD25+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128CE" w14:textId="6AE28FDC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0.187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7258D" w14:textId="533F7724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0.522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86D56" w14:textId="0CE7FB40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0.333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75CC1" w14:textId="1DC73FA3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0.381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E09CA" w14:textId="5981A31A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0.300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A74A1" w14:textId="579F3597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0.624</w:t>
            </w:r>
          </w:p>
        </w:tc>
      </w:tr>
      <w:tr w:rsidR="00EC2320" w:rsidRPr="003B22AD" w14:paraId="76E44B87" w14:textId="77777777" w:rsidTr="004C1B1B">
        <w:trPr>
          <w:trHeight w:val="178"/>
        </w:trPr>
        <w:tc>
          <w:tcPr>
            <w:tcW w:w="3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E8AE" w14:textId="77777777" w:rsidR="00EC2320" w:rsidRPr="003B22AD" w:rsidRDefault="00EC2320" w:rsidP="004C1B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CD4+CD71+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vAlign w:val="center"/>
          </w:tcPr>
          <w:p w14:paraId="1D01551F" w14:textId="16CAAE00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0.433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vAlign w:val="center"/>
          </w:tcPr>
          <w:p w14:paraId="572B4E1E" w14:textId="05F6CB2D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0.122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vAlign w:val="center"/>
          </w:tcPr>
          <w:p w14:paraId="3360B628" w14:textId="35460004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0.600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vAlign w:val="center"/>
          </w:tcPr>
          <w:p w14:paraId="2038ED88" w14:textId="04CAAF33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0.088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vAlign w:val="center"/>
          </w:tcPr>
          <w:p w14:paraId="42FD3B72" w14:textId="7C71973A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0.600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vAlign w:val="center"/>
          </w:tcPr>
          <w:p w14:paraId="07DE515F" w14:textId="29ED0E57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0.285</w:t>
            </w:r>
          </w:p>
        </w:tc>
      </w:tr>
      <w:tr w:rsidR="00EC2320" w:rsidRPr="003B22AD" w14:paraId="279B50CD" w14:textId="77777777" w:rsidTr="004C1B1B">
        <w:trPr>
          <w:trHeight w:val="81"/>
        </w:trPr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265B7" w14:textId="01720CAE" w:rsidR="00EC2320" w:rsidRPr="003B22AD" w:rsidRDefault="00EC2320" w:rsidP="004C1B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CD8+CD71+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4F812" w14:textId="35999CD7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-0.108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D952C" w14:textId="609E6B79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0.714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0692A" w14:textId="7D899C17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-0.183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F423B" w14:textId="2DF147A1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0.637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CA055" w14:textId="2C6D222C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-0.100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FC0FD" w14:textId="058F2299" w:rsidR="00EC2320" w:rsidRPr="003B22AD" w:rsidRDefault="00EC232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0.873</w:t>
            </w:r>
          </w:p>
        </w:tc>
      </w:tr>
    </w:tbl>
    <w:p w14:paraId="25E70A38" w14:textId="3647DA3D" w:rsidR="00ED7DE2" w:rsidRPr="003B22AD" w:rsidRDefault="00ED7DE2" w:rsidP="00ED7DE2">
      <w:pPr>
        <w:spacing w:before="60"/>
        <w:ind w:right="571"/>
        <w:rPr>
          <w:rFonts w:ascii="Times New Roman" w:hAnsi="Times New Roman" w:cs="Times New Roman"/>
        </w:rPr>
      </w:pPr>
      <w:r w:rsidRPr="003B22AD">
        <w:rPr>
          <w:rFonts w:ascii="Times New Roman" w:hAnsi="Times New Roman" w:cs="Times New Roman"/>
        </w:rPr>
        <w:t xml:space="preserve">CD, cluster of </w:t>
      </w:r>
      <w:r w:rsidR="00DD4355" w:rsidRPr="003B22AD">
        <w:rPr>
          <w:rFonts w:ascii="Times New Roman" w:hAnsi="Times New Roman" w:cs="Times New Roman"/>
        </w:rPr>
        <w:t>d</w:t>
      </w:r>
      <w:r w:rsidRPr="003B22AD">
        <w:rPr>
          <w:rFonts w:ascii="Times New Roman" w:hAnsi="Times New Roman" w:cs="Times New Roman"/>
        </w:rPr>
        <w:t xml:space="preserve">ifferentiation; </w:t>
      </w:r>
    </w:p>
    <w:p w14:paraId="77E058AD" w14:textId="4075A0F5" w:rsidR="004D7297" w:rsidRPr="003B22AD" w:rsidRDefault="00517BA0" w:rsidP="00ED7DE2">
      <w:pPr>
        <w:spacing w:before="60"/>
        <w:ind w:right="571"/>
        <w:rPr>
          <w:rFonts w:ascii="Times New Roman" w:eastAsia="Times New Roman" w:hAnsi="Times New Roman" w:cs="Times New Roman"/>
        </w:rPr>
      </w:pPr>
      <w:r w:rsidRPr="003B22AD">
        <w:rPr>
          <w:rFonts w:ascii="Times New Roman" w:hAnsi="Times New Roman" w:cs="Times New Roman"/>
          <w:vertAlign w:val="superscript"/>
        </w:rPr>
        <w:t xml:space="preserve">† </w:t>
      </w:r>
      <w:proofErr w:type="gramStart"/>
      <w:r w:rsidR="00623A00" w:rsidRPr="003B22AD">
        <w:rPr>
          <w:rFonts w:ascii="Times New Roman" w:hAnsi="Times New Roman"/>
        </w:rPr>
        <w:t>The</w:t>
      </w:r>
      <w:proofErr w:type="gramEnd"/>
      <w:r w:rsidR="00623A00" w:rsidRPr="003B22AD">
        <w:rPr>
          <w:rFonts w:ascii="Times New Roman" w:hAnsi="Times New Roman"/>
        </w:rPr>
        <w:t xml:space="preserve"> total number of immune cells was calculated by multiplying the % of immune cell phenotype in the spleen by the total number of splenocytes isolated </w:t>
      </w:r>
      <w:r w:rsidR="00623A00" w:rsidRPr="003B22AD">
        <w:rPr>
          <w:rFonts w:ascii="Times New Roman" w:eastAsia="Times New Roman" w:hAnsi="Times New Roman"/>
        </w:rPr>
        <w:t>(x10</w:t>
      </w:r>
      <w:r w:rsidR="00623A00" w:rsidRPr="003B22AD">
        <w:rPr>
          <w:rFonts w:ascii="Times New Roman" w:eastAsia="Times New Roman" w:hAnsi="Times New Roman"/>
          <w:vertAlign w:val="superscript"/>
        </w:rPr>
        <w:t>6</w:t>
      </w:r>
      <w:r w:rsidR="00623A00" w:rsidRPr="003B22AD">
        <w:rPr>
          <w:rFonts w:ascii="Times New Roman" w:eastAsia="Times New Roman" w:hAnsi="Times New Roman"/>
        </w:rPr>
        <w:t>).</w:t>
      </w:r>
    </w:p>
    <w:p w14:paraId="6D9B4776" w14:textId="7D61F0D9" w:rsidR="00517BA0" w:rsidRPr="003B22AD" w:rsidRDefault="00517BA0" w:rsidP="00ED7DE2">
      <w:pPr>
        <w:spacing w:before="60"/>
        <w:ind w:right="571"/>
        <w:rPr>
          <w:rFonts w:ascii="Times New Roman" w:hAnsi="Times New Roman" w:cs="Times New Roman"/>
        </w:rPr>
      </w:pPr>
      <w:r w:rsidRPr="003B22AD">
        <w:rPr>
          <w:rFonts w:ascii="Times New Roman" w:hAnsi="Times New Roman" w:cs="Times New Roman"/>
          <w:vertAlign w:val="superscript"/>
        </w:rPr>
        <w:t>‡</w:t>
      </w:r>
      <w:r w:rsidR="00D67A76" w:rsidRPr="003B22AD">
        <w:rPr>
          <w:rFonts w:ascii="Times New Roman" w:hAnsi="Times New Roman" w:cs="Times New Roman"/>
          <w:vertAlign w:val="superscript"/>
        </w:rPr>
        <w:t xml:space="preserve"> </w:t>
      </w:r>
      <w:r w:rsidRPr="003B22AD">
        <w:rPr>
          <w:rFonts w:ascii="Times New Roman" w:hAnsi="Times New Roman" w:cs="Times New Roman"/>
        </w:rPr>
        <w:t xml:space="preserve">Spearman’s correlation coefficient used to assess correlation between lymphocyte population and IL-2 production. </w:t>
      </w:r>
    </w:p>
    <w:p w14:paraId="304465C3" w14:textId="77777777" w:rsidR="00ED7DE2" w:rsidRPr="003B22AD" w:rsidRDefault="00ED7DE2" w:rsidP="00ED7DE2">
      <w:pPr>
        <w:rPr>
          <w:rStyle w:val="Emphasis"/>
          <w:rFonts w:ascii="Times New Roman" w:hAnsi="Times New Roman"/>
          <w:i w:val="0"/>
        </w:rPr>
      </w:pPr>
      <w:r w:rsidRPr="003B22AD">
        <w:rPr>
          <w:rFonts w:ascii="Times New Roman" w:hAnsi="Times New Roman" w:cs="Times New Roman"/>
        </w:rPr>
        <w:t xml:space="preserve">* </w:t>
      </w:r>
      <w:proofErr w:type="gramStart"/>
      <w:r w:rsidRPr="003B22AD">
        <w:rPr>
          <w:rFonts w:ascii="Times New Roman" w:hAnsi="Times New Roman" w:cs="Times New Roman"/>
        </w:rPr>
        <w:t>indicates</w:t>
      </w:r>
      <w:proofErr w:type="gramEnd"/>
      <w:r w:rsidRPr="003B22AD">
        <w:rPr>
          <w:rFonts w:ascii="Times New Roman" w:hAnsi="Times New Roman" w:cs="Times New Roman"/>
        </w:rPr>
        <w:t xml:space="preserve"> m</w:t>
      </w:r>
      <w:r w:rsidRPr="003B22AD">
        <w:rPr>
          <w:rStyle w:val="Emphasis"/>
          <w:rFonts w:ascii="Times New Roman" w:hAnsi="Times New Roman"/>
          <w:i w:val="0"/>
        </w:rPr>
        <w:t xml:space="preserve">ean within a row that is significantly different from </w:t>
      </w:r>
      <w:proofErr w:type="spellStart"/>
      <w:r w:rsidRPr="003B22AD">
        <w:rPr>
          <w:rStyle w:val="Emphasis"/>
          <w:rFonts w:ascii="Times New Roman" w:hAnsi="Times New Roman"/>
          <w:i w:val="0"/>
        </w:rPr>
        <w:t>ChS</w:t>
      </w:r>
      <w:proofErr w:type="spellEnd"/>
      <w:r w:rsidRPr="003B22AD">
        <w:rPr>
          <w:rStyle w:val="Emphasis"/>
          <w:rFonts w:ascii="Times New Roman" w:hAnsi="Times New Roman"/>
          <w:i w:val="0"/>
        </w:rPr>
        <w:t xml:space="preserve"> group (P&lt;0.05).</w:t>
      </w:r>
    </w:p>
    <w:p w14:paraId="3188492A" w14:textId="77777777" w:rsidR="003B2FBA" w:rsidRPr="003B22AD" w:rsidRDefault="003B2FBA" w:rsidP="00ED7DE2">
      <w:pPr>
        <w:rPr>
          <w:rFonts w:ascii="Times New Roman" w:hAnsi="Times New Roman" w:cs="Times New Roman"/>
        </w:rPr>
      </w:pPr>
    </w:p>
    <w:p w14:paraId="2369DBCF" w14:textId="77777777" w:rsidR="00DD4355" w:rsidRPr="003B22AD" w:rsidRDefault="00DD4355" w:rsidP="00ED7DE2">
      <w:pPr>
        <w:rPr>
          <w:rFonts w:ascii="Times New Roman" w:hAnsi="Times New Roman" w:cs="Times New Roman"/>
        </w:rPr>
      </w:pPr>
    </w:p>
    <w:p w14:paraId="3CA89D9E" w14:textId="77777777" w:rsidR="00DD4355" w:rsidRPr="003B22AD" w:rsidRDefault="00DD4355" w:rsidP="00ED7DE2">
      <w:pPr>
        <w:rPr>
          <w:rFonts w:ascii="Times New Roman" w:hAnsi="Times New Roman" w:cs="Times New Roman"/>
        </w:rPr>
      </w:pPr>
    </w:p>
    <w:p w14:paraId="4D47B708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451BCCE5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4E4708C3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44F682D9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65218F69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0D996C32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13759914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0D998123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46F25470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2703A734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5D8B341D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70683B83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1D11735D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0DCE6B1A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462558A6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517640E0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6B84C87C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40304688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48E82884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3B6DF031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0456FEEE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3CC98A64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5708A287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60EA593B" w14:textId="77777777" w:rsidR="00942355" w:rsidRPr="003B22AD" w:rsidRDefault="00942355" w:rsidP="00ED7DE2">
      <w:pPr>
        <w:rPr>
          <w:rFonts w:ascii="Times New Roman" w:hAnsi="Times New Roman" w:cs="Times New Roman"/>
        </w:rPr>
      </w:pPr>
    </w:p>
    <w:p w14:paraId="007223F8" w14:textId="77777777" w:rsidR="00DD4355" w:rsidRPr="003B22AD" w:rsidRDefault="00DD4355" w:rsidP="00ED7DE2">
      <w:pPr>
        <w:rPr>
          <w:rFonts w:ascii="Times New Roman" w:hAnsi="Times New Roman" w:cs="Times New Roman"/>
        </w:rPr>
      </w:pPr>
    </w:p>
    <w:p w14:paraId="2CA9EA4C" w14:textId="35DCDBA3" w:rsidR="003B2FBA" w:rsidRPr="003B22AD" w:rsidRDefault="003B2FBA" w:rsidP="00ED7DE2">
      <w:pPr>
        <w:spacing w:before="60"/>
        <w:ind w:right="571"/>
        <w:rPr>
          <w:rFonts w:ascii="Times New Roman" w:hAnsi="Times New Roman" w:cs="Times New Roman"/>
        </w:rPr>
      </w:pPr>
      <w:r w:rsidRPr="003B22AD">
        <w:rPr>
          <w:rFonts w:ascii="Times New Roman" w:hAnsi="Times New Roman" w:cs="Times New Roman"/>
        </w:rPr>
        <w:lastRenderedPageBreak/>
        <w:t>Supplementary Table 2</w:t>
      </w:r>
    </w:p>
    <w:p w14:paraId="6AF6C9DC" w14:textId="3F55E035" w:rsidR="003B2FBA" w:rsidRPr="003B22AD" w:rsidRDefault="003B2FBA" w:rsidP="00ED7DE2">
      <w:pPr>
        <w:spacing w:before="60"/>
        <w:ind w:right="571"/>
        <w:rPr>
          <w:rFonts w:ascii="Times New Roman" w:hAnsi="Times New Roman" w:cs="Times New Roman"/>
        </w:rPr>
      </w:pPr>
      <w:r w:rsidRPr="003B22AD">
        <w:rPr>
          <w:rFonts w:ascii="Times New Roman" w:hAnsi="Times New Roman" w:cs="Times New Roman"/>
          <w:i/>
        </w:rPr>
        <w:t xml:space="preserve">Ex vivo </w:t>
      </w:r>
      <w:r w:rsidRPr="003B22AD">
        <w:rPr>
          <w:rFonts w:ascii="Times New Roman" w:hAnsi="Times New Roman" w:cs="Times New Roman"/>
        </w:rPr>
        <w:t xml:space="preserve">IL-2 production by </w:t>
      </w:r>
      <w:r w:rsidR="009B30B8" w:rsidRPr="003B22AD">
        <w:rPr>
          <w:rFonts w:ascii="Times New Roman" w:hAnsi="Times New Roman" w:cs="Times New Roman"/>
        </w:rPr>
        <w:t xml:space="preserve">the number of specific cell types placed in culture </w:t>
      </w:r>
      <w:r w:rsidR="00EC2320" w:rsidRPr="003B22AD">
        <w:rPr>
          <w:rFonts w:ascii="Times New Roman" w:hAnsi="Times New Roman" w:cs="Times New Roman"/>
        </w:rPr>
        <w:t>following ConA stimu</w:t>
      </w:r>
      <w:r w:rsidRPr="003B22AD">
        <w:rPr>
          <w:rFonts w:ascii="Times New Roman" w:hAnsi="Times New Roman" w:cs="Times New Roman"/>
        </w:rPr>
        <w:t xml:space="preserve">lation </w:t>
      </w:r>
    </w:p>
    <w:tbl>
      <w:tblPr>
        <w:tblW w:w="9773" w:type="dxa"/>
        <w:jc w:val="center"/>
        <w:tblLayout w:type="fixed"/>
        <w:tblLook w:val="04A0" w:firstRow="1" w:lastRow="0" w:firstColumn="1" w:lastColumn="0" w:noHBand="0" w:noVBand="1"/>
      </w:tblPr>
      <w:tblGrid>
        <w:gridCol w:w="3366"/>
        <w:gridCol w:w="1562"/>
        <w:gridCol w:w="156"/>
        <w:gridCol w:w="1407"/>
        <w:gridCol w:w="468"/>
        <w:gridCol w:w="1407"/>
        <w:gridCol w:w="1407"/>
      </w:tblGrid>
      <w:tr w:rsidR="006A08E5" w:rsidRPr="003B22AD" w14:paraId="5F984682" w14:textId="7DB3B8E1" w:rsidTr="008762D6">
        <w:trPr>
          <w:trHeight w:val="278"/>
          <w:jc w:val="center"/>
        </w:trPr>
        <w:tc>
          <w:tcPr>
            <w:tcW w:w="336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2689" w14:textId="77777777" w:rsidR="00162FD7" w:rsidRPr="003B22AD" w:rsidRDefault="00162FD7" w:rsidP="0059231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E89EB" w14:textId="7C974D54" w:rsidR="00162FD7" w:rsidRPr="003B22AD" w:rsidRDefault="00162FD7" w:rsidP="0059231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B22AD">
              <w:rPr>
                <w:rFonts w:ascii="Times New Roman" w:eastAsia="Times New Roman" w:hAnsi="Times New Roman" w:cs="Times New Roman"/>
                <w:bCs/>
              </w:rPr>
              <w:t>ChS</w:t>
            </w:r>
            <w:proofErr w:type="spellEnd"/>
          </w:p>
        </w:tc>
        <w:tc>
          <w:tcPr>
            <w:tcW w:w="468" w:type="dxa"/>
            <w:tcBorders>
              <w:top w:val="single" w:sz="8" w:space="0" w:color="auto"/>
              <w:left w:val="nil"/>
              <w:right w:val="nil"/>
            </w:tcBorders>
          </w:tcPr>
          <w:p w14:paraId="0777A263" w14:textId="77777777" w:rsidR="00162FD7" w:rsidRPr="003B22AD" w:rsidRDefault="00162FD7" w:rsidP="0059231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9602" w14:textId="52399E38" w:rsidR="00162FD7" w:rsidRPr="003B22AD" w:rsidRDefault="00162FD7" w:rsidP="0059231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B22AD">
              <w:rPr>
                <w:rFonts w:ascii="Times New Roman" w:eastAsia="Times New Roman" w:hAnsi="Times New Roman" w:cs="Times New Roman"/>
                <w:bCs/>
              </w:rPr>
              <w:t>ChD</w:t>
            </w:r>
            <w:proofErr w:type="spellEnd"/>
          </w:p>
        </w:tc>
      </w:tr>
      <w:tr w:rsidR="006A08E5" w:rsidRPr="003B22AD" w14:paraId="7EC0BE85" w14:textId="142FB7C0" w:rsidTr="008762D6">
        <w:trPr>
          <w:trHeight w:val="262"/>
          <w:jc w:val="center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CE87" w14:textId="2E6E0F55" w:rsidR="00162FD7" w:rsidRPr="003B22AD" w:rsidRDefault="00162FD7" w:rsidP="00592312">
            <w:pPr>
              <w:rPr>
                <w:rFonts w:ascii="Times New Roman" w:eastAsia="Times New Roman" w:hAnsi="Times New Roman" w:cs="Times New Roman"/>
                <w:bCs/>
              </w:rPr>
            </w:pPr>
            <w:r w:rsidRPr="003B22A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gramStart"/>
            <w:r w:rsidR="008762D6" w:rsidRPr="003B22AD">
              <w:rPr>
                <w:rFonts w:ascii="Times New Roman" w:eastAsia="Times New Roman" w:hAnsi="Times New Roman" w:cs="Times New Roman"/>
                <w:bCs/>
              </w:rPr>
              <w:t>n</w:t>
            </w:r>
            <w:proofErr w:type="gramEnd"/>
            <w:r w:rsidR="008762D6" w:rsidRPr="003B22AD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43E83" w14:textId="771249DE" w:rsidR="00162FD7" w:rsidRPr="003B22AD" w:rsidRDefault="008762D6" w:rsidP="008762D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2AD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23B67" w14:textId="77777777" w:rsidR="00162FD7" w:rsidRPr="003B22AD" w:rsidRDefault="00162FD7" w:rsidP="0059231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8FF52" w14:textId="398FB4AA" w:rsidR="00162FD7" w:rsidRPr="003B22AD" w:rsidRDefault="008762D6" w:rsidP="008762D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2AD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6A08E5" w:rsidRPr="003B22AD" w14:paraId="54A66C3C" w14:textId="77777777" w:rsidTr="008762D6">
        <w:trPr>
          <w:trHeight w:val="262"/>
          <w:jc w:val="center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0F8B8" w14:textId="77777777" w:rsidR="006A08E5" w:rsidRPr="003B22AD" w:rsidRDefault="006A08E5" w:rsidP="0059231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B3E84" w14:textId="7F9DF985" w:rsidR="006A08E5" w:rsidRPr="003B22AD" w:rsidRDefault="006A08E5" w:rsidP="0059231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2AD">
              <w:rPr>
                <w:rFonts w:ascii="Times New Roman" w:eastAsia="Times New Roman" w:hAnsi="Times New Roman" w:cs="Times New Roman"/>
                <w:bCs/>
              </w:rPr>
              <w:t>Mean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26D74" w14:textId="23588D08" w:rsidR="006A08E5" w:rsidRPr="003B22AD" w:rsidRDefault="006A08E5" w:rsidP="0059231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2AD">
              <w:rPr>
                <w:rFonts w:ascii="Times New Roman" w:eastAsia="Times New Roman" w:hAnsi="Times New Roman" w:cs="Times New Roman"/>
                <w:bCs/>
              </w:rPr>
              <w:t>SEM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DE755" w14:textId="77777777" w:rsidR="006A08E5" w:rsidRPr="003B22AD" w:rsidRDefault="006A08E5" w:rsidP="0059231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687BF" w14:textId="04466468" w:rsidR="006A08E5" w:rsidRPr="003B22AD" w:rsidRDefault="006A08E5" w:rsidP="0059231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2AD">
              <w:rPr>
                <w:rFonts w:ascii="Times New Roman" w:eastAsia="Times New Roman" w:hAnsi="Times New Roman" w:cs="Times New Roman"/>
                <w:bCs/>
              </w:rPr>
              <w:t>Mean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0B32C" w14:textId="74220025" w:rsidR="006A08E5" w:rsidRPr="003B22AD" w:rsidRDefault="006A08E5" w:rsidP="0059231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2AD">
              <w:rPr>
                <w:rFonts w:ascii="Times New Roman" w:eastAsia="Times New Roman" w:hAnsi="Times New Roman" w:cs="Times New Roman"/>
                <w:bCs/>
              </w:rPr>
              <w:t>SEM</w:t>
            </w:r>
          </w:p>
        </w:tc>
      </w:tr>
      <w:tr w:rsidR="00162FD7" w:rsidRPr="003B22AD" w14:paraId="6DAE3478" w14:textId="3F57939A" w:rsidTr="00C75024">
        <w:trPr>
          <w:trHeight w:val="249"/>
          <w:jc w:val="center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A259A" w14:textId="4CC3CDAC" w:rsidR="00162FD7" w:rsidRPr="003B22AD" w:rsidRDefault="00162FD7" w:rsidP="00DD4355">
            <w:pPr>
              <w:spacing w:before="60"/>
              <w:ind w:right="571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6583C" w14:textId="6F8A4B40" w:rsidR="00162FD7" w:rsidRPr="003B22AD" w:rsidRDefault="00162FD7" w:rsidP="006A08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IL-2 production (</w:t>
            </w:r>
            <w:proofErr w:type="spellStart"/>
            <w:r w:rsidRPr="003B22AD">
              <w:rPr>
                <w:rFonts w:ascii="Times New Roman" w:eastAsia="Times New Roman" w:hAnsi="Times New Roman" w:cs="Times New Roman"/>
              </w:rPr>
              <w:t>pg</w:t>
            </w:r>
            <w:proofErr w:type="spellEnd"/>
            <w:r w:rsidRPr="003B22AD">
              <w:rPr>
                <w:rFonts w:ascii="Times New Roman" w:eastAsia="Times New Roman" w:hAnsi="Times New Roman" w:cs="Times New Roman"/>
              </w:rPr>
              <w:t>/x10</w:t>
            </w:r>
            <w:r w:rsidRPr="003B22AD">
              <w:rPr>
                <w:rFonts w:ascii="Times New Roman" w:eastAsia="Times New Roman" w:hAnsi="Times New Roman" w:cs="Times New Roman"/>
                <w:vertAlign w:val="superscript"/>
              </w:rPr>
              <w:t xml:space="preserve">4 </w:t>
            </w:r>
            <w:r w:rsidR="00515A4B" w:rsidRPr="003B22AD">
              <w:rPr>
                <w:rFonts w:ascii="Times New Roman" w:eastAsia="Times New Roman" w:hAnsi="Times New Roman" w:cs="Times New Roman"/>
              </w:rPr>
              <w:t xml:space="preserve">cells </w:t>
            </w:r>
            <w:r w:rsidRPr="003B22AD">
              <w:rPr>
                <w:rFonts w:ascii="Times New Roman" w:eastAsia="Times New Roman" w:hAnsi="Times New Roman" w:cs="Times New Roman"/>
              </w:rPr>
              <w:t>of lymphocyte subset</w:t>
            </w:r>
            <w:r w:rsidR="00517BA0" w:rsidRPr="003B22AD">
              <w:rPr>
                <w:rFonts w:ascii="Times New Roman" w:hAnsi="Times New Roman" w:cs="Times New Roman"/>
                <w:vertAlign w:val="superscript"/>
              </w:rPr>
              <w:t>‡</w:t>
            </w:r>
            <w:r w:rsidRPr="003B22A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A08E5" w:rsidRPr="003B22AD" w14:paraId="1F516749" w14:textId="5D33AEBE" w:rsidTr="00EB4B32">
        <w:trPr>
          <w:trHeight w:val="249"/>
          <w:jc w:val="center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C39F" w14:textId="591A2CD6" w:rsidR="00162FD7" w:rsidRPr="003B22AD" w:rsidRDefault="00162FD7" w:rsidP="00F25DC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CD4+CD25+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0977C" w14:textId="36D2F65E" w:rsidR="00162FD7" w:rsidRPr="003B22AD" w:rsidRDefault="00162FD7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1043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D53F3" w14:textId="72504184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13D21" w14:textId="77777777" w:rsidR="00162FD7" w:rsidRPr="003B22AD" w:rsidRDefault="00162FD7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03906" w14:textId="236623D0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702</w:t>
            </w:r>
            <w:r w:rsidR="00F25DC0" w:rsidRPr="003B22A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38AAA" w14:textId="20D81BAD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6A08E5" w:rsidRPr="003B22AD" w14:paraId="2DA9905D" w14:textId="42AB54DA" w:rsidTr="00EB4B32">
        <w:trPr>
          <w:trHeight w:val="249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15E4" w14:textId="45A07FC9" w:rsidR="00162FD7" w:rsidRPr="003B22AD" w:rsidRDefault="00162FD7" w:rsidP="00F25DC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CD8+CD25+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89268" w14:textId="723CAB33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1113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737FBAC" w14:textId="62EE1DF0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F7222D7" w14:textId="77777777" w:rsidR="00162FD7" w:rsidRPr="003B22AD" w:rsidRDefault="00162FD7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5A408" w14:textId="201479B9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1E318C5" w14:textId="541809FF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6A08E5" w:rsidRPr="003B22AD" w14:paraId="4E391A31" w14:textId="403A14C9" w:rsidTr="00EB4B32">
        <w:trPr>
          <w:trHeight w:val="249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0D8F" w14:textId="45F5E65C" w:rsidR="00162FD7" w:rsidRPr="003B22AD" w:rsidRDefault="00162FD7" w:rsidP="00F25DC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CD4+CD71+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9159E" w14:textId="23544F25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542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5F3EE0C" w14:textId="32377224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5A8C6D6" w14:textId="77777777" w:rsidR="00162FD7" w:rsidRPr="003B22AD" w:rsidRDefault="00162FD7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F331B" w14:textId="0103EF4F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F3C26FC" w14:textId="3B81F0CC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6A08E5" w:rsidRPr="003B22AD" w14:paraId="4B29BDA3" w14:textId="11B03B5C" w:rsidTr="00EB4B32">
        <w:trPr>
          <w:trHeight w:val="249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B000" w14:textId="79ECD37C" w:rsidR="00162FD7" w:rsidRPr="003B22AD" w:rsidRDefault="00162FD7" w:rsidP="00F25DC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CD8+CD71+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2E6E9" w14:textId="40492E40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407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B2808AE" w14:textId="6E4EF9C5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CCE265E" w14:textId="77777777" w:rsidR="00162FD7" w:rsidRPr="003B22AD" w:rsidRDefault="00162FD7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15CAC" w14:textId="5D2D873A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30E1F989" w14:textId="30410093" w:rsidR="00162FD7" w:rsidRPr="003B22AD" w:rsidRDefault="00781C71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F25DC0" w:rsidRPr="003B22AD" w14:paraId="526780B1" w14:textId="77777777" w:rsidTr="00C75024">
        <w:trPr>
          <w:trHeight w:val="249"/>
          <w:jc w:val="center"/>
        </w:trPr>
        <w:tc>
          <w:tcPr>
            <w:tcW w:w="3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43B53E" w14:textId="01DC8968" w:rsidR="00F25DC0" w:rsidRPr="003B22AD" w:rsidRDefault="00F25DC0" w:rsidP="00F25DC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 xml:space="preserve">CD4+CD25+ and CD8+CD25+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8CEB5C" w14:textId="0B8DFC1C" w:rsidR="00F25DC0" w:rsidRPr="003B22AD" w:rsidRDefault="00F25DC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523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</w:tcPr>
          <w:p w14:paraId="112DE81D" w14:textId="65920138" w:rsidR="00F25DC0" w:rsidRPr="003B22AD" w:rsidRDefault="00F25DC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292E6326" w14:textId="77777777" w:rsidR="00F25DC0" w:rsidRPr="003B22AD" w:rsidRDefault="00F25DC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9E6EA3" w14:textId="2752B05D" w:rsidR="00F25DC0" w:rsidRPr="003B22AD" w:rsidRDefault="00F25DC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323*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</w:tcPr>
          <w:p w14:paraId="20074825" w14:textId="2F9D2319" w:rsidR="00F25DC0" w:rsidRPr="003B22AD" w:rsidRDefault="00F25DC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F25DC0" w:rsidRPr="003B22AD" w14:paraId="354C71EF" w14:textId="77777777" w:rsidTr="00C75024">
        <w:trPr>
          <w:trHeight w:val="249"/>
          <w:jc w:val="center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FF777" w14:textId="3B23AF8B" w:rsidR="00F25DC0" w:rsidRPr="003B22AD" w:rsidRDefault="00F25DC0" w:rsidP="00F25DC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CD4+CD71+ and CD8+CD71+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5784F" w14:textId="25774E8B" w:rsidR="00F25DC0" w:rsidRPr="003B22AD" w:rsidRDefault="00F25DC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52DA3" w14:textId="74A5EEC8" w:rsidR="00F25DC0" w:rsidRPr="003B22AD" w:rsidRDefault="00F25DC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4B63B" w14:textId="77777777" w:rsidR="00F25DC0" w:rsidRPr="003B22AD" w:rsidRDefault="00F25DC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FE48D" w14:textId="6C80BFB6" w:rsidR="00F25DC0" w:rsidRPr="003B22AD" w:rsidRDefault="00F25DC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FDD5F" w14:textId="1DA1435A" w:rsidR="00F25DC0" w:rsidRPr="003B22AD" w:rsidRDefault="00F25DC0" w:rsidP="00DD43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2AD"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14:paraId="763FB4A8" w14:textId="77777777" w:rsidR="00900317" w:rsidRPr="003B22AD" w:rsidRDefault="00900317" w:rsidP="00900317">
      <w:pPr>
        <w:spacing w:before="60"/>
        <w:ind w:right="571"/>
        <w:rPr>
          <w:rFonts w:ascii="Times New Roman" w:hAnsi="Times New Roman" w:cs="Times New Roman"/>
        </w:rPr>
      </w:pPr>
      <w:r w:rsidRPr="003B22AD">
        <w:rPr>
          <w:rFonts w:ascii="Times New Roman" w:hAnsi="Times New Roman" w:cs="Times New Roman"/>
        </w:rPr>
        <w:t xml:space="preserve">CD, cluster of differentiation; </w:t>
      </w:r>
    </w:p>
    <w:p w14:paraId="35A28A08" w14:textId="6FCFD99D" w:rsidR="00246FB1" w:rsidRPr="003B22AD" w:rsidRDefault="00517BA0" w:rsidP="00D603BC">
      <w:pPr>
        <w:spacing w:before="60"/>
        <w:ind w:right="571"/>
        <w:rPr>
          <w:rFonts w:ascii="Times New Roman" w:hAnsi="Times New Roman" w:cs="Times New Roman"/>
        </w:rPr>
      </w:pPr>
      <w:r w:rsidRPr="003B22AD">
        <w:rPr>
          <w:rFonts w:ascii="Times New Roman" w:hAnsi="Times New Roman" w:cs="Times New Roman"/>
          <w:vertAlign w:val="superscript"/>
        </w:rPr>
        <w:t xml:space="preserve">† </w:t>
      </w:r>
      <w:proofErr w:type="gramStart"/>
      <w:r w:rsidRPr="003B22AD">
        <w:rPr>
          <w:rFonts w:ascii="Times New Roman" w:eastAsia="Times New Roman" w:hAnsi="Times New Roman"/>
          <w:shd w:val="clear" w:color="auto" w:fill="FFFFFF"/>
        </w:rPr>
        <w:t>n</w:t>
      </w:r>
      <w:proofErr w:type="gramEnd"/>
      <w:r w:rsidRPr="003B22AD">
        <w:rPr>
          <w:rFonts w:ascii="Times New Roman" w:eastAsia="Times New Roman" w:hAnsi="Times New Roman"/>
          <w:shd w:val="clear" w:color="auto" w:fill="FFFFFF"/>
        </w:rPr>
        <w:t xml:space="preserve"> refers to the number of dams as they are the experimental unit. This includes two offspring pooled to obtain a measure for each dam, with measurements from each offspring conducted in duplicate</w:t>
      </w:r>
    </w:p>
    <w:p w14:paraId="4B98E9D2" w14:textId="3C47ADB4" w:rsidR="00D603BC" w:rsidRPr="003B22AD" w:rsidRDefault="00517BA0" w:rsidP="00D603BC">
      <w:pPr>
        <w:spacing w:before="60"/>
        <w:ind w:right="571"/>
        <w:rPr>
          <w:rFonts w:ascii="Times New Roman" w:hAnsi="Times New Roman" w:cs="Times New Roman"/>
        </w:rPr>
      </w:pPr>
      <w:r w:rsidRPr="003B22AD">
        <w:rPr>
          <w:rFonts w:ascii="Times New Roman" w:hAnsi="Times New Roman" w:cs="Times New Roman"/>
          <w:vertAlign w:val="superscript"/>
        </w:rPr>
        <w:t>‡</w:t>
      </w:r>
      <w:r w:rsidR="00D67A76" w:rsidRPr="003B22AD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="009B30B8" w:rsidRPr="003B22AD">
        <w:rPr>
          <w:rFonts w:ascii="Times New Roman" w:eastAsia="Times New Roman" w:hAnsi="Times New Roman"/>
          <w:shd w:val="clear" w:color="auto" w:fill="FFFFFF"/>
        </w:rPr>
        <w:t>To</w:t>
      </w:r>
      <w:proofErr w:type="gramEnd"/>
      <w:r w:rsidR="009B30B8" w:rsidRPr="003B22AD">
        <w:rPr>
          <w:rFonts w:ascii="Times New Roman" w:eastAsia="Times New Roman" w:hAnsi="Times New Roman"/>
          <w:shd w:val="clear" w:color="auto" w:fill="FFFFFF"/>
        </w:rPr>
        <w:t xml:space="preserve"> express cytokine response by specific lymphocyte population, the % of lymphocyte population was multiplied by 1.25x10</w:t>
      </w:r>
      <w:r w:rsidR="009B30B8" w:rsidRPr="003B22AD">
        <w:rPr>
          <w:rFonts w:ascii="Times New Roman" w:eastAsia="Times New Roman" w:hAnsi="Times New Roman"/>
          <w:shd w:val="clear" w:color="auto" w:fill="FFFFFF"/>
          <w:vertAlign w:val="superscript"/>
        </w:rPr>
        <w:t>6</w:t>
      </w:r>
      <w:r w:rsidR="009B30B8" w:rsidRPr="003B22AD">
        <w:rPr>
          <w:rFonts w:ascii="Times New Roman" w:eastAsia="Times New Roman" w:hAnsi="Times New Roman"/>
          <w:shd w:val="clear" w:color="auto" w:fill="FFFFFF"/>
        </w:rPr>
        <w:t xml:space="preserve"> (number of total cells added to culture). </w:t>
      </w:r>
      <w:proofErr w:type="gramStart"/>
      <w:r w:rsidR="009B30B8" w:rsidRPr="003B22AD">
        <w:rPr>
          <w:rFonts w:ascii="Times New Roman" w:eastAsia="Times New Roman" w:hAnsi="Times New Roman"/>
          <w:shd w:val="clear" w:color="auto" w:fill="FFFFFF"/>
        </w:rPr>
        <w:t>Then IL-2 production (</w:t>
      </w:r>
      <w:proofErr w:type="spellStart"/>
      <w:r w:rsidR="009B30B8" w:rsidRPr="003B22AD">
        <w:rPr>
          <w:rFonts w:ascii="Times New Roman" w:eastAsia="Times New Roman" w:hAnsi="Times New Roman"/>
          <w:shd w:val="clear" w:color="auto" w:fill="FFFFFF"/>
        </w:rPr>
        <w:t>pg</w:t>
      </w:r>
      <w:proofErr w:type="spellEnd"/>
      <w:r w:rsidR="009B30B8" w:rsidRPr="003B22AD">
        <w:rPr>
          <w:rFonts w:ascii="Times New Roman" w:eastAsia="Times New Roman" w:hAnsi="Times New Roman"/>
          <w:shd w:val="clear" w:color="auto" w:fill="FFFFFF"/>
        </w:rPr>
        <w:t>/ml) was divided by the number of lymphocytes added to culture to express the amount of IL-2 in the media per a specific lymphocyte subset</w:t>
      </w:r>
      <w:proofErr w:type="gramEnd"/>
    </w:p>
    <w:p w14:paraId="4216CFF8" w14:textId="60DEAEB2" w:rsidR="00DC548B" w:rsidRPr="003B22AD" w:rsidRDefault="00DD4355" w:rsidP="00DC548B">
      <w:pPr>
        <w:rPr>
          <w:rFonts w:ascii="Times New Roman" w:hAnsi="Times New Roman" w:cs="Times New Roman"/>
          <w:iCs/>
        </w:rPr>
      </w:pPr>
      <w:r w:rsidRPr="003B22AD">
        <w:rPr>
          <w:rFonts w:ascii="Times New Roman" w:hAnsi="Times New Roman" w:cs="Times New Roman"/>
        </w:rPr>
        <w:t xml:space="preserve">* </w:t>
      </w:r>
      <w:proofErr w:type="gramStart"/>
      <w:r w:rsidRPr="003B22AD">
        <w:rPr>
          <w:rFonts w:ascii="Times New Roman" w:hAnsi="Times New Roman" w:cs="Times New Roman"/>
        </w:rPr>
        <w:t>indicates</w:t>
      </w:r>
      <w:proofErr w:type="gramEnd"/>
      <w:r w:rsidRPr="003B22AD">
        <w:rPr>
          <w:rFonts w:ascii="Times New Roman" w:hAnsi="Times New Roman" w:cs="Times New Roman"/>
        </w:rPr>
        <w:t xml:space="preserve"> m</w:t>
      </w:r>
      <w:r w:rsidRPr="003B22AD">
        <w:rPr>
          <w:rStyle w:val="Emphasis"/>
          <w:rFonts w:ascii="Times New Roman" w:hAnsi="Times New Roman"/>
          <w:i w:val="0"/>
        </w:rPr>
        <w:t>ean within a row that is significantly di</w:t>
      </w:r>
      <w:r w:rsidR="00623A00" w:rsidRPr="003B22AD">
        <w:rPr>
          <w:rStyle w:val="Emphasis"/>
          <w:rFonts w:ascii="Times New Roman" w:hAnsi="Times New Roman"/>
          <w:i w:val="0"/>
        </w:rPr>
        <w:t xml:space="preserve">fferent from </w:t>
      </w:r>
      <w:proofErr w:type="spellStart"/>
      <w:r w:rsidR="00623A00" w:rsidRPr="003B22AD">
        <w:rPr>
          <w:rStyle w:val="Emphasis"/>
          <w:rFonts w:ascii="Times New Roman" w:hAnsi="Times New Roman"/>
          <w:i w:val="0"/>
        </w:rPr>
        <w:t>ChS</w:t>
      </w:r>
      <w:proofErr w:type="spellEnd"/>
      <w:r w:rsidR="00623A00" w:rsidRPr="003B22AD">
        <w:rPr>
          <w:rStyle w:val="Emphasis"/>
          <w:rFonts w:ascii="Times New Roman" w:hAnsi="Times New Roman"/>
          <w:i w:val="0"/>
        </w:rPr>
        <w:t xml:space="preserve"> group (P&lt;0.05)</w:t>
      </w:r>
    </w:p>
    <w:p w14:paraId="00352C13" w14:textId="77777777" w:rsidR="00DC548B" w:rsidRPr="003B22AD" w:rsidRDefault="00DC548B" w:rsidP="00DC548B">
      <w:pPr>
        <w:rPr>
          <w:rFonts w:ascii="Times New Roman" w:eastAsia="Times New Roman" w:hAnsi="Times New Roman" w:cs="Times New Roman"/>
        </w:rPr>
      </w:pPr>
    </w:p>
    <w:p w14:paraId="12E87340" w14:textId="77777777" w:rsidR="00DC548B" w:rsidRPr="003B22AD" w:rsidRDefault="00DC548B" w:rsidP="00DC548B">
      <w:pPr>
        <w:rPr>
          <w:rFonts w:ascii="Times New Roman" w:eastAsia="Times New Roman" w:hAnsi="Times New Roman" w:cs="Times New Roman"/>
        </w:rPr>
      </w:pPr>
    </w:p>
    <w:p w14:paraId="4329825D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6C0D12F6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7871981F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1DAA88F8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64F006A0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1931D9E2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2E5C29F7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1437D8ED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19CC2B12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78ABD11F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7476BD3A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664A0712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1362DE35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36FEADC2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55CAFA3B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7351D353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228934D9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4980DC6D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2723F5B8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12E38598" w14:textId="77777777" w:rsidR="00942355" w:rsidRPr="003B22AD" w:rsidRDefault="00942355" w:rsidP="00DC548B">
      <w:pPr>
        <w:rPr>
          <w:rFonts w:ascii="Times New Roman" w:eastAsia="Times New Roman" w:hAnsi="Times New Roman" w:cs="Times New Roman"/>
        </w:rPr>
      </w:pPr>
    </w:p>
    <w:p w14:paraId="06E5A73D" w14:textId="4E3B6E14" w:rsidR="00DC548B" w:rsidRPr="003B22AD" w:rsidRDefault="00DC548B" w:rsidP="00505B5C">
      <w:pPr>
        <w:spacing w:line="480" w:lineRule="auto"/>
        <w:rPr>
          <w:rFonts w:ascii="Times New Roman" w:hAnsi="Times New Roman" w:cs="Times New Roman"/>
        </w:rPr>
      </w:pPr>
      <w:r w:rsidRPr="003B22AD">
        <w:rPr>
          <w:rFonts w:ascii="Times New Roman" w:hAnsi="Times New Roman" w:cs="Times New Roman"/>
        </w:rPr>
        <w:lastRenderedPageBreak/>
        <w:t>Supplementary Figure Legends</w:t>
      </w:r>
    </w:p>
    <w:p w14:paraId="3FBBF756" w14:textId="3F19F689" w:rsidR="00DC548B" w:rsidRPr="003B22AD" w:rsidRDefault="001F7220" w:rsidP="00DC548B">
      <w:pPr>
        <w:pStyle w:val="EndNoteBibliographyTitle"/>
        <w:jc w:val="left"/>
        <w:rPr>
          <w:rFonts w:ascii="Times New Roman" w:hAnsi="Times New Roman" w:cs="Times New Roman"/>
        </w:rPr>
      </w:pPr>
      <w:proofErr w:type="gramStart"/>
      <w:r w:rsidRPr="003B22AD">
        <w:rPr>
          <w:rFonts w:ascii="Times New Roman" w:hAnsi="Times New Roman" w:cs="Times New Roman"/>
        </w:rPr>
        <w:t>SUPPLEMENTARY</w:t>
      </w:r>
      <w:r w:rsidR="00DC548B" w:rsidRPr="003B22AD">
        <w:rPr>
          <w:rFonts w:ascii="Times New Roman" w:hAnsi="Times New Roman" w:cs="Times New Roman"/>
        </w:rPr>
        <w:t xml:space="preserve"> </w:t>
      </w:r>
      <w:r w:rsidRPr="003B22AD">
        <w:rPr>
          <w:rFonts w:ascii="Times New Roman" w:hAnsi="Times New Roman" w:cs="Times New Roman"/>
        </w:rPr>
        <w:t>FIGURE 1.</w:t>
      </w:r>
      <w:proofErr w:type="gramEnd"/>
      <w:r w:rsidRPr="003B22AD">
        <w:rPr>
          <w:rFonts w:ascii="Times New Roman" w:hAnsi="Times New Roman" w:cs="Times New Roman"/>
        </w:rPr>
        <w:t xml:space="preserve"> </w:t>
      </w:r>
      <w:r w:rsidR="00DC548B" w:rsidRPr="003B22AD">
        <w:rPr>
          <w:rFonts w:ascii="Times New Roman" w:hAnsi="Times New Roman" w:cs="Times New Roman"/>
        </w:rPr>
        <w:t xml:space="preserve">Examples of representative dot plots for gating strategies used in flow </w:t>
      </w:r>
      <w:proofErr w:type="spellStart"/>
      <w:r w:rsidR="00DC548B" w:rsidRPr="003B22AD">
        <w:rPr>
          <w:rFonts w:ascii="Times New Roman" w:hAnsi="Times New Roman" w:cs="Times New Roman"/>
        </w:rPr>
        <w:t>cytometry</w:t>
      </w:r>
      <w:proofErr w:type="spellEnd"/>
      <w:r w:rsidR="00DC548B" w:rsidRPr="003B22AD">
        <w:rPr>
          <w:rFonts w:ascii="Times New Roman" w:hAnsi="Times New Roman" w:cs="Times New Roman"/>
        </w:rPr>
        <w:t xml:space="preserve"> analysis of splenocytes (A-D representing one individual animal) </w:t>
      </w:r>
    </w:p>
    <w:p w14:paraId="290C6C8B" w14:textId="77777777" w:rsidR="00DC548B" w:rsidRPr="003B22AD" w:rsidRDefault="00DC548B" w:rsidP="00DC548B"/>
    <w:p w14:paraId="6F95A333" w14:textId="3337B7F4" w:rsidR="00DC548B" w:rsidRPr="003B22AD" w:rsidRDefault="0003522B" w:rsidP="00DC548B">
      <w:pPr>
        <w:pStyle w:val="EndNoteBibliographyTitle"/>
        <w:jc w:val="left"/>
        <w:rPr>
          <w:rFonts w:ascii="Times New Roman" w:hAnsi="Times New Roman" w:cs="Times New Roman"/>
        </w:rPr>
      </w:pPr>
      <w:proofErr w:type="gramStart"/>
      <w:r w:rsidRPr="003B22AD">
        <w:rPr>
          <w:rFonts w:ascii="Times New Roman" w:hAnsi="Times New Roman" w:cs="Times New Roman"/>
        </w:rPr>
        <w:t>SUPPLEMENTARY FIGURE 2.</w:t>
      </w:r>
      <w:proofErr w:type="gramEnd"/>
      <w:r w:rsidRPr="003B22AD">
        <w:rPr>
          <w:rFonts w:ascii="Times New Roman" w:hAnsi="Times New Roman" w:cs="Times New Roman"/>
        </w:rPr>
        <w:t xml:space="preserve"> </w:t>
      </w:r>
      <w:r w:rsidR="00DC548B" w:rsidRPr="003B22AD">
        <w:rPr>
          <w:rFonts w:ascii="Times New Roman" w:hAnsi="Times New Roman" w:cs="Times New Roman"/>
        </w:rPr>
        <w:t xml:space="preserve">Examples of representative dot plots for </w:t>
      </w:r>
      <w:proofErr w:type="spellStart"/>
      <w:r w:rsidR="00DC548B" w:rsidRPr="003B22AD">
        <w:rPr>
          <w:rFonts w:ascii="Times New Roman" w:hAnsi="Times New Roman" w:cs="Times New Roman"/>
        </w:rPr>
        <w:t>isotype</w:t>
      </w:r>
      <w:proofErr w:type="spellEnd"/>
      <w:r w:rsidR="00DC548B" w:rsidRPr="003B22AD">
        <w:rPr>
          <w:rFonts w:ascii="Times New Roman" w:hAnsi="Times New Roman" w:cs="Times New Roman"/>
        </w:rPr>
        <w:t xml:space="preserve"> controls used in flow </w:t>
      </w:r>
      <w:proofErr w:type="spellStart"/>
      <w:r w:rsidR="00DC548B" w:rsidRPr="003B22AD">
        <w:rPr>
          <w:rFonts w:ascii="Times New Roman" w:hAnsi="Times New Roman" w:cs="Times New Roman"/>
        </w:rPr>
        <w:t>cytometry</w:t>
      </w:r>
      <w:proofErr w:type="spellEnd"/>
      <w:r w:rsidR="00DC548B" w:rsidRPr="003B22AD">
        <w:rPr>
          <w:rFonts w:ascii="Times New Roman" w:hAnsi="Times New Roman" w:cs="Times New Roman"/>
        </w:rPr>
        <w:t xml:space="preserve"> analysis including the gating strategy (A), and histograms of </w:t>
      </w:r>
      <w:proofErr w:type="spellStart"/>
      <w:r w:rsidR="00DC548B" w:rsidRPr="003B22AD">
        <w:rPr>
          <w:rFonts w:ascii="Times New Roman" w:hAnsi="Times New Roman" w:cs="Times New Roman"/>
        </w:rPr>
        <w:t>isotype</w:t>
      </w:r>
      <w:proofErr w:type="spellEnd"/>
      <w:r w:rsidR="00DC548B" w:rsidRPr="003B22AD">
        <w:rPr>
          <w:rFonts w:ascii="Times New Roman" w:hAnsi="Times New Roman" w:cs="Times New Roman"/>
        </w:rPr>
        <w:t xml:space="preserve"> controls FITC (B), PE (C) and </w:t>
      </w:r>
      <w:proofErr w:type="spellStart"/>
      <w:r w:rsidR="00DC548B" w:rsidRPr="003B22AD">
        <w:rPr>
          <w:rFonts w:ascii="Times New Roman" w:hAnsi="Times New Roman" w:cs="Times New Roman"/>
        </w:rPr>
        <w:t>PerCP</w:t>
      </w:r>
      <w:proofErr w:type="spellEnd"/>
      <w:r w:rsidR="00DC548B" w:rsidRPr="003B22AD">
        <w:rPr>
          <w:rFonts w:ascii="Times New Roman" w:hAnsi="Times New Roman" w:cs="Times New Roman"/>
        </w:rPr>
        <w:t xml:space="preserve"> (D)</w:t>
      </w:r>
    </w:p>
    <w:p w14:paraId="5AA2BCC8" w14:textId="77777777" w:rsidR="00DC548B" w:rsidRPr="003B22AD" w:rsidRDefault="00DC548B" w:rsidP="00DC548B">
      <w:pPr>
        <w:pStyle w:val="EndNoteBibliographyTitle"/>
        <w:jc w:val="left"/>
        <w:rPr>
          <w:rFonts w:ascii="Times New Roman" w:hAnsi="Times New Roman" w:cs="Times New Roman"/>
          <w:highlight w:val="yellow"/>
        </w:rPr>
      </w:pPr>
    </w:p>
    <w:p w14:paraId="6BDE0C98" w14:textId="7FDD82E7" w:rsidR="00DC548B" w:rsidRPr="003B22AD" w:rsidRDefault="0003522B" w:rsidP="00DC548B">
      <w:pPr>
        <w:pStyle w:val="EndNoteBibliographyTitle"/>
        <w:jc w:val="left"/>
        <w:rPr>
          <w:rFonts w:ascii="Times New Roman" w:hAnsi="Times New Roman" w:cs="Times New Roman"/>
        </w:rPr>
      </w:pPr>
      <w:proofErr w:type="gramStart"/>
      <w:r w:rsidRPr="003B22AD">
        <w:rPr>
          <w:rFonts w:ascii="Times New Roman" w:hAnsi="Times New Roman" w:cs="Times New Roman"/>
        </w:rPr>
        <w:t>SUPPLEMENTARY FIGURE 3.</w:t>
      </w:r>
      <w:proofErr w:type="gramEnd"/>
      <w:r w:rsidRPr="003B22AD">
        <w:rPr>
          <w:rFonts w:ascii="Times New Roman" w:hAnsi="Times New Roman" w:cs="Times New Roman"/>
        </w:rPr>
        <w:t xml:space="preserve"> </w:t>
      </w:r>
      <w:r w:rsidR="00DC548B" w:rsidRPr="003B22AD">
        <w:rPr>
          <w:rFonts w:ascii="Times New Roman" w:hAnsi="Times New Roman" w:cs="Times New Roman"/>
        </w:rPr>
        <w:t xml:space="preserve">Representative dot plots for unstained splenocytes (A) and </w:t>
      </w:r>
      <w:proofErr w:type="spellStart"/>
      <w:r w:rsidR="00DC548B" w:rsidRPr="003B22AD">
        <w:rPr>
          <w:rFonts w:ascii="Times New Roman" w:hAnsi="Times New Roman" w:cs="Times New Roman"/>
        </w:rPr>
        <w:t>isotype</w:t>
      </w:r>
      <w:proofErr w:type="spellEnd"/>
      <w:r w:rsidR="00DC548B" w:rsidRPr="003B22AD">
        <w:rPr>
          <w:rFonts w:ascii="Times New Roman" w:hAnsi="Times New Roman" w:cs="Times New Roman"/>
        </w:rPr>
        <w:t xml:space="preserve"> controls (B-E) used in flow </w:t>
      </w:r>
      <w:proofErr w:type="spellStart"/>
      <w:r w:rsidR="00DC548B" w:rsidRPr="003B22AD">
        <w:rPr>
          <w:rFonts w:ascii="Times New Roman" w:hAnsi="Times New Roman" w:cs="Times New Roman"/>
        </w:rPr>
        <w:t>cytometry</w:t>
      </w:r>
      <w:proofErr w:type="spellEnd"/>
      <w:r w:rsidR="00DC548B" w:rsidRPr="003B22AD">
        <w:rPr>
          <w:rFonts w:ascii="Times New Roman" w:hAnsi="Times New Roman" w:cs="Times New Roman"/>
        </w:rPr>
        <w:t xml:space="preserve"> analysis</w:t>
      </w:r>
    </w:p>
    <w:p w14:paraId="40960E4B" w14:textId="77777777" w:rsidR="00871DD7" w:rsidRPr="003B22AD" w:rsidRDefault="00871DD7"/>
    <w:sectPr w:rsidR="00871DD7" w:rsidRPr="003B22AD" w:rsidSect="004B29D8">
      <w:pgSz w:w="12240" w:h="15840"/>
      <w:pgMar w:top="1440" w:right="1797" w:bottom="1440" w:left="1797" w:header="709" w:footer="709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9C4E1D" w15:done="0"/>
  <w15:commentEx w15:paraId="3BFF0160" w15:done="0"/>
  <w15:commentEx w15:paraId="63AA4A14" w15:done="0"/>
  <w15:commentEx w15:paraId="38E725E0" w15:done="0"/>
  <w15:commentEx w15:paraId="64E1BB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jfield">
    <w15:presenceInfo w15:providerId="None" w15:userId="cjfie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8B"/>
    <w:rsid w:val="0003522B"/>
    <w:rsid w:val="0006293F"/>
    <w:rsid w:val="00162FD7"/>
    <w:rsid w:val="001A78B4"/>
    <w:rsid w:val="001B4091"/>
    <w:rsid w:val="001D260F"/>
    <w:rsid w:val="001F7220"/>
    <w:rsid w:val="00246FB1"/>
    <w:rsid w:val="00257609"/>
    <w:rsid w:val="00261CD3"/>
    <w:rsid w:val="003B22AD"/>
    <w:rsid w:val="003B2FBA"/>
    <w:rsid w:val="004B29D8"/>
    <w:rsid w:val="004C1B1B"/>
    <w:rsid w:val="004D7297"/>
    <w:rsid w:val="00505B5C"/>
    <w:rsid w:val="00515A4B"/>
    <w:rsid w:val="00517BA0"/>
    <w:rsid w:val="00567E42"/>
    <w:rsid w:val="00584DBA"/>
    <w:rsid w:val="00592312"/>
    <w:rsid w:val="00623A00"/>
    <w:rsid w:val="006A08E5"/>
    <w:rsid w:val="006B1FC1"/>
    <w:rsid w:val="006C24C6"/>
    <w:rsid w:val="006D2836"/>
    <w:rsid w:val="006E6B27"/>
    <w:rsid w:val="00766ECA"/>
    <w:rsid w:val="00781C71"/>
    <w:rsid w:val="007D30A5"/>
    <w:rsid w:val="00871DD7"/>
    <w:rsid w:val="008762D6"/>
    <w:rsid w:val="008C30D2"/>
    <w:rsid w:val="00900317"/>
    <w:rsid w:val="0090600B"/>
    <w:rsid w:val="00942355"/>
    <w:rsid w:val="009630AF"/>
    <w:rsid w:val="00981223"/>
    <w:rsid w:val="009B30B8"/>
    <w:rsid w:val="00A54B80"/>
    <w:rsid w:val="00AF3C60"/>
    <w:rsid w:val="00B10924"/>
    <w:rsid w:val="00B34D74"/>
    <w:rsid w:val="00B45A80"/>
    <w:rsid w:val="00BF30A4"/>
    <w:rsid w:val="00C11E10"/>
    <w:rsid w:val="00C75024"/>
    <w:rsid w:val="00D143F0"/>
    <w:rsid w:val="00D603BC"/>
    <w:rsid w:val="00D67A76"/>
    <w:rsid w:val="00DC548B"/>
    <w:rsid w:val="00DD13BB"/>
    <w:rsid w:val="00DD4355"/>
    <w:rsid w:val="00E67658"/>
    <w:rsid w:val="00EB4B32"/>
    <w:rsid w:val="00EC2320"/>
    <w:rsid w:val="00ED7DE2"/>
    <w:rsid w:val="00F2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353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8B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C548B"/>
    <w:rPr>
      <w:rFonts w:cs="Times New Roman"/>
      <w:i/>
      <w:iCs/>
    </w:rPr>
  </w:style>
  <w:style w:type="paragraph" w:customStyle="1" w:styleId="EndNoteBibliographyTitle">
    <w:name w:val="EndNote Bibliography Title"/>
    <w:basedOn w:val="Normal"/>
    <w:rsid w:val="00DC548B"/>
    <w:pPr>
      <w:jc w:val="center"/>
    </w:pPr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C548B"/>
  </w:style>
  <w:style w:type="paragraph" w:styleId="ListParagraph">
    <w:name w:val="List Paragraph"/>
    <w:basedOn w:val="Normal"/>
    <w:uiPriority w:val="34"/>
    <w:qFormat/>
    <w:rsid w:val="003B2F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5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A8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A80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80"/>
    <w:rPr>
      <w:rFonts w:ascii="Lucida Grande" w:hAnsi="Lucida Grande" w:cs="Lucida Grande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8B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C548B"/>
    <w:rPr>
      <w:rFonts w:cs="Times New Roman"/>
      <w:i/>
      <w:iCs/>
    </w:rPr>
  </w:style>
  <w:style w:type="paragraph" w:customStyle="1" w:styleId="EndNoteBibliographyTitle">
    <w:name w:val="EndNote Bibliography Title"/>
    <w:basedOn w:val="Normal"/>
    <w:rsid w:val="00DC548B"/>
    <w:pPr>
      <w:jc w:val="center"/>
    </w:pPr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C548B"/>
  </w:style>
  <w:style w:type="paragraph" w:styleId="ListParagraph">
    <w:name w:val="List Paragraph"/>
    <w:basedOn w:val="Normal"/>
    <w:uiPriority w:val="34"/>
    <w:qFormat/>
    <w:rsid w:val="003B2F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5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A8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A80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80"/>
    <w:rPr>
      <w:rFonts w:ascii="Lucida Grande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381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Lewis</dc:creator>
  <cp:keywords/>
  <dc:description/>
  <cp:lastModifiedBy>Erin Lewis</cp:lastModifiedBy>
  <cp:revision>11</cp:revision>
  <dcterms:created xsi:type="dcterms:W3CDTF">2016-05-27T19:25:00Z</dcterms:created>
  <dcterms:modified xsi:type="dcterms:W3CDTF">2016-06-21T15:29:00Z</dcterms:modified>
</cp:coreProperties>
</file>