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D9" w:rsidRPr="009F555B" w:rsidRDefault="007F46D9" w:rsidP="003D455A">
      <w:pPr>
        <w:spacing w:line="360" w:lineRule="auto"/>
        <w:ind w:left="1276" w:right="1185"/>
        <w:jc w:val="both"/>
        <w:rPr>
          <w:rFonts w:ascii="Arial" w:eastAsia="Arial Unicode MS" w:hAnsi="Arial" w:cs="Arial"/>
          <w:lang w:val="en-GB"/>
        </w:rPr>
      </w:pPr>
      <w:proofErr w:type="gramStart"/>
      <w:r>
        <w:rPr>
          <w:rFonts w:ascii="Arial" w:eastAsia="Arial Unicode MS" w:hAnsi="Arial" w:cs="Arial"/>
          <w:b/>
          <w:lang w:val="en-GB"/>
        </w:rPr>
        <w:t>Table 1S</w:t>
      </w:r>
      <w:r w:rsidRPr="009F555B">
        <w:rPr>
          <w:rFonts w:ascii="Arial" w:eastAsia="Arial Unicode MS" w:hAnsi="Arial" w:cs="Arial"/>
          <w:b/>
          <w:lang w:val="en-GB"/>
        </w:rPr>
        <w:t>.</w:t>
      </w:r>
      <w:proofErr w:type="gramEnd"/>
      <w:r w:rsidRPr="009F555B">
        <w:rPr>
          <w:rFonts w:ascii="Arial" w:eastAsia="Arial Unicode MS" w:hAnsi="Arial" w:cs="Arial"/>
          <w:b/>
          <w:lang w:val="en-GB"/>
        </w:rPr>
        <w:t xml:space="preserve"> </w:t>
      </w:r>
      <w:r w:rsidRPr="009F555B">
        <w:rPr>
          <w:rFonts w:ascii="Arial" w:eastAsia="Arial Unicode MS" w:hAnsi="Arial" w:cs="Arial"/>
          <w:lang w:val="en-GB"/>
        </w:rPr>
        <w:t xml:space="preserve">Main </w:t>
      </w:r>
      <w:proofErr w:type="spellStart"/>
      <w:r>
        <w:rPr>
          <w:rFonts w:ascii="Arial" w:eastAsia="Arial Unicode MS" w:hAnsi="Arial" w:cs="Arial"/>
          <w:lang w:val="en-GB"/>
        </w:rPr>
        <w:t>poly</w:t>
      </w:r>
      <w:r w:rsidRPr="009F555B">
        <w:rPr>
          <w:rFonts w:ascii="Arial" w:eastAsia="Arial Unicode MS" w:hAnsi="Arial" w:cs="Arial"/>
          <w:lang w:val="en-GB"/>
        </w:rPr>
        <w:t>phenolic</w:t>
      </w:r>
      <w:proofErr w:type="spellEnd"/>
      <w:r w:rsidRPr="009F555B">
        <w:rPr>
          <w:rFonts w:ascii="Arial" w:eastAsia="Arial Unicode MS" w:hAnsi="Arial" w:cs="Arial"/>
          <w:lang w:val="en-GB"/>
        </w:rPr>
        <w:t xml:space="preserve"> compounds (</w:t>
      </w:r>
      <w:proofErr w:type="spellStart"/>
      <w:r w:rsidRPr="009F555B">
        <w:rPr>
          <w:rFonts w:ascii="Arial" w:eastAsia="Arial Unicode MS" w:hAnsi="Arial" w:cs="Arial"/>
          <w:lang w:val="en-GB"/>
        </w:rPr>
        <w:t>flavanols</w:t>
      </w:r>
      <w:proofErr w:type="spellEnd"/>
      <w:r w:rsidRPr="009F555B">
        <w:rPr>
          <w:rFonts w:ascii="Arial" w:eastAsia="Arial Unicode MS" w:hAnsi="Arial" w:cs="Arial"/>
          <w:lang w:val="en-GB"/>
        </w:rPr>
        <w:t xml:space="preserve"> and phenolic </w:t>
      </w:r>
      <w:bookmarkStart w:id="0" w:name="_GoBack"/>
      <w:bookmarkEnd w:id="0"/>
      <w:r w:rsidRPr="009F555B">
        <w:rPr>
          <w:rFonts w:ascii="Arial" w:eastAsia="Arial Unicode MS" w:hAnsi="Arial" w:cs="Arial"/>
          <w:lang w:val="en-GB"/>
        </w:rPr>
        <w:t xml:space="preserve">acids) of the </w:t>
      </w:r>
      <w:r>
        <w:rPr>
          <w:rFonts w:ascii="Arial" w:hAnsi="Arial" w:cs="Arial"/>
          <w:lang w:val="en-GB"/>
        </w:rPr>
        <w:t xml:space="preserve">low molecular-weight </w:t>
      </w:r>
      <w:r w:rsidRPr="00481C49">
        <w:rPr>
          <w:rFonts w:ascii="Arial" w:hAnsi="Arial" w:cs="Arial"/>
          <w:lang w:val="en-GB"/>
        </w:rPr>
        <w:t xml:space="preserve">grape seed </w:t>
      </w:r>
      <w:r w:rsidRPr="009F555B">
        <w:rPr>
          <w:rFonts w:ascii="Arial" w:eastAsia="Arial Unicode MS" w:hAnsi="Arial" w:cs="Arial"/>
          <w:lang w:val="en-GB"/>
        </w:rPr>
        <w:t>polyphenol extract (</w:t>
      </w:r>
      <w:r>
        <w:rPr>
          <w:rFonts w:ascii="Arial" w:eastAsia="Arial Unicode MS" w:hAnsi="Arial" w:cs="Arial"/>
          <w:lang w:val="en-GB"/>
        </w:rPr>
        <w:t>LM-</w:t>
      </w:r>
      <w:r w:rsidRPr="009F555B">
        <w:rPr>
          <w:rFonts w:ascii="Arial" w:eastAsia="Arial Unicode MS" w:hAnsi="Arial" w:cs="Arial"/>
          <w:lang w:val="en-GB"/>
        </w:rPr>
        <w:t>GSPE) used in this study, analysed by HPLC-MS/MS.</w:t>
      </w:r>
    </w:p>
    <w:tbl>
      <w:tblPr>
        <w:tblW w:w="0" w:type="auto"/>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3327"/>
        <w:gridCol w:w="2609"/>
      </w:tblGrid>
      <w:tr w:rsidR="007F46D9" w:rsidRPr="005E2A76" w:rsidTr="00031A8C">
        <w:trPr>
          <w:trHeight w:val="241"/>
          <w:jc w:val="center"/>
        </w:trPr>
        <w:tc>
          <w:tcPr>
            <w:tcW w:w="3327" w:type="dxa"/>
            <w:tcBorders>
              <w:bottom w:val="single" w:sz="4" w:space="0" w:color="auto"/>
            </w:tcBorders>
            <w:vAlign w:val="center"/>
          </w:tcPr>
          <w:p w:rsidR="007F46D9" w:rsidRPr="005E2A76" w:rsidRDefault="007F46D9" w:rsidP="00031A8C">
            <w:pPr>
              <w:spacing w:before="120" w:after="0" w:line="360" w:lineRule="auto"/>
              <w:jc w:val="both"/>
              <w:rPr>
                <w:rFonts w:ascii="Arial" w:eastAsia="Arial Unicode MS" w:hAnsi="Arial" w:cs="Arial"/>
                <w:b/>
                <w:color w:val="000000"/>
                <w:kern w:val="24"/>
                <w:sz w:val="20"/>
                <w:szCs w:val="20"/>
                <w:lang w:val="en-US" w:eastAsia="es-AR"/>
              </w:rPr>
            </w:pPr>
            <w:r w:rsidRPr="005E2A76">
              <w:rPr>
                <w:rFonts w:ascii="Arial" w:eastAsia="Arial Unicode MS" w:hAnsi="Arial" w:cs="Arial"/>
                <w:b/>
                <w:color w:val="000000"/>
                <w:kern w:val="24"/>
                <w:sz w:val="20"/>
                <w:szCs w:val="20"/>
                <w:lang w:val="en-US" w:eastAsia="es-AR"/>
              </w:rPr>
              <w:t>Compound</w:t>
            </w:r>
          </w:p>
        </w:tc>
        <w:tc>
          <w:tcPr>
            <w:tcW w:w="2609" w:type="dxa"/>
            <w:tcBorders>
              <w:bottom w:val="single" w:sz="4" w:space="0" w:color="auto"/>
            </w:tcBorders>
          </w:tcPr>
          <w:p w:rsidR="007F46D9" w:rsidRPr="005E2A76" w:rsidRDefault="007F46D9" w:rsidP="00031A8C">
            <w:pPr>
              <w:spacing w:before="120" w:after="0" w:line="360" w:lineRule="auto"/>
              <w:jc w:val="both"/>
              <w:rPr>
                <w:rFonts w:ascii="Arial" w:eastAsia="Arial Unicode MS" w:hAnsi="Arial" w:cs="Arial"/>
                <w:b/>
                <w:color w:val="000000"/>
                <w:kern w:val="24"/>
                <w:sz w:val="20"/>
                <w:szCs w:val="20"/>
                <w:lang w:val="en-US" w:eastAsia="es-AR"/>
              </w:rPr>
            </w:pPr>
            <w:r w:rsidRPr="005E2A76">
              <w:rPr>
                <w:rFonts w:ascii="Arial" w:eastAsia="Arial Unicode MS" w:hAnsi="Arial" w:cs="Arial"/>
                <w:b/>
                <w:color w:val="000000"/>
                <w:kern w:val="24"/>
                <w:sz w:val="20"/>
                <w:szCs w:val="20"/>
                <w:lang w:val="en-US" w:eastAsia="es-AR"/>
              </w:rPr>
              <w:t>Concentration (mg/g)</w:t>
            </w:r>
          </w:p>
        </w:tc>
      </w:tr>
      <w:tr w:rsidR="007F46D9" w:rsidRPr="005E2A76" w:rsidTr="00031A8C">
        <w:trPr>
          <w:trHeight w:val="80"/>
          <w:jc w:val="center"/>
        </w:trPr>
        <w:tc>
          <w:tcPr>
            <w:tcW w:w="3327" w:type="dxa"/>
            <w:vAlign w:val="center"/>
          </w:tcPr>
          <w:p w:rsidR="007F46D9" w:rsidRPr="005E2A76" w:rsidRDefault="007F46D9" w:rsidP="00031A8C">
            <w:pPr>
              <w:spacing w:before="120" w:after="0" w:line="360" w:lineRule="auto"/>
              <w:ind w:left="322" w:hanging="322"/>
              <w:jc w:val="both"/>
              <w:rPr>
                <w:rFonts w:ascii="Arial" w:eastAsia="Arial Unicode MS" w:hAnsi="Arial" w:cs="Arial"/>
                <w:color w:val="000000"/>
                <w:kern w:val="24"/>
                <w:sz w:val="20"/>
                <w:szCs w:val="20"/>
                <w:lang w:val="en-US" w:eastAsia="es-AR"/>
              </w:rPr>
            </w:pPr>
            <w:r w:rsidRPr="005E2A76">
              <w:rPr>
                <w:rFonts w:ascii="Arial" w:hAnsi="Arial" w:cs="Arial"/>
                <w:sz w:val="20"/>
                <w:szCs w:val="20"/>
                <w:lang w:val="en-US"/>
              </w:rPr>
              <w:t>Gallic acid</w:t>
            </w:r>
          </w:p>
        </w:tc>
        <w:tc>
          <w:tcPr>
            <w:tcW w:w="2609" w:type="dxa"/>
            <w:vAlign w:val="center"/>
          </w:tcPr>
          <w:p w:rsidR="007F46D9" w:rsidRPr="005E2A76" w:rsidRDefault="007F46D9" w:rsidP="00031A8C">
            <w:pPr>
              <w:spacing w:before="120" w:after="0" w:line="360" w:lineRule="auto"/>
              <w:jc w:val="both"/>
              <w:rPr>
                <w:rFonts w:ascii="Arial" w:eastAsia="Arial Unicode MS" w:hAnsi="Arial" w:cs="Arial"/>
                <w:color w:val="000000"/>
                <w:kern w:val="24"/>
                <w:sz w:val="20"/>
                <w:szCs w:val="20"/>
                <w:lang w:val="en-US" w:eastAsia="es-AR"/>
              </w:rPr>
            </w:pPr>
            <w:r w:rsidRPr="005E2A76">
              <w:rPr>
                <w:rFonts w:ascii="Arial" w:eastAsia="Arial Unicode MS" w:hAnsi="Arial" w:cs="Arial"/>
                <w:color w:val="000000"/>
                <w:kern w:val="24"/>
                <w:sz w:val="20"/>
                <w:szCs w:val="20"/>
                <w:lang w:val="en-US" w:eastAsia="es-AR"/>
              </w:rPr>
              <w:t>31.07 ± 0.08</w:t>
            </w:r>
          </w:p>
        </w:tc>
      </w:tr>
      <w:tr w:rsidR="007F46D9" w:rsidRPr="005E2A76" w:rsidTr="00031A8C">
        <w:trPr>
          <w:trHeight w:val="80"/>
          <w:jc w:val="center"/>
        </w:trPr>
        <w:tc>
          <w:tcPr>
            <w:tcW w:w="3327" w:type="dxa"/>
            <w:vAlign w:val="center"/>
          </w:tcPr>
          <w:p w:rsidR="007F46D9" w:rsidRPr="005E2A76" w:rsidRDefault="007F46D9" w:rsidP="00031A8C">
            <w:pPr>
              <w:spacing w:after="0" w:line="360" w:lineRule="auto"/>
              <w:jc w:val="both"/>
              <w:rPr>
                <w:rFonts w:ascii="Arial" w:eastAsia="Arial Unicode MS" w:hAnsi="Arial" w:cs="Arial"/>
                <w:color w:val="000000"/>
                <w:kern w:val="24"/>
                <w:sz w:val="20"/>
                <w:szCs w:val="20"/>
                <w:lang w:val="en-US" w:eastAsia="es-AR"/>
              </w:rPr>
            </w:pPr>
            <w:proofErr w:type="spellStart"/>
            <w:r w:rsidRPr="005E2A76">
              <w:rPr>
                <w:rFonts w:ascii="Arial" w:hAnsi="Arial" w:cs="Arial"/>
                <w:sz w:val="20"/>
                <w:szCs w:val="20"/>
                <w:lang w:val="en-US"/>
              </w:rPr>
              <w:t>Protocatechuic</w:t>
            </w:r>
            <w:proofErr w:type="spellEnd"/>
            <w:r w:rsidRPr="005E2A76">
              <w:rPr>
                <w:rFonts w:ascii="Arial" w:hAnsi="Arial" w:cs="Arial"/>
                <w:sz w:val="20"/>
                <w:szCs w:val="20"/>
                <w:lang w:val="en-US"/>
              </w:rPr>
              <w:t xml:space="preserve"> acid</w:t>
            </w:r>
          </w:p>
        </w:tc>
        <w:tc>
          <w:tcPr>
            <w:tcW w:w="2609" w:type="dxa"/>
            <w:vAlign w:val="center"/>
          </w:tcPr>
          <w:p w:rsidR="007F46D9" w:rsidRPr="005E2A76" w:rsidRDefault="007F46D9" w:rsidP="00031A8C">
            <w:pPr>
              <w:spacing w:after="0" w:line="360" w:lineRule="auto"/>
              <w:jc w:val="both"/>
              <w:rPr>
                <w:rFonts w:ascii="Arial" w:eastAsia="Arial Unicode MS" w:hAnsi="Arial" w:cs="Arial"/>
                <w:color w:val="000000"/>
                <w:kern w:val="24"/>
                <w:sz w:val="20"/>
                <w:szCs w:val="20"/>
                <w:lang w:val="en-US" w:eastAsia="es-AR"/>
              </w:rPr>
            </w:pPr>
            <w:r w:rsidRPr="005E2A76">
              <w:rPr>
                <w:rFonts w:ascii="Arial" w:eastAsia="Arial Unicode MS" w:hAnsi="Arial" w:cs="Arial"/>
                <w:color w:val="000000"/>
                <w:kern w:val="24"/>
                <w:sz w:val="20"/>
                <w:szCs w:val="20"/>
                <w:lang w:val="en-US" w:eastAsia="es-AR"/>
              </w:rPr>
              <w:t>1.34 ± 0.02</w:t>
            </w:r>
          </w:p>
        </w:tc>
      </w:tr>
      <w:tr w:rsidR="007F46D9" w:rsidRPr="005E2A76" w:rsidTr="00031A8C">
        <w:trPr>
          <w:trHeight w:val="80"/>
          <w:jc w:val="center"/>
        </w:trPr>
        <w:tc>
          <w:tcPr>
            <w:tcW w:w="3327" w:type="dxa"/>
            <w:vAlign w:val="center"/>
          </w:tcPr>
          <w:p w:rsidR="007F46D9" w:rsidRPr="005E2A76" w:rsidRDefault="007F46D9" w:rsidP="00031A8C">
            <w:pPr>
              <w:spacing w:after="0" w:line="360" w:lineRule="auto"/>
              <w:jc w:val="both"/>
              <w:rPr>
                <w:rFonts w:ascii="Arial" w:eastAsia="Arial Unicode MS" w:hAnsi="Arial" w:cs="Arial"/>
                <w:color w:val="000000"/>
                <w:kern w:val="24"/>
                <w:sz w:val="20"/>
                <w:szCs w:val="20"/>
                <w:lang w:val="en-US" w:eastAsia="es-AR"/>
              </w:rPr>
            </w:pPr>
            <w:proofErr w:type="spellStart"/>
            <w:r w:rsidRPr="005E2A76">
              <w:rPr>
                <w:rFonts w:ascii="Arial" w:hAnsi="Arial" w:cs="Arial"/>
                <w:sz w:val="20"/>
                <w:szCs w:val="20"/>
                <w:lang w:val="en-US"/>
              </w:rPr>
              <w:t>Vanillic</w:t>
            </w:r>
            <w:proofErr w:type="spellEnd"/>
            <w:r w:rsidRPr="005E2A76">
              <w:rPr>
                <w:rFonts w:ascii="Arial" w:hAnsi="Arial" w:cs="Arial"/>
                <w:sz w:val="20"/>
                <w:szCs w:val="20"/>
                <w:lang w:val="en-US"/>
              </w:rPr>
              <w:t xml:space="preserve"> acid</w:t>
            </w:r>
          </w:p>
        </w:tc>
        <w:tc>
          <w:tcPr>
            <w:tcW w:w="2609" w:type="dxa"/>
            <w:vAlign w:val="center"/>
          </w:tcPr>
          <w:p w:rsidR="007F46D9" w:rsidRPr="005E2A76" w:rsidRDefault="007F46D9" w:rsidP="00031A8C">
            <w:pPr>
              <w:spacing w:after="0" w:line="360" w:lineRule="auto"/>
              <w:jc w:val="both"/>
              <w:rPr>
                <w:rFonts w:ascii="Arial" w:eastAsia="Arial Unicode MS" w:hAnsi="Arial" w:cs="Arial"/>
                <w:color w:val="000000"/>
                <w:kern w:val="24"/>
                <w:sz w:val="20"/>
                <w:szCs w:val="20"/>
                <w:lang w:val="en-US" w:eastAsia="es-AR"/>
              </w:rPr>
            </w:pPr>
            <w:r w:rsidRPr="005E2A76">
              <w:rPr>
                <w:rFonts w:ascii="Arial" w:eastAsia="Arial Unicode MS" w:hAnsi="Arial" w:cs="Arial"/>
                <w:color w:val="000000"/>
                <w:kern w:val="24"/>
                <w:sz w:val="20"/>
                <w:szCs w:val="20"/>
                <w:lang w:val="en-US" w:eastAsia="es-AR"/>
              </w:rPr>
              <w:t>0.77 ± 0.04</w:t>
            </w:r>
          </w:p>
        </w:tc>
      </w:tr>
      <w:tr w:rsidR="007F46D9" w:rsidRPr="00821BAE" w:rsidTr="00031A8C">
        <w:trPr>
          <w:trHeight w:val="255"/>
          <w:jc w:val="center"/>
        </w:trPr>
        <w:tc>
          <w:tcPr>
            <w:tcW w:w="3327"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r w:rsidRPr="005E2A76">
              <w:rPr>
                <w:rFonts w:ascii="Arial" w:hAnsi="Arial" w:cs="Arial"/>
                <w:sz w:val="20"/>
                <w:szCs w:val="20"/>
                <w:lang w:val="en-US"/>
              </w:rPr>
              <w:t xml:space="preserve">PA dimer </w:t>
            </w:r>
            <w:r w:rsidRPr="005E2A76">
              <w:rPr>
                <w:rFonts w:ascii="Arial" w:eastAsia="Arial Unicode MS" w:hAnsi="Arial" w:cs="Arial"/>
                <w:color w:val="000000"/>
                <w:kern w:val="24"/>
                <w:sz w:val="20"/>
                <w:szCs w:val="20"/>
                <w:lang w:val="en-US" w:eastAsia="es-AR"/>
              </w:rPr>
              <w:t>B</w:t>
            </w:r>
            <w:r w:rsidRPr="009F555B">
              <w:rPr>
                <w:rFonts w:ascii="Arial" w:eastAsia="Arial Unicode MS" w:hAnsi="Arial" w:cs="Arial"/>
                <w:color w:val="000000"/>
                <w:kern w:val="24"/>
                <w:sz w:val="20"/>
                <w:szCs w:val="20"/>
                <w:lang w:eastAsia="es-AR"/>
              </w:rPr>
              <w:t>2</w:t>
            </w:r>
          </w:p>
        </w:tc>
        <w:tc>
          <w:tcPr>
            <w:tcW w:w="2609"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r w:rsidRPr="009F555B">
              <w:rPr>
                <w:rFonts w:ascii="Arial" w:eastAsia="Arial Unicode MS" w:hAnsi="Arial" w:cs="Arial"/>
                <w:color w:val="000000"/>
                <w:kern w:val="24"/>
                <w:sz w:val="20"/>
                <w:szCs w:val="20"/>
                <w:lang w:eastAsia="es-AR"/>
              </w:rPr>
              <w:t>33.24 ± 1.39</w:t>
            </w:r>
          </w:p>
        </w:tc>
      </w:tr>
      <w:tr w:rsidR="007F46D9" w:rsidRPr="00821BAE" w:rsidTr="00031A8C">
        <w:trPr>
          <w:trHeight w:val="255"/>
          <w:jc w:val="center"/>
        </w:trPr>
        <w:tc>
          <w:tcPr>
            <w:tcW w:w="3327" w:type="dxa"/>
            <w:vAlign w:val="center"/>
          </w:tcPr>
          <w:p w:rsidR="007F46D9" w:rsidRPr="009F555B" w:rsidRDefault="007F46D9" w:rsidP="00031A8C">
            <w:pPr>
              <w:spacing w:after="0" w:line="360" w:lineRule="auto"/>
              <w:jc w:val="both"/>
              <w:rPr>
                <w:rFonts w:ascii="Arial" w:hAnsi="Arial" w:cs="Arial"/>
                <w:sz w:val="20"/>
                <w:szCs w:val="20"/>
              </w:rPr>
            </w:pPr>
            <w:r w:rsidRPr="009F555B">
              <w:rPr>
                <w:rFonts w:ascii="Arial" w:hAnsi="Arial" w:cs="Arial"/>
                <w:sz w:val="20"/>
                <w:szCs w:val="20"/>
              </w:rPr>
              <w:t xml:space="preserve">PA </w:t>
            </w:r>
            <w:proofErr w:type="spellStart"/>
            <w:r w:rsidRPr="009F555B">
              <w:rPr>
                <w:rFonts w:ascii="Arial" w:hAnsi="Arial" w:cs="Arial"/>
                <w:sz w:val="20"/>
                <w:szCs w:val="20"/>
              </w:rPr>
              <w:t>dimer</w:t>
            </w:r>
            <w:proofErr w:type="spellEnd"/>
            <w:r w:rsidRPr="009F555B">
              <w:rPr>
                <w:rFonts w:ascii="Arial" w:hAnsi="Arial" w:cs="Arial"/>
                <w:sz w:val="20"/>
                <w:szCs w:val="20"/>
              </w:rPr>
              <w:t xml:space="preserve"> B1</w:t>
            </w:r>
            <w:r w:rsidRPr="009F555B">
              <w:rPr>
                <w:rFonts w:ascii="Arial" w:hAnsi="Arial" w:cs="Arial"/>
                <w:sz w:val="20"/>
                <w:szCs w:val="20"/>
                <w:vertAlign w:val="superscript"/>
              </w:rPr>
              <w:t>1</w:t>
            </w:r>
          </w:p>
        </w:tc>
        <w:tc>
          <w:tcPr>
            <w:tcW w:w="2609" w:type="dxa"/>
            <w:vAlign w:val="center"/>
          </w:tcPr>
          <w:p w:rsidR="007F46D9" w:rsidRPr="009F555B" w:rsidRDefault="007F46D9" w:rsidP="00031A8C">
            <w:pPr>
              <w:spacing w:after="0" w:line="360" w:lineRule="auto"/>
              <w:jc w:val="both"/>
              <w:rPr>
                <w:rFonts w:ascii="Arial" w:hAnsi="Arial" w:cs="Arial"/>
                <w:sz w:val="20"/>
                <w:szCs w:val="20"/>
              </w:rPr>
            </w:pPr>
            <w:r w:rsidRPr="009F555B">
              <w:rPr>
                <w:rFonts w:ascii="Arial" w:hAnsi="Arial" w:cs="Arial"/>
                <w:sz w:val="20"/>
                <w:szCs w:val="20"/>
              </w:rPr>
              <w:t xml:space="preserve"> 88.80</w:t>
            </w:r>
            <w:r w:rsidRPr="009F555B">
              <w:rPr>
                <w:rFonts w:ascii="Arial" w:eastAsia="Arial Unicode MS" w:hAnsi="Arial" w:cs="Arial"/>
                <w:color w:val="000000"/>
                <w:kern w:val="24"/>
                <w:sz w:val="20"/>
                <w:szCs w:val="20"/>
                <w:lang w:eastAsia="es-AR"/>
              </w:rPr>
              <w:t xml:space="preserve"> ± 3.46</w:t>
            </w:r>
          </w:p>
        </w:tc>
      </w:tr>
      <w:tr w:rsidR="007F46D9" w:rsidRPr="00821BAE" w:rsidTr="00031A8C">
        <w:trPr>
          <w:trHeight w:val="255"/>
          <w:jc w:val="center"/>
        </w:trPr>
        <w:tc>
          <w:tcPr>
            <w:tcW w:w="3327" w:type="dxa"/>
            <w:vAlign w:val="center"/>
          </w:tcPr>
          <w:p w:rsidR="007F46D9" w:rsidRPr="009F555B" w:rsidRDefault="007F46D9" w:rsidP="00031A8C">
            <w:pPr>
              <w:spacing w:after="0" w:line="360" w:lineRule="auto"/>
              <w:jc w:val="both"/>
              <w:rPr>
                <w:rFonts w:ascii="Arial" w:hAnsi="Arial" w:cs="Arial"/>
                <w:sz w:val="20"/>
                <w:szCs w:val="20"/>
              </w:rPr>
            </w:pPr>
            <w:r w:rsidRPr="009F555B">
              <w:rPr>
                <w:rFonts w:ascii="Arial" w:hAnsi="Arial" w:cs="Arial"/>
                <w:sz w:val="20"/>
                <w:szCs w:val="20"/>
              </w:rPr>
              <w:t xml:space="preserve">PA </w:t>
            </w:r>
            <w:proofErr w:type="spellStart"/>
            <w:r w:rsidRPr="009F555B">
              <w:rPr>
                <w:rFonts w:ascii="Arial" w:hAnsi="Arial" w:cs="Arial"/>
                <w:sz w:val="20"/>
                <w:szCs w:val="20"/>
              </w:rPr>
              <w:t>dimer</w:t>
            </w:r>
            <w:proofErr w:type="spellEnd"/>
            <w:r w:rsidRPr="009F555B">
              <w:rPr>
                <w:rFonts w:ascii="Arial" w:hAnsi="Arial" w:cs="Arial"/>
                <w:sz w:val="20"/>
                <w:szCs w:val="20"/>
              </w:rPr>
              <w:t xml:space="preserve"> B3</w:t>
            </w:r>
            <w:r w:rsidRPr="009F555B">
              <w:rPr>
                <w:rFonts w:ascii="Arial" w:hAnsi="Arial" w:cs="Arial"/>
                <w:sz w:val="20"/>
                <w:szCs w:val="20"/>
                <w:vertAlign w:val="superscript"/>
              </w:rPr>
              <w:t>1</w:t>
            </w:r>
          </w:p>
        </w:tc>
        <w:tc>
          <w:tcPr>
            <w:tcW w:w="2609" w:type="dxa"/>
            <w:vAlign w:val="center"/>
          </w:tcPr>
          <w:p w:rsidR="007F46D9" w:rsidRPr="009F555B" w:rsidRDefault="007F46D9" w:rsidP="00031A8C">
            <w:pPr>
              <w:spacing w:after="0" w:line="360" w:lineRule="auto"/>
              <w:jc w:val="both"/>
              <w:rPr>
                <w:rFonts w:ascii="Arial" w:hAnsi="Arial" w:cs="Arial"/>
                <w:sz w:val="20"/>
                <w:szCs w:val="20"/>
              </w:rPr>
            </w:pPr>
            <w:r w:rsidRPr="009F555B">
              <w:rPr>
                <w:rFonts w:ascii="Arial" w:hAnsi="Arial" w:cs="Arial"/>
                <w:sz w:val="20"/>
                <w:szCs w:val="20"/>
              </w:rPr>
              <w:t>46.09</w:t>
            </w:r>
            <w:r w:rsidRPr="009F555B">
              <w:rPr>
                <w:rFonts w:ascii="Arial" w:eastAsia="Arial Unicode MS" w:hAnsi="Arial" w:cs="Arial"/>
                <w:color w:val="000000"/>
                <w:kern w:val="24"/>
                <w:sz w:val="20"/>
                <w:szCs w:val="20"/>
                <w:lang w:eastAsia="es-AR"/>
              </w:rPr>
              <w:t xml:space="preserve"> ± 2.07</w:t>
            </w:r>
          </w:p>
        </w:tc>
      </w:tr>
      <w:tr w:rsidR="007F46D9" w:rsidRPr="00821BAE" w:rsidTr="00031A8C">
        <w:trPr>
          <w:trHeight w:val="255"/>
          <w:jc w:val="center"/>
        </w:trPr>
        <w:tc>
          <w:tcPr>
            <w:tcW w:w="3327"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proofErr w:type="spellStart"/>
            <w:r w:rsidRPr="009F555B">
              <w:rPr>
                <w:rFonts w:ascii="Arial" w:hAnsi="Arial" w:cs="Arial"/>
                <w:sz w:val="20"/>
                <w:szCs w:val="20"/>
              </w:rPr>
              <w:t>Catechin</w:t>
            </w:r>
            <w:proofErr w:type="spellEnd"/>
          </w:p>
        </w:tc>
        <w:tc>
          <w:tcPr>
            <w:tcW w:w="2609"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r w:rsidRPr="009F555B">
              <w:rPr>
                <w:rFonts w:ascii="Arial" w:eastAsia="Arial Unicode MS" w:hAnsi="Arial" w:cs="Arial"/>
                <w:color w:val="000000"/>
                <w:kern w:val="24"/>
                <w:sz w:val="20"/>
                <w:szCs w:val="20"/>
                <w:lang w:eastAsia="es-AR"/>
              </w:rPr>
              <w:t>121.32 ± 3.41</w:t>
            </w:r>
          </w:p>
        </w:tc>
      </w:tr>
      <w:tr w:rsidR="007F46D9" w:rsidRPr="00821BAE" w:rsidTr="00031A8C">
        <w:trPr>
          <w:trHeight w:val="255"/>
          <w:jc w:val="center"/>
        </w:trPr>
        <w:tc>
          <w:tcPr>
            <w:tcW w:w="3327"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proofErr w:type="spellStart"/>
            <w:r w:rsidRPr="009F555B">
              <w:rPr>
                <w:rFonts w:ascii="Arial" w:hAnsi="Arial" w:cs="Arial"/>
                <w:sz w:val="20"/>
                <w:szCs w:val="20"/>
              </w:rPr>
              <w:t>Epicatechin</w:t>
            </w:r>
            <w:proofErr w:type="spellEnd"/>
          </w:p>
        </w:tc>
        <w:tc>
          <w:tcPr>
            <w:tcW w:w="2609"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r w:rsidRPr="009F555B">
              <w:rPr>
                <w:rFonts w:ascii="Arial" w:eastAsia="Arial Unicode MS" w:hAnsi="Arial" w:cs="Arial"/>
                <w:color w:val="000000"/>
                <w:kern w:val="24"/>
                <w:sz w:val="20"/>
                <w:szCs w:val="20"/>
                <w:lang w:eastAsia="es-AR"/>
              </w:rPr>
              <w:t>93.44 ± 4.27</w:t>
            </w:r>
          </w:p>
        </w:tc>
      </w:tr>
      <w:tr w:rsidR="007F46D9" w:rsidRPr="00821BAE" w:rsidTr="00031A8C">
        <w:trPr>
          <w:trHeight w:val="255"/>
          <w:jc w:val="center"/>
        </w:trPr>
        <w:tc>
          <w:tcPr>
            <w:tcW w:w="3327"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proofErr w:type="spellStart"/>
            <w:r w:rsidRPr="009F555B">
              <w:rPr>
                <w:rFonts w:ascii="Arial" w:hAnsi="Arial" w:cs="Arial"/>
                <w:sz w:val="20"/>
                <w:szCs w:val="20"/>
              </w:rPr>
              <w:t>Dimer</w:t>
            </w:r>
            <w:proofErr w:type="spellEnd"/>
            <w:r w:rsidRPr="009F555B">
              <w:rPr>
                <w:rFonts w:ascii="Arial" w:hAnsi="Arial" w:cs="Arial"/>
                <w:sz w:val="20"/>
                <w:szCs w:val="20"/>
              </w:rPr>
              <w:t xml:space="preserve"> gallate</w:t>
            </w:r>
            <w:r w:rsidRPr="009F555B">
              <w:rPr>
                <w:rFonts w:ascii="Arial" w:hAnsi="Arial" w:cs="Arial"/>
                <w:sz w:val="20"/>
                <w:szCs w:val="20"/>
                <w:vertAlign w:val="superscript"/>
              </w:rPr>
              <w:t>1</w:t>
            </w:r>
          </w:p>
        </w:tc>
        <w:tc>
          <w:tcPr>
            <w:tcW w:w="2609"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r w:rsidRPr="009F555B">
              <w:rPr>
                <w:rFonts w:ascii="Arial" w:eastAsia="Arial Unicode MS" w:hAnsi="Arial" w:cs="Arial"/>
                <w:color w:val="000000"/>
                <w:kern w:val="24"/>
                <w:sz w:val="20"/>
                <w:szCs w:val="20"/>
                <w:lang w:eastAsia="es-AR"/>
              </w:rPr>
              <w:t>8.86 ± 0.14</w:t>
            </w:r>
          </w:p>
        </w:tc>
      </w:tr>
      <w:tr w:rsidR="007F46D9" w:rsidRPr="00821BAE" w:rsidTr="00031A8C">
        <w:trPr>
          <w:trHeight w:val="255"/>
          <w:jc w:val="center"/>
        </w:trPr>
        <w:tc>
          <w:tcPr>
            <w:tcW w:w="3327" w:type="dxa"/>
            <w:vAlign w:val="center"/>
          </w:tcPr>
          <w:p w:rsidR="007F46D9" w:rsidRPr="009F555B" w:rsidRDefault="007F46D9" w:rsidP="00031A8C">
            <w:pPr>
              <w:spacing w:after="0" w:line="360" w:lineRule="auto"/>
              <w:jc w:val="both"/>
              <w:rPr>
                <w:rFonts w:ascii="Arial" w:hAnsi="Arial" w:cs="Arial"/>
                <w:sz w:val="20"/>
                <w:szCs w:val="20"/>
              </w:rPr>
            </w:pPr>
            <w:proofErr w:type="spellStart"/>
            <w:r w:rsidRPr="009F555B">
              <w:rPr>
                <w:rFonts w:ascii="Arial" w:hAnsi="Arial" w:cs="Arial"/>
                <w:sz w:val="20"/>
                <w:szCs w:val="20"/>
              </w:rPr>
              <w:t>Epicatechingallate</w:t>
            </w:r>
            <w:proofErr w:type="spellEnd"/>
          </w:p>
        </w:tc>
        <w:tc>
          <w:tcPr>
            <w:tcW w:w="2609" w:type="dxa"/>
            <w:vAlign w:val="center"/>
          </w:tcPr>
          <w:p w:rsidR="007F46D9" w:rsidRPr="009F555B" w:rsidRDefault="007F46D9" w:rsidP="00031A8C">
            <w:pPr>
              <w:spacing w:after="0" w:line="360" w:lineRule="auto"/>
              <w:jc w:val="both"/>
              <w:rPr>
                <w:rFonts w:ascii="Arial" w:hAnsi="Arial" w:cs="Arial"/>
                <w:sz w:val="20"/>
                <w:szCs w:val="20"/>
              </w:rPr>
            </w:pPr>
            <w:r w:rsidRPr="009F555B">
              <w:rPr>
                <w:rFonts w:ascii="Arial" w:hAnsi="Arial" w:cs="Arial"/>
                <w:sz w:val="20"/>
                <w:szCs w:val="20"/>
              </w:rPr>
              <w:t>21.24</w:t>
            </w:r>
            <w:r w:rsidRPr="009F555B">
              <w:rPr>
                <w:rFonts w:ascii="Arial" w:eastAsia="Arial Unicode MS" w:hAnsi="Arial" w:cs="Arial"/>
                <w:color w:val="000000"/>
                <w:kern w:val="24"/>
                <w:sz w:val="20"/>
                <w:szCs w:val="20"/>
                <w:lang w:eastAsia="es-AR"/>
              </w:rPr>
              <w:t xml:space="preserve"> ± 1.08</w:t>
            </w:r>
          </w:p>
        </w:tc>
      </w:tr>
      <w:tr w:rsidR="007F46D9" w:rsidRPr="00821BAE" w:rsidTr="00031A8C">
        <w:trPr>
          <w:trHeight w:val="255"/>
          <w:jc w:val="center"/>
        </w:trPr>
        <w:tc>
          <w:tcPr>
            <w:tcW w:w="3327"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proofErr w:type="spellStart"/>
            <w:r w:rsidRPr="009F555B">
              <w:rPr>
                <w:rFonts w:ascii="Arial" w:hAnsi="Arial" w:cs="Arial"/>
                <w:sz w:val="20"/>
                <w:szCs w:val="20"/>
              </w:rPr>
              <w:t>Epigallocatechingallate</w:t>
            </w:r>
            <w:proofErr w:type="spellEnd"/>
          </w:p>
        </w:tc>
        <w:tc>
          <w:tcPr>
            <w:tcW w:w="2609"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r w:rsidRPr="009F555B">
              <w:rPr>
                <w:rFonts w:ascii="Arial" w:eastAsia="Arial Unicode MS" w:hAnsi="Arial" w:cs="Arial"/>
                <w:color w:val="000000"/>
                <w:kern w:val="24"/>
                <w:sz w:val="20"/>
                <w:szCs w:val="20"/>
                <w:lang w:eastAsia="es-AR"/>
              </w:rPr>
              <w:t>0.03 ± 0.00</w:t>
            </w:r>
          </w:p>
        </w:tc>
      </w:tr>
      <w:tr w:rsidR="007F46D9" w:rsidRPr="00821BAE" w:rsidTr="00031A8C">
        <w:trPr>
          <w:trHeight w:val="255"/>
          <w:jc w:val="center"/>
        </w:trPr>
        <w:tc>
          <w:tcPr>
            <w:tcW w:w="3327" w:type="dxa"/>
            <w:vAlign w:val="center"/>
          </w:tcPr>
          <w:p w:rsidR="007F46D9" w:rsidRPr="009F555B" w:rsidRDefault="007F46D9" w:rsidP="00031A8C">
            <w:pPr>
              <w:spacing w:after="0" w:line="360" w:lineRule="auto"/>
              <w:jc w:val="both"/>
              <w:rPr>
                <w:rFonts w:ascii="Arial" w:hAnsi="Arial" w:cs="Arial"/>
                <w:sz w:val="20"/>
                <w:szCs w:val="20"/>
              </w:rPr>
            </w:pPr>
            <w:r w:rsidRPr="009F555B">
              <w:rPr>
                <w:rFonts w:ascii="Arial" w:hAnsi="Arial" w:cs="Arial"/>
                <w:sz w:val="20"/>
                <w:szCs w:val="20"/>
              </w:rPr>
              <w:t>Epigallocatechin</w:t>
            </w:r>
            <w:r w:rsidRPr="009F555B">
              <w:rPr>
                <w:rFonts w:ascii="Arial" w:hAnsi="Arial" w:cs="Arial"/>
                <w:sz w:val="20"/>
                <w:szCs w:val="20"/>
                <w:vertAlign w:val="superscript"/>
              </w:rPr>
              <w:t>2</w:t>
            </w:r>
          </w:p>
        </w:tc>
        <w:tc>
          <w:tcPr>
            <w:tcW w:w="2609"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r w:rsidRPr="009F555B">
              <w:rPr>
                <w:rFonts w:ascii="Arial" w:eastAsia="Arial Unicode MS" w:hAnsi="Arial" w:cs="Arial"/>
                <w:color w:val="000000"/>
                <w:kern w:val="24"/>
                <w:sz w:val="20"/>
                <w:szCs w:val="20"/>
                <w:lang w:eastAsia="es-AR"/>
              </w:rPr>
              <w:t>0.27 ± 0.03</w:t>
            </w:r>
          </w:p>
        </w:tc>
      </w:tr>
      <w:tr w:rsidR="007F46D9" w:rsidRPr="00821BAE" w:rsidTr="00031A8C">
        <w:trPr>
          <w:trHeight w:val="255"/>
          <w:jc w:val="center"/>
        </w:trPr>
        <w:tc>
          <w:tcPr>
            <w:tcW w:w="3327"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r w:rsidRPr="009F555B">
              <w:rPr>
                <w:rFonts w:ascii="Arial" w:hAnsi="Arial" w:cs="Arial"/>
                <w:sz w:val="20"/>
                <w:szCs w:val="20"/>
              </w:rPr>
              <w:t>PA trimer</w:t>
            </w:r>
            <w:r w:rsidRPr="009F555B">
              <w:rPr>
                <w:rFonts w:ascii="Arial" w:hAnsi="Arial" w:cs="Arial"/>
                <w:sz w:val="20"/>
                <w:szCs w:val="20"/>
                <w:vertAlign w:val="superscript"/>
              </w:rPr>
              <w:t>1</w:t>
            </w:r>
          </w:p>
        </w:tc>
        <w:tc>
          <w:tcPr>
            <w:tcW w:w="2609" w:type="dxa"/>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r w:rsidRPr="009F555B">
              <w:rPr>
                <w:rFonts w:ascii="Arial" w:eastAsia="Arial Unicode MS" w:hAnsi="Arial" w:cs="Arial"/>
                <w:color w:val="000000"/>
                <w:kern w:val="24"/>
                <w:sz w:val="20"/>
                <w:szCs w:val="20"/>
                <w:lang w:eastAsia="es-AR"/>
              </w:rPr>
              <w:t>4.90 ± 0.47</w:t>
            </w:r>
          </w:p>
        </w:tc>
      </w:tr>
      <w:tr w:rsidR="007F46D9" w:rsidRPr="00821BAE" w:rsidTr="00031A8C">
        <w:trPr>
          <w:trHeight w:val="255"/>
          <w:jc w:val="center"/>
        </w:trPr>
        <w:tc>
          <w:tcPr>
            <w:tcW w:w="3327" w:type="dxa"/>
            <w:tcBorders>
              <w:bottom w:val="single" w:sz="4" w:space="0" w:color="auto"/>
            </w:tcBorders>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r w:rsidRPr="009F555B">
              <w:rPr>
                <w:rFonts w:ascii="Arial" w:hAnsi="Arial" w:cs="Arial"/>
                <w:sz w:val="20"/>
                <w:szCs w:val="20"/>
              </w:rPr>
              <w:t>PA tetramer</w:t>
            </w:r>
            <w:r w:rsidRPr="009F555B">
              <w:rPr>
                <w:rFonts w:ascii="Arial" w:hAnsi="Arial" w:cs="Arial"/>
                <w:sz w:val="20"/>
                <w:szCs w:val="20"/>
                <w:vertAlign w:val="superscript"/>
              </w:rPr>
              <w:t>1</w:t>
            </w:r>
          </w:p>
        </w:tc>
        <w:tc>
          <w:tcPr>
            <w:tcW w:w="2609" w:type="dxa"/>
            <w:tcBorders>
              <w:bottom w:val="single" w:sz="4" w:space="0" w:color="auto"/>
            </w:tcBorders>
            <w:vAlign w:val="center"/>
          </w:tcPr>
          <w:p w:rsidR="007F46D9" w:rsidRPr="009F555B" w:rsidRDefault="007F46D9" w:rsidP="00031A8C">
            <w:pPr>
              <w:spacing w:after="0" w:line="360" w:lineRule="auto"/>
              <w:jc w:val="both"/>
              <w:rPr>
                <w:rFonts w:ascii="Arial" w:eastAsia="Arial Unicode MS" w:hAnsi="Arial" w:cs="Arial"/>
                <w:color w:val="000000"/>
                <w:kern w:val="24"/>
                <w:sz w:val="20"/>
                <w:szCs w:val="20"/>
                <w:lang w:eastAsia="es-AR"/>
              </w:rPr>
            </w:pPr>
            <w:r w:rsidRPr="009F555B">
              <w:rPr>
                <w:rFonts w:ascii="Arial" w:eastAsia="Arial Unicode MS" w:hAnsi="Arial" w:cs="Arial"/>
                <w:color w:val="000000"/>
                <w:kern w:val="24"/>
                <w:sz w:val="20"/>
                <w:szCs w:val="20"/>
                <w:lang w:eastAsia="es-AR"/>
              </w:rPr>
              <w:t>0.05 ± 0.01</w:t>
            </w:r>
          </w:p>
        </w:tc>
      </w:tr>
    </w:tbl>
    <w:p w:rsidR="007F46D9" w:rsidRPr="009F555B" w:rsidRDefault="007F46D9" w:rsidP="003D455A">
      <w:pPr>
        <w:spacing w:after="0" w:line="360" w:lineRule="auto"/>
        <w:ind w:left="1276"/>
        <w:jc w:val="both"/>
        <w:rPr>
          <w:rFonts w:ascii="Arial" w:eastAsia="Arial Unicode MS" w:hAnsi="Arial" w:cs="Arial"/>
          <w:sz w:val="16"/>
          <w:szCs w:val="16"/>
        </w:rPr>
      </w:pPr>
      <w:r w:rsidRPr="00CF1DF9">
        <w:rPr>
          <w:rFonts w:ascii="Arial" w:eastAsia="Arial Unicode MS" w:hAnsi="Arial" w:cs="Arial"/>
          <w:sz w:val="16"/>
          <w:szCs w:val="16"/>
          <w:lang w:val="en-US"/>
        </w:rPr>
        <w:t>Abbreviations</w:t>
      </w:r>
      <w:r w:rsidRPr="009F555B">
        <w:rPr>
          <w:rFonts w:ascii="Arial" w:eastAsia="Arial Unicode MS" w:hAnsi="Arial" w:cs="Arial"/>
          <w:sz w:val="16"/>
          <w:szCs w:val="16"/>
        </w:rPr>
        <w:t>: PA (</w:t>
      </w:r>
      <w:proofErr w:type="spellStart"/>
      <w:r w:rsidRPr="009F555B">
        <w:rPr>
          <w:rFonts w:ascii="Arial" w:eastAsia="Arial Unicode MS" w:hAnsi="Arial" w:cs="Arial"/>
          <w:sz w:val="16"/>
          <w:szCs w:val="16"/>
        </w:rPr>
        <w:t>proanthocyanidin</w:t>
      </w:r>
      <w:proofErr w:type="spellEnd"/>
      <w:r w:rsidRPr="009F555B">
        <w:rPr>
          <w:rFonts w:ascii="Arial" w:eastAsia="Arial Unicode MS" w:hAnsi="Arial" w:cs="Arial"/>
          <w:sz w:val="16"/>
          <w:szCs w:val="16"/>
        </w:rPr>
        <w:t>)</w:t>
      </w:r>
    </w:p>
    <w:p w:rsidR="007F46D9" w:rsidRPr="009F555B" w:rsidRDefault="007F46D9" w:rsidP="003D455A">
      <w:pPr>
        <w:spacing w:after="0" w:line="360" w:lineRule="auto"/>
        <w:ind w:left="1276"/>
        <w:jc w:val="both"/>
        <w:rPr>
          <w:rFonts w:ascii="Arial" w:eastAsia="Arial Unicode MS" w:hAnsi="Arial" w:cs="Arial"/>
          <w:sz w:val="16"/>
          <w:szCs w:val="16"/>
          <w:lang w:val="en-GB"/>
        </w:rPr>
      </w:pPr>
      <w:r w:rsidRPr="009F555B">
        <w:rPr>
          <w:rFonts w:ascii="Arial" w:eastAsia="Arial Unicode MS" w:hAnsi="Arial" w:cs="Arial"/>
          <w:sz w:val="16"/>
          <w:szCs w:val="16"/>
          <w:lang w:val="en-GB"/>
        </w:rPr>
        <w:t xml:space="preserve">The results are expressed on a wet basis as the mean ± SD (n=3). </w:t>
      </w:r>
    </w:p>
    <w:p w:rsidR="007F46D9" w:rsidRPr="009F555B" w:rsidRDefault="007F46D9" w:rsidP="003D455A">
      <w:pPr>
        <w:spacing w:after="0" w:line="360" w:lineRule="auto"/>
        <w:ind w:left="1276"/>
        <w:jc w:val="both"/>
        <w:rPr>
          <w:rFonts w:ascii="Arial" w:hAnsi="Arial" w:cs="Arial"/>
          <w:b/>
          <w:sz w:val="16"/>
          <w:szCs w:val="16"/>
          <w:vertAlign w:val="superscript"/>
          <w:lang w:val="en-GB"/>
        </w:rPr>
      </w:pPr>
      <w:r w:rsidRPr="009F555B">
        <w:rPr>
          <w:rFonts w:ascii="Arial" w:eastAsia="Arial Unicode MS" w:hAnsi="Arial" w:cs="Arial"/>
          <w:sz w:val="16"/>
          <w:szCs w:val="16"/>
          <w:lang w:val="en-GB"/>
        </w:rPr>
        <w:t>The results are expressed as mg of phenolic compound/g of GSPE</w:t>
      </w:r>
    </w:p>
    <w:p w:rsidR="007F46D9" w:rsidRPr="009F555B" w:rsidRDefault="007F46D9" w:rsidP="003D455A">
      <w:pPr>
        <w:spacing w:after="0" w:line="360" w:lineRule="auto"/>
        <w:ind w:left="1276"/>
        <w:jc w:val="both"/>
        <w:rPr>
          <w:rFonts w:ascii="Arial" w:eastAsia="Arial Unicode MS" w:hAnsi="Arial" w:cs="Arial"/>
          <w:sz w:val="16"/>
          <w:szCs w:val="16"/>
          <w:lang w:val="en-GB"/>
        </w:rPr>
      </w:pPr>
      <w:r w:rsidRPr="009F555B">
        <w:rPr>
          <w:rFonts w:ascii="Arial" w:hAnsi="Arial" w:cs="Arial"/>
          <w:b/>
          <w:sz w:val="16"/>
          <w:szCs w:val="16"/>
          <w:vertAlign w:val="superscript"/>
          <w:lang w:val="en-GB"/>
        </w:rPr>
        <w:t>1</w:t>
      </w:r>
      <w:r w:rsidRPr="009F555B">
        <w:rPr>
          <w:rFonts w:ascii="Arial" w:eastAsia="Arial Unicode MS" w:hAnsi="Arial" w:cs="Arial"/>
          <w:sz w:val="16"/>
          <w:szCs w:val="16"/>
          <w:lang w:val="en-GB"/>
        </w:rPr>
        <w:t xml:space="preserve"> Quantified using the calibration curve of </w:t>
      </w:r>
      <w:proofErr w:type="spellStart"/>
      <w:r w:rsidRPr="009F555B">
        <w:rPr>
          <w:rFonts w:ascii="Arial" w:eastAsia="Arial Unicode MS" w:hAnsi="Arial" w:cs="Arial"/>
          <w:sz w:val="16"/>
          <w:szCs w:val="16"/>
          <w:lang w:val="en-GB"/>
        </w:rPr>
        <w:t>proanthocyanidin</w:t>
      </w:r>
      <w:proofErr w:type="spellEnd"/>
      <w:r w:rsidRPr="009F555B">
        <w:rPr>
          <w:rFonts w:ascii="Arial" w:eastAsia="Arial Unicode MS" w:hAnsi="Arial" w:cs="Arial"/>
          <w:sz w:val="16"/>
          <w:szCs w:val="16"/>
          <w:lang w:val="en-GB"/>
        </w:rPr>
        <w:t xml:space="preserve"> B2.</w:t>
      </w:r>
    </w:p>
    <w:p w:rsidR="007F46D9" w:rsidRDefault="007F46D9" w:rsidP="003D455A">
      <w:pPr>
        <w:spacing w:after="0" w:line="360" w:lineRule="auto"/>
        <w:ind w:left="1276"/>
        <w:jc w:val="both"/>
        <w:rPr>
          <w:rFonts w:ascii="Arial" w:eastAsia="Arial Unicode MS" w:hAnsi="Arial" w:cs="Arial"/>
          <w:sz w:val="16"/>
          <w:szCs w:val="16"/>
          <w:lang w:val="en-GB"/>
        </w:rPr>
      </w:pPr>
      <w:r w:rsidRPr="009F555B">
        <w:rPr>
          <w:rFonts w:ascii="Arial" w:hAnsi="Arial" w:cs="Arial"/>
          <w:b/>
          <w:sz w:val="16"/>
          <w:szCs w:val="16"/>
          <w:vertAlign w:val="superscript"/>
          <w:lang w:val="en-GB"/>
        </w:rPr>
        <w:t>2</w:t>
      </w:r>
      <w:r w:rsidRPr="009F555B">
        <w:rPr>
          <w:rFonts w:ascii="Arial" w:eastAsia="Arial Unicode MS" w:hAnsi="Arial" w:cs="Arial"/>
          <w:sz w:val="16"/>
          <w:szCs w:val="16"/>
          <w:lang w:val="en-GB"/>
        </w:rPr>
        <w:t xml:space="preserve"> Quantified using the calibration curve of </w:t>
      </w:r>
      <w:proofErr w:type="spellStart"/>
      <w:r w:rsidRPr="009F555B">
        <w:rPr>
          <w:rFonts w:ascii="Arial" w:eastAsia="Arial Unicode MS" w:hAnsi="Arial" w:cs="Arial"/>
          <w:sz w:val="16"/>
          <w:szCs w:val="16"/>
          <w:lang w:val="en-GB"/>
        </w:rPr>
        <w:t>epigallocatechingallte</w:t>
      </w:r>
      <w:proofErr w:type="spellEnd"/>
      <w:r w:rsidRPr="009F555B">
        <w:rPr>
          <w:rFonts w:ascii="Arial" w:eastAsia="Arial Unicode MS" w:hAnsi="Arial" w:cs="Arial"/>
          <w:sz w:val="16"/>
          <w:szCs w:val="16"/>
          <w:lang w:val="en-GB"/>
        </w:rPr>
        <w:t>.</w:t>
      </w:r>
    </w:p>
    <w:p w:rsidR="007F46D9" w:rsidRPr="009A3E62" w:rsidRDefault="007F46D9" w:rsidP="003D455A">
      <w:pPr>
        <w:spacing w:after="0" w:line="360" w:lineRule="auto"/>
        <w:ind w:left="1276"/>
        <w:jc w:val="both"/>
        <w:rPr>
          <w:rFonts w:ascii="Arial" w:eastAsia="Arial Unicode MS" w:hAnsi="Arial" w:cs="Arial"/>
          <w:sz w:val="16"/>
          <w:szCs w:val="16"/>
          <w:lang w:val="en-GB"/>
        </w:rPr>
      </w:pPr>
      <w:r w:rsidRPr="00103FF5">
        <w:rPr>
          <w:rFonts w:ascii="Arial" w:hAnsi="Arial" w:cs="Arial"/>
          <w:sz w:val="16"/>
          <w:szCs w:val="16"/>
          <w:lang w:val="en-GB"/>
        </w:rPr>
        <w:t xml:space="preserve">Taken </w:t>
      </w:r>
      <w:r w:rsidRPr="00103FF5">
        <w:rPr>
          <w:rFonts w:ascii="Arial" w:eastAsia="Arial Unicode MS" w:hAnsi="Arial" w:cs="Arial"/>
          <w:sz w:val="16"/>
          <w:szCs w:val="16"/>
          <w:lang w:val="en-GB"/>
        </w:rPr>
        <w:t xml:space="preserve">from </w:t>
      </w:r>
      <w:r>
        <w:rPr>
          <w:rFonts w:ascii="Arial" w:eastAsia="Arial Unicode MS" w:hAnsi="Arial" w:cs="Arial"/>
          <w:sz w:val="16"/>
          <w:szCs w:val="16"/>
          <w:lang w:val="en-GB"/>
        </w:rPr>
        <w:fldChar w:fldCharType="begin" w:fldLock="1"/>
      </w:r>
      <w:r w:rsidR="00162927">
        <w:rPr>
          <w:rFonts w:ascii="Arial" w:eastAsia="Arial Unicode MS" w:hAnsi="Arial" w:cs="Arial"/>
          <w:sz w:val="16"/>
          <w:szCs w:val="16"/>
          <w:lang w:val="en-GB"/>
        </w:rPr>
        <w:instrText>ADDIN CSL_CITATION { "citationItems" : [ { "id" : "ITEM-1", "itemData" : { "DOI" : "10.1016/j.jnutbio.2015.11.007", "ISSN" : "09552863", "abstract" : "Dietary flavanols produce beneficial health effects; once absorbed, they are recognized as xenobiotics and undergo phase-II enzymatic detoxification. However, flavanols with a degree of polymerization greater than 2 reach the colon, where they are subjected to microbial metabolism and can be further absorbed and undergo phase-II reactions. In this sense, flavanols\u2019 health-promoting properties are mainly attributed to their metabolic products. Several age-related physiological changes have been evidenced, and it is known that flavanols\u2019 bioavailability is affected by internal factors. Therefore, this study aimed to elucidate whether animals of different ages, specifically young and adult rats, exhibit differences in their flavanol metabolism and plasma bioavailability. To accomplish this, an acute dose of a grape seed polyphenol extract was administered to male rats; after 2, 4, 7, 24 and 48 h, flavanols and their phase-II and microbial metabolites were quantified by HPLC-ESI-MS/MS in plasma. The results indicated important age-related quantitative differences in plasma flavanol metabolites. Interestingly, adult rats presented a remarkable reduction in flavanol absorption and phase-II flavanol metabolism. Consequently, microbial-derived flavanol metabolism is triggered by higher flavanol affluence in the colonic tract. Furthermore, young rats presented a faster metabolic profile than adult rats. Hence, our results indicate that the physiological bioactivities of flavanols may depend on age.", "author" : [ { "dropping-particle" : "", "family" : "Margalef", "given" : "Maria", "non-dropping-particle" : "", "parse-names" : false, "suffix" : "" }, { "dropping-particle" : "", "family" : "Iglesias-Carres", "given" : "Lisard", "non-dropping-particle" : "", "parse-names" : false, "suffix" : "" }, { "dropping-particle" : "", "family" : "Pons", "given" : "Zara", "non-dropping-particle" : "", "parse-names" : false, "suffix" : "" }, { "dropping-particle" : "", "family" : "Bravo", "given" : "Francisca Isabel", "non-dropping-particle" : "", "parse-names" : false, "suffix" : "" }, { "dropping-particle" : "", "family" : "Muguerza", "given" : "Bego\u00f1a", "non-dropping-particle" : "", "parse-names" : false, "suffix" : "" }, { "dropping-particle" : "", "family" : "Arola-Arnal", "given" : "Anna", "non-dropping-particle" : "", "parse-names" : false, "suffix" : "" } ], "container-title" : "The Journal of Nutritional Biochemistry", "id" : "ITEM-1", "issued" : { "date-parts" : [ [ "2015" ] ] }, "page" : "90-96", "publisher" : "Elsevier Inc.", "title" : "Age related differences in the plasma kinetics of flavanols in rats", "type" : "article-journal", "volume" : "in press" }, "uris" : [ "http://www.mendeley.com/documents/?uuid=982cb7fe-6739-4299-858e-22203ce35ac2" ] } ], "mendeley" : { "formattedCitation" : "(Margalef et al. 2015)", "manualFormatting" : "(Margalef et al. 2016)", "plainTextFormattedCitation" : "(Margalef et al. 2015)", "previouslyFormattedCitation" : "(Margalef et al. 2015)" }, "properties" : { "noteIndex" : 0 }, "schema" : "https://github.com/citation-style-language/schema/raw/master/csl-citation.json" }</w:instrText>
      </w:r>
      <w:r>
        <w:rPr>
          <w:rFonts w:ascii="Arial" w:eastAsia="Arial Unicode MS" w:hAnsi="Arial" w:cs="Arial"/>
          <w:sz w:val="16"/>
          <w:szCs w:val="16"/>
          <w:lang w:val="en-GB"/>
        </w:rPr>
        <w:fldChar w:fldCharType="separate"/>
      </w:r>
      <w:r w:rsidR="002309E8" w:rsidRPr="002309E8">
        <w:rPr>
          <w:rFonts w:ascii="Arial" w:eastAsia="Arial Unicode MS" w:hAnsi="Arial" w:cs="Arial"/>
          <w:noProof/>
          <w:sz w:val="16"/>
          <w:szCs w:val="16"/>
          <w:lang w:val="en-GB"/>
        </w:rPr>
        <w:t>(Margalef et al. 201</w:t>
      </w:r>
      <w:r w:rsidR="00162927">
        <w:rPr>
          <w:rFonts w:ascii="Arial" w:eastAsia="Arial Unicode MS" w:hAnsi="Arial" w:cs="Arial"/>
          <w:noProof/>
          <w:sz w:val="16"/>
          <w:szCs w:val="16"/>
          <w:lang w:val="en-GB"/>
        </w:rPr>
        <w:t>6</w:t>
      </w:r>
      <w:r w:rsidR="002309E8" w:rsidRPr="002309E8">
        <w:rPr>
          <w:rFonts w:ascii="Arial" w:eastAsia="Arial Unicode MS" w:hAnsi="Arial" w:cs="Arial"/>
          <w:noProof/>
          <w:sz w:val="16"/>
          <w:szCs w:val="16"/>
          <w:lang w:val="en-GB"/>
        </w:rPr>
        <w:t>)</w:t>
      </w:r>
      <w:r>
        <w:rPr>
          <w:rFonts w:ascii="Arial" w:eastAsia="Arial Unicode MS" w:hAnsi="Arial" w:cs="Arial"/>
          <w:sz w:val="16"/>
          <w:szCs w:val="16"/>
          <w:lang w:val="en-GB"/>
        </w:rPr>
        <w:fldChar w:fldCharType="end"/>
      </w:r>
      <w:r w:rsidRPr="00103FF5">
        <w:rPr>
          <w:rFonts w:ascii="Arial" w:eastAsia="Arial Unicode MS" w:hAnsi="Arial" w:cs="Arial"/>
          <w:sz w:val="16"/>
          <w:szCs w:val="16"/>
          <w:lang w:val="en-GB"/>
        </w:rPr>
        <w:t>.</w:t>
      </w:r>
    </w:p>
    <w:p w:rsidR="00162927" w:rsidRDefault="00162927" w:rsidP="002309E8">
      <w:pPr>
        <w:widowControl w:val="0"/>
        <w:autoSpaceDE w:val="0"/>
        <w:autoSpaceDN w:val="0"/>
        <w:adjustRightInd w:val="0"/>
        <w:spacing w:line="240" w:lineRule="auto"/>
        <w:ind w:left="480" w:hanging="480"/>
        <w:rPr>
          <w:lang w:val="en-US"/>
        </w:rPr>
      </w:pPr>
    </w:p>
    <w:p w:rsidR="007F46D9" w:rsidRPr="008775F8" w:rsidRDefault="008775F8" w:rsidP="008775F8">
      <w:pPr>
        <w:rPr>
          <w:color w:val="FF0000"/>
          <w:lang w:val="en-US"/>
        </w:rPr>
      </w:pPr>
      <w:proofErr w:type="spellStart"/>
      <w:r w:rsidRPr="008775F8">
        <w:rPr>
          <w:rFonts w:ascii="Arial" w:hAnsi="Arial" w:cs="Arial"/>
          <w:color w:val="FF0000"/>
          <w:sz w:val="18"/>
          <w:szCs w:val="18"/>
          <w:shd w:val="clear" w:color="auto" w:fill="FFFFFF"/>
        </w:rPr>
        <w:t>Margalef</w:t>
      </w:r>
      <w:proofErr w:type="spellEnd"/>
      <w:r w:rsidRPr="008775F8">
        <w:rPr>
          <w:rFonts w:ascii="Arial" w:hAnsi="Arial" w:cs="Arial"/>
          <w:color w:val="FF0000"/>
          <w:sz w:val="18"/>
          <w:szCs w:val="18"/>
          <w:shd w:val="clear" w:color="auto" w:fill="FFFFFF"/>
        </w:rPr>
        <w:t>, M., Pons, Z., Iglesias-</w:t>
      </w:r>
      <w:proofErr w:type="spellStart"/>
      <w:r w:rsidRPr="008775F8">
        <w:rPr>
          <w:rFonts w:ascii="Arial" w:hAnsi="Arial" w:cs="Arial"/>
          <w:color w:val="FF0000"/>
          <w:sz w:val="18"/>
          <w:szCs w:val="18"/>
          <w:shd w:val="clear" w:color="auto" w:fill="FFFFFF"/>
        </w:rPr>
        <w:t>Carres</w:t>
      </w:r>
      <w:proofErr w:type="spellEnd"/>
      <w:r w:rsidRPr="008775F8">
        <w:rPr>
          <w:rFonts w:ascii="Arial" w:hAnsi="Arial" w:cs="Arial"/>
          <w:color w:val="FF0000"/>
          <w:sz w:val="18"/>
          <w:szCs w:val="18"/>
          <w:shd w:val="clear" w:color="auto" w:fill="FFFFFF"/>
        </w:rPr>
        <w:t xml:space="preserve">, L., Arola, L., </w:t>
      </w:r>
      <w:proofErr w:type="spellStart"/>
      <w:r w:rsidRPr="008775F8">
        <w:rPr>
          <w:rFonts w:ascii="Arial" w:hAnsi="Arial" w:cs="Arial"/>
          <w:color w:val="FF0000"/>
          <w:sz w:val="18"/>
          <w:szCs w:val="18"/>
          <w:shd w:val="clear" w:color="auto" w:fill="FFFFFF"/>
        </w:rPr>
        <w:t>Muguerza</w:t>
      </w:r>
      <w:proofErr w:type="spellEnd"/>
      <w:r w:rsidRPr="008775F8">
        <w:rPr>
          <w:rFonts w:ascii="Arial" w:hAnsi="Arial" w:cs="Arial"/>
          <w:color w:val="FF0000"/>
          <w:sz w:val="18"/>
          <w:szCs w:val="18"/>
          <w:shd w:val="clear" w:color="auto" w:fill="FFFFFF"/>
        </w:rPr>
        <w:t xml:space="preserve">, B. and Arola-Arnal, A. (2016), </w:t>
      </w:r>
      <w:proofErr w:type="spellStart"/>
      <w:r w:rsidRPr="008775F8">
        <w:rPr>
          <w:rFonts w:ascii="Arial" w:hAnsi="Arial" w:cs="Arial"/>
          <w:color w:val="FF0000"/>
          <w:sz w:val="18"/>
          <w:szCs w:val="18"/>
          <w:shd w:val="clear" w:color="auto" w:fill="FFFFFF"/>
        </w:rPr>
        <w:t>Gender-related</w:t>
      </w:r>
      <w:proofErr w:type="spellEnd"/>
      <w:r w:rsidRPr="008775F8">
        <w:rPr>
          <w:rFonts w:ascii="Arial" w:hAnsi="Arial" w:cs="Arial"/>
          <w:color w:val="FF0000"/>
          <w:sz w:val="18"/>
          <w:szCs w:val="18"/>
          <w:shd w:val="clear" w:color="auto" w:fill="FFFFFF"/>
        </w:rPr>
        <w:t xml:space="preserve"> </w:t>
      </w:r>
      <w:proofErr w:type="spellStart"/>
      <w:r w:rsidRPr="008775F8">
        <w:rPr>
          <w:rFonts w:ascii="Arial" w:hAnsi="Arial" w:cs="Arial"/>
          <w:color w:val="FF0000"/>
          <w:sz w:val="18"/>
          <w:szCs w:val="18"/>
          <w:shd w:val="clear" w:color="auto" w:fill="FFFFFF"/>
        </w:rPr>
        <w:t>similarities</w:t>
      </w:r>
      <w:proofErr w:type="spellEnd"/>
      <w:r w:rsidRPr="008775F8">
        <w:rPr>
          <w:rFonts w:ascii="Arial" w:hAnsi="Arial" w:cs="Arial"/>
          <w:color w:val="FF0000"/>
          <w:sz w:val="18"/>
          <w:szCs w:val="18"/>
          <w:shd w:val="clear" w:color="auto" w:fill="FFFFFF"/>
        </w:rPr>
        <w:t xml:space="preserve"> and </w:t>
      </w:r>
      <w:proofErr w:type="spellStart"/>
      <w:r w:rsidRPr="008775F8">
        <w:rPr>
          <w:rFonts w:ascii="Arial" w:hAnsi="Arial" w:cs="Arial"/>
          <w:color w:val="FF0000"/>
          <w:sz w:val="18"/>
          <w:szCs w:val="18"/>
          <w:shd w:val="clear" w:color="auto" w:fill="FFFFFF"/>
        </w:rPr>
        <w:t>differences</w:t>
      </w:r>
      <w:proofErr w:type="spellEnd"/>
      <w:r w:rsidRPr="008775F8">
        <w:rPr>
          <w:rFonts w:ascii="Arial" w:hAnsi="Arial" w:cs="Arial"/>
          <w:color w:val="FF0000"/>
          <w:sz w:val="18"/>
          <w:szCs w:val="18"/>
          <w:shd w:val="clear" w:color="auto" w:fill="FFFFFF"/>
        </w:rPr>
        <w:t xml:space="preserve"> in </w:t>
      </w:r>
      <w:proofErr w:type="spellStart"/>
      <w:r w:rsidRPr="008775F8">
        <w:rPr>
          <w:rFonts w:ascii="Arial" w:hAnsi="Arial" w:cs="Arial"/>
          <w:color w:val="FF0000"/>
          <w:sz w:val="18"/>
          <w:szCs w:val="18"/>
          <w:shd w:val="clear" w:color="auto" w:fill="FFFFFF"/>
        </w:rPr>
        <w:t>the</w:t>
      </w:r>
      <w:proofErr w:type="spellEnd"/>
      <w:r w:rsidRPr="008775F8">
        <w:rPr>
          <w:rFonts w:ascii="Arial" w:hAnsi="Arial" w:cs="Arial"/>
          <w:color w:val="FF0000"/>
          <w:sz w:val="18"/>
          <w:szCs w:val="18"/>
          <w:shd w:val="clear" w:color="auto" w:fill="FFFFFF"/>
        </w:rPr>
        <w:t xml:space="preserve"> </w:t>
      </w:r>
      <w:proofErr w:type="spellStart"/>
      <w:r w:rsidRPr="008775F8">
        <w:rPr>
          <w:rFonts w:ascii="Arial" w:hAnsi="Arial" w:cs="Arial"/>
          <w:color w:val="FF0000"/>
          <w:sz w:val="18"/>
          <w:szCs w:val="18"/>
          <w:shd w:val="clear" w:color="auto" w:fill="FFFFFF"/>
        </w:rPr>
        <w:t>body</w:t>
      </w:r>
      <w:proofErr w:type="spellEnd"/>
      <w:r w:rsidRPr="008775F8">
        <w:rPr>
          <w:rFonts w:ascii="Arial" w:hAnsi="Arial" w:cs="Arial"/>
          <w:color w:val="FF0000"/>
          <w:sz w:val="18"/>
          <w:szCs w:val="18"/>
          <w:shd w:val="clear" w:color="auto" w:fill="FFFFFF"/>
        </w:rPr>
        <w:t xml:space="preserve"> </w:t>
      </w:r>
      <w:proofErr w:type="spellStart"/>
      <w:r w:rsidRPr="008775F8">
        <w:rPr>
          <w:rFonts w:ascii="Arial" w:hAnsi="Arial" w:cs="Arial"/>
          <w:color w:val="FF0000"/>
          <w:sz w:val="18"/>
          <w:szCs w:val="18"/>
          <w:shd w:val="clear" w:color="auto" w:fill="FFFFFF"/>
        </w:rPr>
        <w:t>distribution</w:t>
      </w:r>
      <w:proofErr w:type="spellEnd"/>
      <w:r w:rsidRPr="008775F8">
        <w:rPr>
          <w:rFonts w:ascii="Arial" w:hAnsi="Arial" w:cs="Arial"/>
          <w:color w:val="FF0000"/>
          <w:sz w:val="18"/>
          <w:szCs w:val="18"/>
          <w:shd w:val="clear" w:color="auto" w:fill="FFFFFF"/>
        </w:rPr>
        <w:t xml:space="preserve"> of grape </w:t>
      </w:r>
      <w:proofErr w:type="spellStart"/>
      <w:r w:rsidRPr="008775F8">
        <w:rPr>
          <w:rFonts w:ascii="Arial" w:hAnsi="Arial" w:cs="Arial"/>
          <w:color w:val="FF0000"/>
          <w:sz w:val="18"/>
          <w:szCs w:val="18"/>
          <w:shd w:val="clear" w:color="auto" w:fill="FFFFFF"/>
        </w:rPr>
        <w:t>seed</w:t>
      </w:r>
      <w:proofErr w:type="spellEnd"/>
      <w:r w:rsidRPr="008775F8">
        <w:rPr>
          <w:rFonts w:ascii="Arial" w:hAnsi="Arial" w:cs="Arial"/>
          <w:color w:val="FF0000"/>
          <w:sz w:val="18"/>
          <w:szCs w:val="18"/>
          <w:shd w:val="clear" w:color="auto" w:fill="FFFFFF"/>
        </w:rPr>
        <w:t xml:space="preserve"> </w:t>
      </w:r>
      <w:proofErr w:type="spellStart"/>
      <w:r w:rsidRPr="008775F8">
        <w:rPr>
          <w:rFonts w:ascii="Arial" w:hAnsi="Arial" w:cs="Arial"/>
          <w:color w:val="FF0000"/>
          <w:sz w:val="18"/>
          <w:szCs w:val="18"/>
          <w:shd w:val="clear" w:color="auto" w:fill="FFFFFF"/>
        </w:rPr>
        <w:t>flavanols</w:t>
      </w:r>
      <w:proofErr w:type="spellEnd"/>
      <w:r w:rsidRPr="008775F8">
        <w:rPr>
          <w:rFonts w:ascii="Arial" w:hAnsi="Arial" w:cs="Arial"/>
          <w:color w:val="FF0000"/>
          <w:sz w:val="18"/>
          <w:szCs w:val="18"/>
          <w:shd w:val="clear" w:color="auto" w:fill="FFFFFF"/>
        </w:rPr>
        <w:t xml:space="preserve"> in </w:t>
      </w:r>
      <w:proofErr w:type="spellStart"/>
      <w:r w:rsidRPr="008775F8">
        <w:rPr>
          <w:rFonts w:ascii="Arial" w:hAnsi="Arial" w:cs="Arial"/>
          <w:color w:val="FF0000"/>
          <w:sz w:val="18"/>
          <w:szCs w:val="18"/>
          <w:shd w:val="clear" w:color="auto" w:fill="FFFFFF"/>
        </w:rPr>
        <w:t>rats</w:t>
      </w:r>
      <w:proofErr w:type="spellEnd"/>
      <w:r w:rsidRPr="008775F8">
        <w:rPr>
          <w:rFonts w:ascii="Arial" w:hAnsi="Arial" w:cs="Arial"/>
          <w:color w:val="FF0000"/>
          <w:sz w:val="18"/>
          <w:szCs w:val="18"/>
          <w:shd w:val="clear" w:color="auto" w:fill="FFFFFF"/>
        </w:rPr>
        <w:t xml:space="preserve">. Mol. </w:t>
      </w:r>
      <w:proofErr w:type="spellStart"/>
      <w:r w:rsidRPr="008775F8">
        <w:rPr>
          <w:rFonts w:ascii="Arial" w:hAnsi="Arial" w:cs="Arial"/>
          <w:color w:val="FF0000"/>
          <w:sz w:val="18"/>
          <w:szCs w:val="18"/>
          <w:shd w:val="clear" w:color="auto" w:fill="FFFFFF"/>
        </w:rPr>
        <w:t>Nutr</w:t>
      </w:r>
      <w:proofErr w:type="spellEnd"/>
      <w:r w:rsidRPr="008775F8">
        <w:rPr>
          <w:rFonts w:ascii="Arial" w:hAnsi="Arial" w:cs="Arial"/>
          <w:color w:val="FF0000"/>
          <w:sz w:val="18"/>
          <w:szCs w:val="18"/>
          <w:shd w:val="clear" w:color="auto" w:fill="FFFFFF"/>
        </w:rPr>
        <w:t xml:space="preserve">. </w:t>
      </w:r>
      <w:proofErr w:type="spellStart"/>
      <w:r w:rsidRPr="008775F8">
        <w:rPr>
          <w:rFonts w:ascii="Arial" w:hAnsi="Arial" w:cs="Arial"/>
          <w:color w:val="FF0000"/>
          <w:sz w:val="18"/>
          <w:szCs w:val="18"/>
          <w:shd w:val="clear" w:color="auto" w:fill="FFFFFF"/>
        </w:rPr>
        <w:t>Food</w:t>
      </w:r>
      <w:proofErr w:type="spellEnd"/>
      <w:r w:rsidRPr="008775F8">
        <w:rPr>
          <w:rFonts w:ascii="Arial" w:hAnsi="Arial" w:cs="Arial"/>
          <w:color w:val="FF0000"/>
          <w:sz w:val="18"/>
          <w:szCs w:val="18"/>
          <w:shd w:val="clear" w:color="auto" w:fill="FFFFFF"/>
        </w:rPr>
        <w:t xml:space="preserve"> Res., 60: 760–772</w:t>
      </w:r>
    </w:p>
    <w:sectPr w:rsidR="007F46D9" w:rsidRPr="008775F8" w:rsidSect="00D37C8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5A"/>
    <w:rsid w:val="00031A8C"/>
    <w:rsid w:val="000C3B44"/>
    <w:rsid w:val="00103FF5"/>
    <w:rsid w:val="00162927"/>
    <w:rsid w:val="002309E8"/>
    <w:rsid w:val="002B1686"/>
    <w:rsid w:val="003D455A"/>
    <w:rsid w:val="00481C49"/>
    <w:rsid w:val="005E2A76"/>
    <w:rsid w:val="00694746"/>
    <w:rsid w:val="007F46D9"/>
    <w:rsid w:val="00821BAE"/>
    <w:rsid w:val="008775F8"/>
    <w:rsid w:val="008A3499"/>
    <w:rsid w:val="008C1A52"/>
    <w:rsid w:val="00941DE9"/>
    <w:rsid w:val="009A3E62"/>
    <w:rsid w:val="009F555B"/>
    <w:rsid w:val="00B613CF"/>
    <w:rsid w:val="00C7296D"/>
    <w:rsid w:val="00CF1DF9"/>
    <w:rsid w:val="00D37C8D"/>
    <w:rsid w:val="00E163C0"/>
    <w:rsid w:val="00EB110A"/>
    <w:rsid w:val="00F634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5A"/>
    <w:pPr>
      <w:spacing w:after="200" w:line="276" w:lineRule="auto"/>
    </w:pPr>
    <w:rPr>
      <w:rFonts w:ascii="Calibri" w:hAnsi="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E163C0"/>
    <w:pPr>
      <w:spacing w:after="0" w:line="240" w:lineRule="auto"/>
    </w:pPr>
    <w:rPr>
      <w:rFonts w:ascii="Lucida Grande" w:hAnsi="Lucida Grande" w:cs="Lucida Grande"/>
      <w:sz w:val="18"/>
      <w:szCs w:val="18"/>
      <w:lang w:val="en-US"/>
    </w:rPr>
  </w:style>
  <w:style w:type="character" w:customStyle="1" w:styleId="TextodegloboCar">
    <w:name w:val="Texto de globo Car"/>
    <w:link w:val="Textodeglobo"/>
    <w:uiPriority w:val="99"/>
    <w:semiHidden/>
    <w:locked/>
    <w:rsid w:val="00E163C0"/>
    <w:rPr>
      <w:rFonts w:ascii="Lucida Grande" w:hAnsi="Lucida Grande" w:cs="Lucida Grande"/>
      <w:sz w:val="18"/>
      <w:szCs w:val="18"/>
    </w:rPr>
  </w:style>
  <w:style w:type="character" w:styleId="Refdecomentario">
    <w:name w:val="annotation reference"/>
    <w:basedOn w:val="Fuentedeprrafopredeter"/>
    <w:uiPriority w:val="99"/>
    <w:semiHidden/>
    <w:unhideWhenUsed/>
    <w:rsid w:val="008775F8"/>
    <w:rPr>
      <w:sz w:val="16"/>
      <w:szCs w:val="16"/>
    </w:rPr>
  </w:style>
  <w:style w:type="paragraph" w:styleId="Textocomentario">
    <w:name w:val="annotation text"/>
    <w:basedOn w:val="Normal"/>
    <w:link w:val="TextocomentarioCar"/>
    <w:uiPriority w:val="99"/>
    <w:semiHidden/>
    <w:unhideWhenUsed/>
    <w:rsid w:val="008775F8"/>
    <w:rPr>
      <w:sz w:val="20"/>
      <w:szCs w:val="20"/>
    </w:rPr>
  </w:style>
  <w:style w:type="character" w:customStyle="1" w:styleId="TextocomentarioCar">
    <w:name w:val="Texto comentario Car"/>
    <w:basedOn w:val="Fuentedeprrafopredeter"/>
    <w:link w:val="Textocomentario"/>
    <w:uiPriority w:val="99"/>
    <w:semiHidden/>
    <w:rsid w:val="008775F8"/>
    <w:rPr>
      <w:rFonts w:ascii="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8775F8"/>
    <w:rPr>
      <w:b/>
      <w:bCs/>
    </w:rPr>
  </w:style>
  <w:style w:type="character" w:customStyle="1" w:styleId="AsuntodelcomentarioCar">
    <w:name w:val="Asunto del comentario Car"/>
    <w:basedOn w:val="TextocomentarioCar"/>
    <w:link w:val="Asuntodelcomentario"/>
    <w:uiPriority w:val="99"/>
    <w:semiHidden/>
    <w:rsid w:val="008775F8"/>
    <w:rPr>
      <w:rFonts w:ascii="Calibri" w:hAnsi="Calibri"/>
      <w:b/>
      <w:bCs/>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5A"/>
    <w:pPr>
      <w:spacing w:after="200" w:line="276" w:lineRule="auto"/>
    </w:pPr>
    <w:rPr>
      <w:rFonts w:ascii="Calibri" w:hAnsi="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E163C0"/>
    <w:pPr>
      <w:spacing w:after="0" w:line="240" w:lineRule="auto"/>
    </w:pPr>
    <w:rPr>
      <w:rFonts w:ascii="Lucida Grande" w:hAnsi="Lucida Grande" w:cs="Lucida Grande"/>
      <w:sz w:val="18"/>
      <w:szCs w:val="18"/>
      <w:lang w:val="en-US"/>
    </w:rPr>
  </w:style>
  <w:style w:type="character" w:customStyle="1" w:styleId="TextodegloboCar">
    <w:name w:val="Texto de globo Car"/>
    <w:link w:val="Textodeglobo"/>
    <w:uiPriority w:val="99"/>
    <w:semiHidden/>
    <w:locked/>
    <w:rsid w:val="00E163C0"/>
    <w:rPr>
      <w:rFonts w:ascii="Lucida Grande" w:hAnsi="Lucida Grande" w:cs="Lucida Grande"/>
      <w:sz w:val="18"/>
      <w:szCs w:val="18"/>
    </w:rPr>
  </w:style>
  <w:style w:type="character" w:styleId="Refdecomentario">
    <w:name w:val="annotation reference"/>
    <w:basedOn w:val="Fuentedeprrafopredeter"/>
    <w:uiPriority w:val="99"/>
    <w:semiHidden/>
    <w:unhideWhenUsed/>
    <w:rsid w:val="008775F8"/>
    <w:rPr>
      <w:sz w:val="16"/>
      <w:szCs w:val="16"/>
    </w:rPr>
  </w:style>
  <w:style w:type="paragraph" w:styleId="Textocomentario">
    <w:name w:val="annotation text"/>
    <w:basedOn w:val="Normal"/>
    <w:link w:val="TextocomentarioCar"/>
    <w:uiPriority w:val="99"/>
    <w:semiHidden/>
    <w:unhideWhenUsed/>
    <w:rsid w:val="008775F8"/>
    <w:rPr>
      <w:sz w:val="20"/>
      <w:szCs w:val="20"/>
    </w:rPr>
  </w:style>
  <w:style w:type="character" w:customStyle="1" w:styleId="TextocomentarioCar">
    <w:name w:val="Texto comentario Car"/>
    <w:basedOn w:val="Fuentedeprrafopredeter"/>
    <w:link w:val="Textocomentario"/>
    <w:uiPriority w:val="99"/>
    <w:semiHidden/>
    <w:rsid w:val="008775F8"/>
    <w:rPr>
      <w:rFonts w:ascii="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8775F8"/>
    <w:rPr>
      <w:b/>
      <w:bCs/>
    </w:rPr>
  </w:style>
  <w:style w:type="character" w:customStyle="1" w:styleId="AsuntodelcomentarioCar">
    <w:name w:val="Asunto del comentario Car"/>
    <w:basedOn w:val="TextocomentarioCar"/>
    <w:link w:val="Asuntodelcomentario"/>
    <w:uiPriority w:val="99"/>
    <w:semiHidden/>
    <w:rsid w:val="008775F8"/>
    <w:rPr>
      <w:rFonts w:ascii="Calibri" w:hAnsi="Calibri"/>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95A4-DAAA-45F3-81CC-FDC3297A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Margalef Jornet</dc:creator>
  <cp:keywords/>
  <dc:description/>
  <cp:lastModifiedBy>Anna Arola Arnal</cp:lastModifiedBy>
  <cp:revision>2</cp:revision>
  <cp:lastPrinted>2016-05-13T13:39:00Z</cp:lastPrinted>
  <dcterms:created xsi:type="dcterms:W3CDTF">2016-07-28T15:23:00Z</dcterms:created>
  <dcterms:modified xsi:type="dcterms:W3CDTF">2016-07-28T15:23:00Z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anna.arola@urv.cat@www.mendeley.com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http://csl.mendeley.com/styles/407705871/BioFactors</vt:lpwstr>
  </property>
  <property fmtid="{D5CDD505-2E9C-101B-9397-08002B2CF9AE}" pid="12" name="Mendeley Recent Style Name 3_1">
    <vt:lpwstr>BioFactors - Cinta Bladé</vt:lpwstr>
  </property>
  <property fmtid="{D5CDD505-2E9C-101B-9397-08002B2CF9AE}" pid="13" name="Mendeley Recent Style Id 4_1">
    <vt:lpwstr>http://www.zotero.org/styles/biochemical-pharmacology</vt:lpwstr>
  </property>
  <property fmtid="{D5CDD505-2E9C-101B-9397-08002B2CF9AE}" pid="14" name="Mendeley Recent Style Name 4_1">
    <vt:lpwstr>Biochemical Pharmacology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http://www.zotero.org/styles/the-journal-of-nutritional-biochemistry</vt:lpwstr>
  </property>
  <property fmtid="{D5CDD505-2E9C-101B-9397-08002B2CF9AE}" pid="22" name="Mendeley Recent Style Name 8_1">
    <vt:lpwstr>The Journal of Nutritional Biochemistry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