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41" w:rsidRPr="00801641" w:rsidRDefault="00801641" w:rsidP="00801641">
      <w:pPr>
        <w:spacing w:after="0" w:line="240" w:lineRule="auto"/>
        <w:rPr>
          <w:b/>
          <w:lang w:val="en-US"/>
        </w:rPr>
      </w:pPr>
      <w:bookmarkStart w:id="0" w:name="_GoBack"/>
      <w:r w:rsidRPr="00801641">
        <w:rPr>
          <w:b/>
          <w:lang w:val="en-US"/>
        </w:rPr>
        <w:t>Supplemental Table S1: Factor loading matrix, NutriNet-Santé study</w:t>
      </w: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1859"/>
        <w:gridCol w:w="1859"/>
      </w:tblGrid>
      <w:tr w:rsidR="00801641" w:rsidRPr="00801641" w:rsidTr="00806E43">
        <w:trPr>
          <w:trHeight w:val="300"/>
        </w:trPr>
        <w:tc>
          <w:tcPr>
            <w:tcW w:w="298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lang w:val="en-GB" w:eastAsia="fr-FR"/>
              </w:rPr>
              <w:t>Variable</w:t>
            </w:r>
          </w:p>
        </w:tc>
        <w:tc>
          <w:tcPr>
            <w:tcW w:w="100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lang w:eastAsia="fr-FR"/>
              </w:rPr>
              <w:t>Factor1</w:t>
            </w:r>
          </w:p>
        </w:tc>
        <w:tc>
          <w:tcPr>
            <w:tcW w:w="100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lang w:eastAsia="fr-FR"/>
              </w:rPr>
              <w:t>Factor2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Vegetables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0·65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0·14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Fruit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0·06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Broth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0·17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Coffee, tea, tisane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0·01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Soda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-0·42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0·06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Croissants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-0·37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0·03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Nuts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0·36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0·04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Fat and sweet products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-0·35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0·07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Dried fruits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0·33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-0·03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Snacks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-0·28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0·23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Soya products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-0·16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Meat and meat products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-0·28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0·39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Seafood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-0·02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Dairy desserts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-0·25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0·04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Bread and breakfast cereals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0·54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Cakes and pastries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-0·18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0·15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Alcoholic beverages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-0·18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0·34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Margarine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0·12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Flour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0·06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Eggs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0·02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Animal Fat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0·41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Dairy products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-0·09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Cheese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0·53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Potatoes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0·41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Vegetable oils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0·28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Starchy food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0·07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Meal substitutes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-0·16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Sauces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0·23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Sweet products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-0·01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0·27</w:t>
            </w:r>
          </w:p>
        </w:tc>
      </w:tr>
      <w:tr w:rsidR="00801641" w:rsidRPr="00801641" w:rsidTr="00806E43">
        <w:trPr>
          <w:trHeight w:val="30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 xml:space="preserve">Water and non-sweet 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bevarages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0·14</w:t>
            </w:r>
          </w:p>
        </w:tc>
      </w:tr>
      <w:tr w:rsidR="00801641" w:rsidRPr="00801641" w:rsidTr="00806E43">
        <w:trPr>
          <w:trHeight w:val="315"/>
        </w:trPr>
        <w:tc>
          <w:tcPr>
            <w:tcW w:w="29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GB" w:eastAsia="fr-FR"/>
              </w:rPr>
              <w:t>Wine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0·42</w:t>
            </w:r>
          </w:p>
        </w:tc>
      </w:tr>
    </w:tbl>
    <w:p w:rsidR="00801641" w:rsidRPr="00801641" w:rsidRDefault="00801641" w:rsidP="00801641">
      <w:pPr>
        <w:rPr>
          <w:rFonts w:cs="Times New Roman"/>
          <w:sz w:val="24"/>
          <w:szCs w:val="24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  <w:r w:rsidRPr="00801641">
        <w:rPr>
          <w:lang w:val="en-US"/>
        </w:rPr>
        <w:t>Absolute values &lt; 0</w:t>
      </w:r>
      <w:r w:rsidRPr="00801641">
        <w:rPr>
          <w:sz w:val="20"/>
          <w:szCs w:val="20"/>
          <w:lang w:val="en-US"/>
        </w:rPr>
        <w:t>·</w:t>
      </w:r>
      <w:r w:rsidRPr="00801641">
        <w:rPr>
          <w:lang w:val="en-US"/>
        </w:rPr>
        <w:t>3 are not displayed in the table.</w:t>
      </w:r>
      <w:r w:rsidRPr="00801641">
        <w:rPr>
          <w:rFonts w:cs="Times New Roman"/>
          <w:sz w:val="24"/>
          <w:szCs w:val="24"/>
          <w:lang w:val="en-US"/>
        </w:rPr>
        <w:br w:type="page"/>
      </w:r>
    </w:p>
    <w:p w:rsidR="00801641" w:rsidRPr="00801641" w:rsidRDefault="00801641" w:rsidP="00801641">
      <w:pPr>
        <w:pStyle w:val="Standard"/>
        <w:spacing w:after="0" w:line="480" w:lineRule="auto"/>
        <w:rPr>
          <w:rFonts w:ascii="Helvetica" w:hAnsi="Helvetica"/>
          <w:shd w:val="clear" w:color="auto" w:fill="FFFFFF"/>
          <w:lang w:val="en-US"/>
        </w:rPr>
      </w:pPr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Supplemental Table S2 Prospective association between quartiles of the organic score and obesity risk, stratified analyses, </w:t>
      </w:r>
      <w:proofErr w:type="spellStart"/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t>Nutrinet</w:t>
      </w:r>
      <w:proofErr w:type="spellEnd"/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t>-Santé study, 2009-2015</w:t>
      </w: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  <w:proofErr w:type="gramStart"/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,†</w:t>
      </w:r>
      <w:proofErr w:type="gramEnd"/>
      <w:r w:rsidRPr="008016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1641">
        <w:rPr>
          <w:rFonts w:ascii="Helvetica" w:hAnsi="Helvetica"/>
          <w:shd w:val="clear" w:color="auto" w:fill="FFFFFF"/>
          <w:lang w:val="en-US"/>
        </w:rPr>
        <w:t xml:space="preserve"> </w:t>
      </w:r>
    </w:p>
    <w:tbl>
      <w:tblPr>
        <w:tblW w:w="49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07"/>
        <w:gridCol w:w="1524"/>
        <w:gridCol w:w="1525"/>
        <w:gridCol w:w="1525"/>
        <w:gridCol w:w="707"/>
      </w:tblGrid>
      <w:tr w:rsidR="00801641" w:rsidRPr="00801641" w:rsidTr="00806E43">
        <w:trPr>
          <w:trHeight w:val="315"/>
        </w:trPr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Q1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Q2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Q3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Q4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P for trend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tcBorders>
              <w:top w:val="single" w:sz="4" w:space="0" w:color="auto"/>
            </w:tcBorders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Education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szCs w:val="20"/>
                <w:lang w:val="en-US" w:eastAsia="fr-FR"/>
              </w:rPr>
              <w:t>&lt; high school diploma</w:t>
            </w:r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1·21 (0·91, 1·61)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0·88 (0·65, 1·19)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0·73 (0·52, 1·04)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0·04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szCs w:val="20"/>
                <w:lang w:val="en-US" w:eastAsia="fr-FR"/>
              </w:rPr>
              <w:t>High school diploma</w:t>
            </w:r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0·80 (0·56, 1·14)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0·97 (0·69, 1·35)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0·82 (0·55, 1·20)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0·48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vAlign w:val="center"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szCs w:val="20"/>
                <w:lang w:val="en-US" w:eastAsia="fr-FR"/>
              </w:rPr>
              <w:t>Post-secondary graduate</w:t>
            </w:r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0·95 (0·78, 1·15)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0·92 (0·75, 1·12)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0·69 (0·55, 0·87)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0·003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Physical </w:t>
            </w:r>
            <w:proofErr w:type="spellStart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activity</w:t>
            </w:r>
            <w:proofErr w:type="spellEnd"/>
          </w:p>
        </w:tc>
        <w:tc>
          <w:tcPr>
            <w:tcW w:w="276" w:type="pct"/>
            <w:shd w:val="clear" w:color="auto" w:fill="auto"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&lt;30 min/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day</w:t>
            </w:r>
            <w:proofErr w:type="spellEnd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brisk</w:t>
            </w:r>
            <w:proofErr w:type="spellEnd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walking</w:t>
            </w:r>
            <w:proofErr w:type="spellEnd"/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0·68 (0·51, 0·90)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0·76 (0·58, 1·01)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0·53 (0·38, 0·74)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0·001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val="en-US" w:eastAsia="fr-FR"/>
              </w:rPr>
              <w:t>≥30 min/day brisk walking or equivalent</w:t>
            </w:r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0·97 (0·80, 1·18)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0·90 (0·73, 1·10)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0·74 (0·59, 0·92)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0·01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Smoking </w:t>
            </w:r>
            <w:proofErr w:type="spellStart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status</w:t>
            </w:r>
            <w:proofErr w:type="spellEnd"/>
          </w:p>
        </w:tc>
        <w:tc>
          <w:tcPr>
            <w:tcW w:w="276" w:type="pct"/>
            <w:shd w:val="clear" w:color="auto" w:fill="auto"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Never or former 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smokers</w:t>
            </w:r>
            <w:proofErr w:type="spellEnd"/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0·95 (0·81, 1·11)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0·90 (0·76, 1·06)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0·72 (0·59, 0·86)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0·001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Current</w:t>
            </w:r>
            <w:proofErr w:type="spellEnd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smokers</w:t>
            </w:r>
            <w:proofErr w:type="spellEnd"/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0·74 (0·51, 1·06)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0·95 (0·65, 1·38)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0·55 (0·36, 0·86)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0·04</w:t>
            </w: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proofErr w:type="spellStart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Dietary</w:t>
            </w:r>
            <w:proofErr w:type="spellEnd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supplement</w:t>
            </w:r>
            <w:proofErr w:type="spellEnd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0164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users</w:t>
            </w:r>
            <w:proofErr w:type="spellEnd"/>
          </w:p>
        </w:tc>
        <w:tc>
          <w:tcPr>
            <w:tcW w:w="276" w:type="pct"/>
            <w:shd w:val="clear" w:color="auto" w:fill="auto"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801641" w:rsidRPr="00801641" w:rsidTr="00806E43">
        <w:trPr>
          <w:trHeight w:val="315"/>
        </w:trPr>
        <w:tc>
          <w:tcPr>
            <w:tcW w:w="1851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yes</w:t>
            </w:r>
            <w:proofErr w:type="spellEnd"/>
          </w:p>
        </w:tc>
        <w:tc>
          <w:tcPr>
            <w:tcW w:w="276" w:type="pct"/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1·16 (0·94, 1·45)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1·05 (0·84, 1·32)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0·79 (0·61, 1·03)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0·11</w:t>
            </w:r>
          </w:p>
        </w:tc>
      </w:tr>
      <w:tr w:rsidR="00801641" w:rsidRPr="00801641" w:rsidTr="00806E43">
        <w:trPr>
          <w:trHeight w:val="300"/>
        </w:trPr>
        <w:tc>
          <w:tcPr>
            <w:tcW w:w="185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1·00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0·92 (0·75, 1·12)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0·75 (0·60, 0·95)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0·67 (0·52, 0·85)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01641">
              <w:rPr>
                <w:rFonts w:eastAsia="Times New Roman" w:cs="Times New Roman"/>
                <w:sz w:val="20"/>
                <w:szCs w:val="20"/>
                <w:lang w:eastAsia="fr-FR"/>
              </w:rPr>
              <w:t>0·0003</w:t>
            </w:r>
          </w:p>
        </w:tc>
      </w:tr>
    </w:tbl>
    <w:p w:rsidR="00801641" w:rsidRPr="00801641" w:rsidRDefault="00801641" w:rsidP="00801641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  <w:r w:rsidRPr="00801641">
        <w:rPr>
          <w:rFonts w:cs="Times New Roman"/>
          <w:sz w:val="24"/>
          <w:szCs w:val="24"/>
          <w:lang w:val="en-US"/>
        </w:rPr>
        <w:t xml:space="preserve">Obesity analyses were performed among participants who were not obese at inclusion </w:t>
      </w:r>
      <w:r w:rsidRPr="00801641">
        <w:rPr>
          <w:rFonts w:cs="Times New Roman"/>
          <w:iCs/>
          <w:sz w:val="24"/>
          <w:szCs w:val="24"/>
          <w:lang w:val="en-US"/>
        </w:rPr>
        <w:t>(N=56,806). Values are odds ratios (95% confident intervals), using 1st quartile Q1 as the reference.</w:t>
      </w:r>
    </w:p>
    <w:p w:rsidR="00801641" w:rsidRPr="00801641" w:rsidRDefault="00801641" w:rsidP="00801641">
      <w:pPr>
        <w:pStyle w:val="Standard"/>
        <w:spacing w:after="0" w:line="240" w:lineRule="auto"/>
        <w:rPr>
          <w:rFonts w:cs="Times New Roman"/>
          <w:sz w:val="24"/>
          <w:szCs w:val="24"/>
          <w:highlight w:val="yellow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†</w:t>
      </w:r>
      <w:r w:rsidRPr="00801641">
        <w:rPr>
          <w:rFonts w:ascii="Times New Roman" w:hAnsi="Times New Roman" w:cs="Times New Roman"/>
          <w:sz w:val="24"/>
          <w:szCs w:val="24"/>
          <w:lang w:val="en-US"/>
        </w:rPr>
        <w:t xml:space="preserve">Models are adjusted for age, gender, month and year of inclusion, delay of follow-up, occupation, marital status, education, monthly income per unit, dietary supplement use, </w:t>
      </w:r>
      <w:proofErr w:type="spellStart"/>
      <w:r w:rsidRPr="00801641">
        <w:rPr>
          <w:rFonts w:ascii="Times New Roman" w:hAnsi="Times New Roman" w:cs="Times New Roman"/>
          <w:sz w:val="24"/>
          <w:szCs w:val="24"/>
          <w:lang w:val="en-US"/>
        </w:rPr>
        <w:t>mPNNS</w:t>
      </w:r>
      <w:proofErr w:type="spellEnd"/>
      <w:r w:rsidRPr="00801641">
        <w:rPr>
          <w:rFonts w:ascii="Times New Roman" w:hAnsi="Times New Roman" w:cs="Times New Roman"/>
          <w:sz w:val="24"/>
          <w:szCs w:val="24"/>
          <w:lang w:val="en-US"/>
        </w:rPr>
        <w:t>-GS, PCA-extracted dietary patterns scores, energy intake physical activity, tobacco status and for the history of chronic diseases.</w:t>
      </w:r>
      <w:r w:rsidRPr="00801641">
        <w:rPr>
          <w:rFonts w:ascii="Times New Roman" w:hAnsi="Times New Roman" w:cs="Times New Roman"/>
          <w:sz w:val="24"/>
          <w:szCs w:val="24"/>
          <w:highlight w:val="yellow"/>
          <w:lang w:val="en-US"/>
        </w:rPr>
        <w:br w:type="page"/>
      </w:r>
    </w:p>
    <w:p w:rsidR="00801641" w:rsidRPr="00801641" w:rsidRDefault="00801641" w:rsidP="00801641">
      <w:pPr>
        <w:pStyle w:val="Standard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Supplemental Table S3 Prospective association between quartiles of the organic score and obesity risk, sensitive analysis, </w:t>
      </w:r>
      <w:proofErr w:type="spellStart"/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t>Nutrinet</w:t>
      </w:r>
      <w:proofErr w:type="spellEnd"/>
      <w:r w:rsidRPr="00801641">
        <w:rPr>
          <w:rFonts w:ascii="Times New Roman" w:hAnsi="Times New Roman" w:cs="Times New Roman"/>
          <w:b/>
          <w:sz w:val="24"/>
          <w:szCs w:val="24"/>
          <w:lang w:val="en-US"/>
        </w:rPr>
        <w:t>-Santé study, 2009-2015</w:t>
      </w: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  <w:r w:rsidRPr="008016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01641">
        <w:rPr>
          <w:rFonts w:ascii="Helvetica" w:hAnsi="Helvetica"/>
          <w:shd w:val="clear" w:color="auto" w:fill="FFFFFF"/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676"/>
        <w:gridCol w:w="1848"/>
        <w:gridCol w:w="1848"/>
        <w:gridCol w:w="1806"/>
        <w:gridCol w:w="997"/>
      </w:tblGrid>
      <w:tr w:rsidR="00801641" w:rsidRPr="00801641" w:rsidTr="00806E43">
        <w:trPr>
          <w:trHeight w:val="113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Model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Q1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Q2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Q3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Q4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  <w:t>P for trend</w:t>
            </w:r>
          </w:p>
        </w:tc>
      </w:tr>
      <w:tr w:rsidR="00801641" w:rsidRPr="00801641" w:rsidTr="00806E43">
        <w:trPr>
          <w:trHeight w:val="365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20"/>
                <w:lang w:eastAsia="fr-FR"/>
              </w:rPr>
            </w:pPr>
          </w:p>
        </w:tc>
      </w:tr>
      <w:tr w:rsidR="00801641" w:rsidRPr="00801641" w:rsidTr="00806E43">
        <w:trPr>
          <w:trHeight w:val="113"/>
        </w:trPr>
        <w:tc>
          <w:tcPr>
            <w:tcW w:w="1105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Model 1</w:t>
            </w:r>
            <w:r w:rsidRPr="00801641">
              <w:rPr>
                <w:rFonts w:ascii="Helvetica" w:hAnsi="Helvetica"/>
                <w:shd w:val="clear" w:color="auto" w:fill="FFFFFF"/>
                <w:vertAlign w:val="superscript"/>
                <w:lang w:val="en-US"/>
              </w:rPr>
              <w:t>†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cs="Times New Roman"/>
                <w:iCs/>
                <w:sz w:val="20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1·00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0·87 (0·81, 0·94)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0·79 (0·73, 0·85)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0·52 (0·48, 0·57)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&lt;·0001</w:t>
            </w:r>
          </w:p>
        </w:tc>
      </w:tr>
      <w:tr w:rsidR="00801641" w:rsidRPr="00801641" w:rsidTr="00806E43">
        <w:trPr>
          <w:trHeight w:val="113"/>
        </w:trPr>
        <w:tc>
          <w:tcPr>
            <w:tcW w:w="1105" w:type="pct"/>
          </w:tcPr>
          <w:p w:rsidR="00801641" w:rsidRPr="00801641" w:rsidRDefault="00801641" w:rsidP="00806E43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Model 2</w:t>
            </w:r>
            <w:r w:rsidRPr="00801641">
              <w:rPr>
                <w:rFonts w:ascii="Helvetica" w:hAnsi="Helvetica"/>
                <w:shd w:val="clear" w:color="auto" w:fill="FFFFFF"/>
                <w:vertAlign w:val="superscript"/>
                <w:lang w:val="en-US"/>
              </w:rPr>
              <w:t>‡</w:t>
            </w:r>
          </w:p>
        </w:tc>
        <w:tc>
          <w:tcPr>
            <w:tcW w:w="367" w:type="pct"/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cs="Times New Roman"/>
                <w:iCs/>
                <w:sz w:val="20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1·00</w:t>
            </w:r>
          </w:p>
        </w:tc>
        <w:tc>
          <w:tcPr>
            <w:tcW w:w="1003" w:type="pct"/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0·93 (0·87, 1·01)</w:t>
            </w:r>
          </w:p>
        </w:tc>
        <w:tc>
          <w:tcPr>
            <w:tcW w:w="1003" w:type="pct"/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0·91 (0·84, 0·98)</w:t>
            </w:r>
          </w:p>
        </w:tc>
        <w:tc>
          <w:tcPr>
            <w:tcW w:w="980" w:type="pct"/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0·67 (0·61, 0·72)</w:t>
            </w:r>
          </w:p>
        </w:tc>
        <w:tc>
          <w:tcPr>
            <w:tcW w:w="541" w:type="pct"/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&lt;·0001</w:t>
            </w:r>
          </w:p>
        </w:tc>
      </w:tr>
      <w:tr w:rsidR="00801641" w:rsidRPr="00801641" w:rsidTr="00806E43">
        <w:trPr>
          <w:trHeight w:val="113"/>
        </w:trPr>
        <w:tc>
          <w:tcPr>
            <w:tcW w:w="1105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ind w:left="-38"/>
              <w:jc w:val="center"/>
              <w:rPr>
                <w:rFonts w:eastAsia="Times New Roman" w:cs="Times New Roman"/>
                <w:iCs/>
                <w:sz w:val="20"/>
                <w:lang w:eastAsia="fr-FR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Model 3</w:t>
            </w:r>
            <w:r w:rsidRPr="00801641">
              <w:rPr>
                <w:rFonts w:ascii="Helvetica" w:hAnsi="Helvetica"/>
                <w:shd w:val="clear" w:color="auto" w:fill="FFFFFF"/>
                <w:vertAlign w:val="superscript"/>
                <w:lang w:val="en-US"/>
              </w:rPr>
              <w:t>§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center"/>
              <w:rPr>
                <w:rFonts w:cs="Times New Roman"/>
                <w:iCs/>
                <w:sz w:val="20"/>
              </w:rPr>
            </w:pPr>
            <w:r w:rsidRPr="00801641">
              <w:rPr>
                <w:rFonts w:eastAsia="Times New Roman" w:cs="Times New Roman"/>
                <w:iCs/>
                <w:sz w:val="20"/>
                <w:lang w:eastAsia="fr-FR"/>
              </w:rPr>
              <w:t>1·00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0·95 (0·88, 1·02)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0·92 (0·86, 0·99)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0·70 (0·64, 0·76)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801641" w:rsidRPr="00801641" w:rsidRDefault="00801641" w:rsidP="00806E43">
            <w:pPr>
              <w:spacing w:after="0" w:line="240" w:lineRule="auto"/>
              <w:jc w:val="right"/>
              <w:rPr>
                <w:rFonts w:cs="Times New Roman"/>
                <w:iCs/>
                <w:sz w:val="20"/>
              </w:rPr>
            </w:pPr>
            <w:r w:rsidRPr="00801641">
              <w:rPr>
                <w:rFonts w:cs="Times New Roman"/>
                <w:sz w:val="20"/>
                <w:szCs w:val="20"/>
              </w:rPr>
              <w:t>&lt;·0001</w:t>
            </w:r>
          </w:p>
        </w:tc>
      </w:tr>
    </w:tbl>
    <w:p w:rsidR="00801641" w:rsidRPr="00801641" w:rsidRDefault="00801641" w:rsidP="00801641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*</w:t>
      </w:r>
      <w:r w:rsidRPr="00801641">
        <w:rPr>
          <w:rFonts w:cs="Times New Roman"/>
          <w:sz w:val="24"/>
          <w:szCs w:val="24"/>
          <w:lang w:val="en-US"/>
        </w:rPr>
        <w:t xml:space="preserve">Obesity analyses were performed among participants who were not obese at inclusion </w:t>
      </w:r>
      <w:r w:rsidRPr="00801641">
        <w:rPr>
          <w:rFonts w:cs="Times New Roman"/>
          <w:iCs/>
          <w:sz w:val="24"/>
          <w:szCs w:val="24"/>
          <w:lang w:val="en-US"/>
        </w:rPr>
        <w:t>(N=56,806). Values are odds ratios (95% confident intervals), using 1st quartile Q1 as the reference.</w:t>
      </w:r>
    </w:p>
    <w:p w:rsidR="00801641" w:rsidRPr="00801641" w:rsidRDefault="00801641" w:rsidP="0080164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†</w:t>
      </w:r>
      <w:r w:rsidRPr="00801641">
        <w:rPr>
          <w:rFonts w:ascii="Times New Roman" w:hAnsi="Times New Roman" w:cs="Times New Roman"/>
          <w:sz w:val="24"/>
          <w:szCs w:val="24"/>
          <w:lang w:val="en-US"/>
        </w:rPr>
        <w:t>Model 1 is adjusted for age and gender and propensity score.</w:t>
      </w:r>
    </w:p>
    <w:p w:rsidR="00801641" w:rsidRPr="00801641" w:rsidRDefault="00801641" w:rsidP="0080164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‡</w:t>
      </w:r>
      <w:r w:rsidRPr="00801641">
        <w:rPr>
          <w:rFonts w:ascii="Times New Roman" w:hAnsi="Times New Roman" w:cs="Times New Roman"/>
          <w:sz w:val="24"/>
          <w:szCs w:val="24"/>
          <w:lang w:val="en-US"/>
        </w:rPr>
        <w:t xml:space="preserve">Model 2 is model 1 further adjusted for month and year of inclusion, delay of follow-up, occupation, marital status, education, monthly income per unit, dietary supplement use, </w:t>
      </w:r>
      <w:proofErr w:type="spellStart"/>
      <w:r w:rsidRPr="00801641">
        <w:rPr>
          <w:rFonts w:ascii="Times New Roman" w:hAnsi="Times New Roman" w:cs="Times New Roman"/>
          <w:sz w:val="24"/>
          <w:szCs w:val="24"/>
          <w:lang w:val="en-US"/>
        </w:rPr>
        <w:t>mPNNS</w:t>
      </w:r>
      <w:proofErr w:type="spellEnd"/>
      <w:r w:rsidRPr="00801641">
        <w:rPr>
          <w:rFonts w:ascii="Times New Roman" w:hAnsi="Times New Roman" w:cs="Times New Roman"/>
          <w:sz w:val="24"/>
          <w:szCs w:val="24"/>
          <w:lang w:val="en-US"/>
        </w:rPr>
        <w:t>-GS, PCA-extracted dietary patterns scores, energy intake physical activity and tobacco status.</w:t>
      </w:r>
    </w:p>
    <w:p w:rsidR="00C96D8C" w:rsidRPr="00801641" w:rsidRDefault="00801641" w:rsidP="00801641">
      <w:pPr>
        <w:rPr>
          <w:lang w:val="en-US"/>
        </w:rPr>
      </w:pPr>
      <w:r w:rsidRPr="00801641">
        <w:rPr>
          <w:rFonts w:ascii="Helvetica" w:hAnsi="Helvetica"/>
          <w:shd w:val="clear" w:color="auto" w:fill="FFFFFF"/>
          <w:vertAlign w:val="superscript"/>
          <w:lang w:val="en-US"/>
        </w:rPr>
        <w:t>§</w:t>
      </w:r>
      <w:r w:rsidRPr="00801641">
        <w:rPr>
          <w:rFonts w:cs="Times New Roman"/>
          <w:sz w:val="24"/>
          <w:szCs w:val="24"/>
          <w:lang w:val="en-US"/>
        </w:rPr>
        <w:t>Model 3 is model 2 further adjusted for the history of chronic diseases.</w:t>
      </w:r>
      <w:r w:rsidRPr="00801641">
        <w:rPr>
          <w:rFonts w:cs="Times New Roman"/>
          <w:b/>
          <w:sz w:val="24"/>
          <w:szCs w:val="24"/>
          <w:lang w:val="en-US"/>
        </w:rPr>
        <w:br w:type="page"/>
      </w:r>
      <w:bookmarkEnd w:id="0"/>
    </w:p>
    <w:sectPr w:rsidR="00C96D8C" w:rsidRPr="0080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41"/>
    <w:rsid w:val="00801641"/>
    <w:rsid w:val="00B57794"/>
    <w:rsid w:val="00EE5F02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41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EE5F02"/>
    <w:pPr>
      <w:pBdr>
        <w:top w:val="single" w:sz="8" w:space="10" w:color="A7BFDE" w:themeColor="accent1" w:themeTint="7F"/>
        <w:bottom w:val="single" w:sz="24" w:space="15" w:color="C0504D" w:themeColor="accent2"/>
      </w:pBdr>
      <w:spacing w:after="0" w:line="240" w:lineRule="auto"/>
      <w:jc w:val="center"/>
    </w:pPr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EE5F02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8016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41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EE5F02"/>
    <w:pPr>
      <w:pBdr>
        <w:top w:val="single" w:sz="8" w:space="10" w:color="A7BFDE" w:themeColor="accent1" w:themeTint="7F"/>
        <w:bottom w:val="single" w:sz="24" w:space="15" w:color="C0504D" w:themeColor="accent2"/>
      </w:pBdr>
      <w:spacing w:after="0" w:line="240" w:lineRule="auto"/>
      <w:jc w:val="center"/>
    </w:pPr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EE5F02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8016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Kesse-Guyot</dc:creator>
  <cp:lastModifiedBy>Emmanuelle Kesse-Guyot</cp:lastModifiedBy>
  <cp:revision>1</cp:revision>
  <dcterms:created xsi:type="dcterms:W3CDTF">2016-12-19T08:42:00Z</dcterms:created>
  <dcterms:modified xsi:type="dcterms:W3CDTF">2016-12-19T08:42:00Z</dcterms:modified>
</cp:coreProperties>
</file>