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B" w:rsidRPr="00A55AE1" w:rsidRDefault="007C03BB" w:rsidP="007C03BB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A</w:t>
      </w:r>
      <w:r w:rsidRPr="00CA25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Protein digestibi</w:t>
      </w:r>
      <w:r>
        <w:rPr>
          <w:rFonts w:ascii="Times New Roman" w:eastAsia="Times New Roman" w:hAnsi="Times New Roman" w:cs="Times New Roman"/>
          <w:sz w:val="24"/>
          <w:szCs w:val="24"/>
        </w:rPr>
        <w:t>lity corrected amino acid (PDCAA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reference ratios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for ingredients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calculated according to requirement for 2 to 5 year old </w:t>
      </w:r>
      <w:r w:rsidRPr="00A55AE1">
        <w:rPr>
          <w:rFonts w:ascii="Times New Roman" w:eastAsia="Times New Roman" w:hAnsi="Times New Roman" w:cs="Times New Roman"/>
          <w:sz w:val="24"/>
          <w:szCs w:val="24"/>
        </w:rPr>
        <w:t>child</w:t>
      </w:r>
      <w:r w:rsidR="002468E1" w:rsidRPr="00A55A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992"/>
        <w:gridCol w:w="821"/>
        <w:gridCol w:w="823"/>
        <w:gridCol w:w="824"/>
        <w:gridCol w:w="824"/>
        <w:gridCol w:w="822"/>
        <w:gridCol w:w="824"/>
        <w:gridCol w:w="824"/>
        <w:gridCol w:w="822"/>
      </w:tblGrid>
      <w:tr w:rsidR="00A55AE1" w:rsidRPr="00A55AE1" w:rsidTr="005077DE">
        <w:tc>
          <w:tcPr>
            <w:tcW w:w="156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pct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ind w:right="-558" w:firstLine="342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55AE1">
              <w:rPr>
                <w:rFonts w:ascii="Times New Roman" w:hAnsi="Times New Roman" w:cs="Times New Roman"/>
              </w:rPr>
              <w:t>Ingredient</w:t>
            </w:r>
          </w:p>
        </w:tc>
      </w:tr>
      <w:tr w:rsidR="00A55AE1" w:rsidRPr="00A55AE1" w:rsidTr="005077DE">
        <w:trPr>
          <w:trHeight w:val="575"/>
        </w:trPr>
        <w:tc>
          <w:tcPr>
            <w:tcW w:w="1563" w:type="pct"/>
            <w:tcBorders>
              <w:top w:val="nil"/>
              <w:left w:val="nil"/>
              <w:right w:val="nil"/>
            </w:tcBorders>
            <w:vAlign w:val="bottom"/>
          </w:tcPr>
          <w:p w:rsidR="007C03BB" w:rsidRPr="00A55AE1" w:rsidRDefault="007C03BB" w:rsidP="005077D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WPI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WPC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MPC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SMP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PPC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SPI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Soy flour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Wheat</w:t>
            </w:r>
          </w:p>
        </w:tc>
      </w:tr>
      <w:tr w:rsidR="00A55AE1" w:rsidRPr="00A55AE1" w:rsidTr="005077DE">
        <w:trPr>
          <w:trHeight w:val="260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PDCAA reference ratio, 2 to 5years</w:t>
            </w:r>
            <w:r w:rsidRPr="00A55AE1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343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Histidine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1.17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Isoleucine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1.03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Leucine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0.87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Lysine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0.50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Sulfur amino acids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1.36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Aromatic amino acids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0.89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Threonine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0.74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Tryptophan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0.81</w:t>
            </w:r>
          </w:p>
        </w:tc>
      </w:tr>
      <w:tr w:rsidR="00A55AE1" w:rsidRPr="00A55AE1" w:rsidTr="005077DE">
        <w:trPr>
          <w:trHeight w:val="423"/>
        </w:trPr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 xml:space="preserve">  Valine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A55AE1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5AE1">
              <w:rPr>
                <w:rFonts w:ascii="Times New Roman" w:hAnsi="Times New Roman" w:cs="Times New Roman"/>
              </w:rPr>
              <w:t>1.10</w:t>
            </w:r>
          </w:p>
        </w:tc>
      </w:tr>
    </w:tbl>
    <w:p w:rsidR="002468E1" w:rsidRPr="00A55AE1" w:rsidRDefault="007C03BB" w:rsidP="002468E1">
      <w:pPr>
        <w:spacing w:after="0" w:line="360" w:lineRule="auto"/>
        <w:ind w:left="360"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A55AE1">
        <w:rPr>
          <w:rFonts w:ascii="Times New Roman" w:hAnsi="Times New Roman" w:cs="Times New Roman"/>
          <w:sz w:val="24"/>
          <w:szCs w:val="24"/>
        </w:rPr>
        <w:t xml:space="preserve">WPI, whey protein isolate; WPC, whey protein concentrate; MPC, milk protein concentrate; SMP, skim milk powder; PPC, pea protein concentrate; SPI, soy protein isolate; AAA, aromatic amino acids (Phenylalanine + Tyrosine); SAA, sulfur amino acids (Methionine + Cysteine). </w:t>
      </w:r>
    </w:p>
    <w:p w:rsidR="002468E1" w:rsidRPr="00A55AE1" w:rsidRDefault="002468E1" w:rsidP="002468E1">
      <w:pPr>
        <w:spacing w:after="0" w:line="360" w:lineRule="auto"/>
        <w:ind w:left="360"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A55AE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55AE1">
        <w:rPr>
          <w:rFonts w:ascii="Times New Roman" w:hAnsi="Times New Roman" w:cs="Times New Roman"/>
          <w:sz w:val="24"/>
          <w:szCs w:val="24"/>
        </w:rPr>
        <w:t>Values for PDCAA were calculated from the total tract digestibility of CP in pigs.</w:t>
      </w:r>
    </w:p>
    <w:p w:rsidR="007C03BB" w:rsidRDefault="007C03BB" w:rsidP="007C03BB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456B9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PDCAA reference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tios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were calculated using the recommended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scoring pattern for </w:t>
      </w:r>
      <w:r>
        <w:rPr>
          <w:rFonts w:ascii="Times New Roman" w:eastAsia="Times New Roman" w:hAnsi="Times New Roman" w:cs="Times New Roman"/>
          <w:sz w:val="24"/>
          <w:szCs w:val="24"/>
        </w:rPr>
        <w:t>preschool children (2 to 5 years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). The indispensable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reference patterns are expre</w:t>
      </w:r>
      <w:r>
        <w:rPr>
          <w:rFonts w:ascii="Times New Roman" w:eastAsia="Times New Roman" w:hAnsi="Times New Roman" w:cs="Times New Roman"/>
          <w:sz w:val="24"/>
          <w:szCs w:val="24"/>
        </w:rPr>
        <w:t>ssed as mg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/g protein: Histidine, 19; Isoleucine, 28; Leucine, 66; Lysine, 58; sulfur amino acids, 25; aromatic amino acids, 63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; Threonine, 34; Tryptophan, 11; Valine, 35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C03BB" w:rsidRPr="00CA2537" w:rsidRDefault="007C03BB" w:rsidP="007C03BB">
      <w:pPr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Supplemental B</w:t>
      </w:r>
      <w:r w:rsidRPr="00CA25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Protein digestibil</w:t>
      </w:r>
      <w:r>
        <w:rPr>
          <w:rFonts w:ascii="Times New Roman" w:eastAsia="Times New Roman" w:hAnsi="Times New Roman" w:cs="Times New Roman"/>
          <w:sz w:val="24"/>
          <w:szCs w:val="24"/>
        </w:rPr>
        <w:t>ity corrected amino acid (PDCAA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reference ratios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for ingredients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calculated according to requirement for infants (&lt; 6 months), child (6 months to 3 years) and older child (&gt; 3 years), adolescents, and adults</w:t>
      </w:r>
      <w:r w:rsidR="002468E1" w:rsidRPr="00A55A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433"/>
        <w:gridCol w:w="501"/>
        <w:gridCol w:w="972"/>
        <w:gridCol w:w="965"/>
        <w:gridCol w:w="953"/>
        <w:gridCol w:w="927"/>
        <w:gridCol w:w="924"/>
        <w:gridCol w:w="946"/>
        <w:gridCol w:w="1024"/>
      </w:tblGrid>
      <w:tr w:rsidR="007C03BB" w:rsidRPr="00CA2537" w:rsidTr="005077DE">
        <w:trPr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ind w:right="-558" w:firstLine="342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A2537">
              <w:rPr>
                <w:rFonts w:ascii="Times New Roman" w:hAnsi="Times New Roman" w:cs="Times New Roman"/>
              </w:rPr>
              <w:t>Ingredient</w:t>
            </w:r>
          </w:p>
        </w:tc>
      </w:tr>
      <w:tr w:rsidR="007C03BB" w:rsidRPr="00CA2537" w:rsidTr="005077DE">
        <w:trPr>
          <w:trHeight w:val="575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:rsidR="007C03BB" w:rsidRPr="00CA2537" w:rsidRDefault="007C03BB" w:rsidP="005077D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WPI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WPC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MPC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SMP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PPC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SPI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Soy flour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Wheat</w:t>
            </w:r>
          </w:p>
        </w:tc>
      </w:tr>
      <w:tr w:rsidR="007C03BB" w:rsidRPr="00CA2537" w:rsidTr="005077DE">
        <w:trPr>
          <w:trHeight w:val="2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PDCAA reference ratio, </w:t>
            </w:r>
            <w:r w:rsidR="00FC0F7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irth to 6 months</w:t>
            </w:r>
            <w:r w:rsidRPr="001F4698">
              <w:rPr>
                <w:rFonts w:ascii="Times New Roman" w:eastAsia="Batang" w:hAnsi="Times New Roman" w:cs="Times New Roman"/>
                <w:vertAlign w:val="superscript"/>
                <w:lang w:eastAsia="ko-KR"/>
              </w:rPr>
              <w:t>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His</w:t>
            </w:r>
            <w:r>
              <w:rPr>
                <w:rFonts w:ascii="Times New Roman" w:hAnsi="Times New Roman" w:cs="Times New Roman"/>
              </w:rPr>
              <w:t>tidine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1.10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I</w:t>
            </w:r>
            <w:r>
              <w:rPr>
                <w:rFonts w:ascii="Times New Roman" w:hAnsi="Times New Roman" w:cs="Times New Roman"/>
              </w:rPr>
              <w:t>soleucine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0.55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Leu</w:t>
            </w:r>
            <w:r>
              <w:rPr>
                <w:rFonts w:ascii="Times New Roman" w:hAnsi="Times New Roman" w:cs="Times New Roman"/>
              </w:rPr>
              <w:t>cine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0.63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Lys</w:t>
            </w:r>
            <w:r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0.44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Sulfur amino acids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1.08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Aromatic amino acids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0.62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Thr</w:t>
            </w:r>
            <w:r>
              <w:rPr>
                <w:rFonts w:ascii="Times New Roman" w:hAnsi="Times New Roman" w:cs="Times New Roman"/>
              </w:rPr>
              <w:t>eonine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0.60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Tr</w:t>
            </w:r>
            <w:r>
              <w:rPr>
                <w:rFonts w:ascii="Times New Roman" w:hAnsi="Times New Roman" w:cs="Times New Roman"/>
              </w:rPr>
              <w:t>yptophan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0.55</w:t>
            </w:r>
          </w:p>
        </w:tc>
      </w:tr>
      <w:tr w:rsidR="007C03BB" w:rsidRPr="00CA2537" w:rsidTr="005077DE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Val</w:t>
            </w:r>
            <w:r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0.73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PDCAA reference ratio, </w:t>
            </w:r>
            <w:r>
              <w:rPr>
                <w:rFonts w:ascii="Times New Roman" w:hAnsi="Times New Roman" w:cs="Times New Roman"/>
              </w:rPr>
              <w:t>6 months to 3years</w:t>
            </w:r>
            <w:r w:rsidRPr="001F4698">
              <w:rPr>
                <w:rFonts w:ascii="Times New Roman" w:eastAsia="Batang" w:hAnsi="Times New Roman" w:cs="Times New Roman"/>
                <w:vertAlign w:val="superscript"/>
                <w:lang w:eastAsia="ko-KR"/>
              </w:rPr>
              <w:t>‡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His</w:t>
            </w:r>
            <w:r>
              <w:rPr>
                <w:rFonts w:ascii="Times New Roman" w:hAnsi="Times New Roman" w:cs="Times New Roman"/>
              </w:rPr>
              <w:t>tidine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1.16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I</w:t>
            </w:r>
            <w:r>
              <w:rPr>
                <w:rFonts w:ascii="Times New Roman" w:hAnsi="Times New Roman" w:cs="Times New Roman"/>
              </w:rPr>
              <w:t>soleucine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0.94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Leu</w:t>
            </w:r>
            <w:r>
              <w:rPr>
                <w:rFonts w:ascii="Times New Roman" w:hAnsi="Times New Roman" w:cs="Times New Roman"/>
              </w:rPr>
              <w:t>cine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0.91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Lys</w:t>
            </w:r>
            <w:r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0.53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Sulfur amino acids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1.32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Aromatic amino acids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1.13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Thr</w:t>
            </w:r>
            <w:r>
              <w:rPr>
                <w:rFonts w:ascii="Times New Roman" w:hAnsi="Times New Roman" w:cs="Times New Roman"/>
              </w:rPr>
              <w:t>eonine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0.85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lastRenderedPageBreak/>
              <w:t xml:space="preserve">  Tr</w:t>
            </w:r>
            <w:r>
              <w:rPr>
                <w:rFonts w:ascii="Times New Roman" w:hAnsi="Times New Roman" w:cs="Times New Roman"/>
              </w:rPr>
              <w:t>yptophan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1.09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Val</w:t>
            </w:r>
            <w:r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0.93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PDCAA reference ratio, 3 years and above</w:t>
            </w:r>
            <w:r w:rsidRPr="001F4698">
              <w:rPr>
                <w:rFonts w:ascii="Times New Roman" w:eastAsia="Batang" w:hAnsi="Times New Roman" w:cs="Times New Roman"/>
                <w:vertAlign w:val="superscript"/>
                <w:lang w:eastAsia="ko-KR"/>
              </w:rPr>
              <w:t>§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His</w:t>
            </w:r>
            <w:r>
              <w:rPr>
                <w:rFonts w:ascii="Times New Roman" w:hAnsi="Times New Roman" w:cs="Times New Roman"/>
              </w:rPr>
              <w:t>tidine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1.93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1.45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I</w:t>
            </w:r>
            <w:r>
              <w:rPr>
                <w:rFonts w:ascii="Times New Roman" w:hAnsi="Times New Roman" w:cs="Times New Roman"/>
              </w:rPr>
              <w:t>soleucine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1.00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Leu</w:t>
            </w:r>
            <w:r>
              <w:rPr>
                <w:rFonts w:ascii="Times New Roman" w:hAnsi="Times New Roman" w:cs="Times New Roman"/>
              </w:rPr>
              <w:t>cine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0.99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Lys</w:t>
            </w:r>
            <w:r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0.63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Sulfur amino acids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1.54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Aromatic amino acids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1.43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Thr</w:t>
            </w:r>
            <w:r>
              <w:rPr>
                <w:rFonts w:ascii="Times New Roman" w:hAnsi="Times New Roman" w:cs="Times New Roman"/>
              </w:rPr>
              <w:t>eonine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2.78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1.05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Tr</w:t>
            </w:r>
            <w:r>
              <w:rPr>
                <w:rFonts w:ascii="Times New Roman" w:hAnsi="Times New Roman" w:cs="Times New Roman"/>
              </w:rPr>
              <w:t>yptophan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1.40</w:t>
            </w:r>
          </w:p>
        </w:tc>
      </w:tr>
      <w:tr w:rsidR="007C03BB" w:rsidRPr="00CA2537" w:rsidTr="005077DE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3BB" w:rsidRPr="00CA2537" w:rsidRDefault="007C03BB" w:rsidP="005077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Val</w:t>
            </w:r>
            <w:r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3BB" w:rsidRPr="0099638D" w:rsidRDefault="007C03BB" w:rsidP="005077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638D">
              <w:rPr>
                <w:rFonts w:ascii="Times New Roman" w:hAnsi="Times New Roman" w:cs="Times New Roman"/>
              </w:rPr>
              <w:t>1.00</w:t>
            </w:r>
          </w:p>
        </w:tc>
      </w:tr>
    </w:tbl>
    <w:p w:rsidR="007C03BB" w:rsidRPr="00A55AE1" w:rsidRDefault="007C03BB" w:rsidP="007C03BB">
      <w:pPr>
        <w:spacing w:after="0" w:line="360" w:lineRule="auto"/>
        <w:ind w:left="360" w:hanging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WPI,</w:t>
      </w:r>
      <w:r w:rsidRPr="00C703BB">
        <w:rPr>
          <w:rFonts w:ascii="Times New Roman" w:hAnsi="Times New Roman" w:cs="Times New Roman"/>
          <w:sz w:val="24"/>
          <w:szCs w:val="24"/>
        </w:rPr>
        <w:t xml:space="preserve"> whey protein isolate; </w:t>
      </w:r>
      <w:r>
        <w:rPr>
          <w:rFonts w:ascii="Times New Roman" w:hAnsi="Times New Roman" w:cs="Times New Roman"/>
          <w:sz w:val="24"/>
          <w:szCs w:val="24"/>
        </w:rPr>
        <w:t>WPC,</w:t>
      </w:r>
      <w:r w:rsidRPr="00C703BB">
        <w:rPr>
          <w:rFonts w:ascii="Times New Roman" w:hAnsi="Times New Roman" w:cs="Times New Roman"/>
          <w:sz w:val="24"/>
          <w:szCs w:val="24"/>
        </w:rPr>
        <w:t xml:space="preserve"> whey protein concentrate</w:t>
      </w:r>
      <w:r>
        <w:rPr>
          <w:rFonts w:ascii="Times New Roman" w:hAnsi="Times New Roman" w:cs="Times New Roman"/>
          <w:sz w:val="24"/>
          <w:szCs w:val="24"/>
        </w:rPr>
        <w:t>; MPC,</w:t>
      </w:r>
      <w:r w:rsidRPr="00C703BB">
        <w:rPr>
          <w:rFonts w:ascii="Times New Roman" w:hAnsi="Times New Roman" w:cs="Times New Roman"/>
          <w:sz w:val="24"/>
          <w:szCs w:val="24"/>
        </w:rPr>
        <w:t xml:space="preserve"> milk protein concentrate; </w:t>
      </w:r>
      <w:r w:rsidRPr="00A55AE1">
        <w:rPr>
          <w:rFonts w:ascii="Times New Roman" w:hAnsi="Times New Roman" w:cs="Times New Roman"/>
          <w:sz w:val="24"/>
          <w:szCs w:val="24"/>
        </w:rPr>
        <w:t xml:space="preserve">SMP, skim milk powder; PPC, pea protein concentrate; SPI, soy protein isolate; AAA, aromatic amino acids (Phenylalanine + Tyrosine); SAA, sulfur amino acids (Methionine + Cysteine). </w:t>
      </w:r>
    </w:p>
    <w:p w:rsidR="002468E1" w:rsidRPr="00A55AE1" w:rsidRDefault="002468E1" w:rsidP="002468E1">
      <w:pPr>
        <w:spacing w:after="0" w:line="360" w:lineRule="auto"/>
        <w:ind w:left="360"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A55AE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55AE1">
        <w:rPr>
          <w:rFonts w:ascii="Times New Roman" w:hAnsi="Times New Roman" w:cs="Times New Roman"/>
          <w:sz w:val="24"/>
          <w:szCs w:val="24"/>
        </w:rPr>
        <w:t>Values for PDCAA were calculated from the total tract digestibility of CP in pigs.</w:t>
      </w:r>
    </w:p>
    <w:p w:rsidR="007C03BB" w:rsidRPr="00CA2537" w:rsidRDefault="007C03BB" w:rsidP="007C03BB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55A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†</w:t>
      </w:r>
      <w:r w:rsidRPr="00A55AE1">
        <w:rPr>
          <w:rFonts w:ascii="Times New Roman" w:eastAsia="Times New Roman" w:hAnsi="Times New Roman" w:cs="Times New Roman"/>
          <w:sz w:val="24"/>
          <w:szCs w:val="24"/>
        </w:rPr>
        <w:t xml:space="preserve"> PDCAA reference ratios were calculated using the recommended amino acid scoring pattern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for an infant (birth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months). The indispensable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reference patterns are expres</w:t>
      </w:r>
      <w:r>
        <w:rPr>
          <w:rFonts w:ascii="Times New Roman" w:eastAsia="Times New Roman" w:hAnsi="Times New Roman" w:cs="Times New Roman"/>
          <w:sz w:val="24"/>
          <w:szCs w:val="24"/>
        </w:rPr>
        <w:t>sed as mg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/g protein: His</w:t>
      </w:r>
      <w:r>
        <w:rPr>
          <w:rFonts w:ascii="Times New Roman" w:eastAsia="Times New Roman" w:hAnsi="Times New Roman" w:cs="Times New Roman"/>
          <w:sz w:val="24"/>
          <w:szCs w:val="24"/>
        </w:rPr>
        <w:t>tidine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 21; I</w:t>
      </w:r>
      <w:r>
        <w:rPr>
          <w:rFonts w:ascii="Times New Roman" w:eastAsia="Times New Roman" w:hAnsi="Times New Roman" w:cs="Times New Roman"/>
          <w:sz w:val="24"/>
          <w:szCs w:val="24"/>
        </w:rPr>
        <w:t>soleucine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55; Leucine, 96; Lysine, 69; sulfur amino acids, 33; aromatic amino acids, 94; Threonine, 44; Tryptophan, 17; Valine, 55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3BB" w:rsidRPr="00CA2537" w:rsidRDefault="007C03BB" w:rsidP="007C03BB">
      <w:pPr>
        <w:spacing w:after="0" w:line="36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PDCAA reference ratios were cal</w:t>
      </w:r>
      <w:r>
        <w:rPr>
          <w:rFonts w:ascii="Times New Roman" w:eastAsia="Times New Roman" w:hAnsi="Times New Roman" w:cs="Times New Roman"/>
          <w:sz w:val="24"/>
          <w:szCs w:val="24"/>
        </w:rPr>
        <w:t>culated using the recommended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scoring pattern for a child 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to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). The indispensable AA reference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patterns are expressed as mg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/g protein: His</w:t>
      </w:r>
      <w:r>
        <w:rPr>
          <w:rFonts w:ascii="Times New Roman" w:eastAsia="Times New Roman" w:hAnsi="Times New Roman" w:cs="Times New Roman"/>
          <w:sz w:val="24"/>
          <w:szCs w:val="24"/>
        </w:rPr>
        <w:t>tidine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 20; I</w:t>
      </w:r>
      <w:r>
        <w:rPr>
          <w:rFonts w:ascii="Times New Roman" w:eastAsia="Times New Roman" w:hAnsi="Times New Roman" w:cs="Times New Roman"/>
          <w:sz w:val="24"/>
          <w:szCs w:val="24"/>
        </w:rPr>
        <w:t>soleucine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 32; Leu</w:t>
      </w:r>
      <w:r>
        <w:rPr>
          <w:rFonts w:ascii="Times New Roman" w:eastAsia="Times New Roman" w:hAnsi="Times New Roman" w:cs="Times New Roman"/>
          <w:sz w:val="24"/>
          <w:szCs w:val="24"/>
        </w:rPr>
        <w:t>cine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 66; Lys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, 57;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z w:val="24"/>
          <w:szCs w:val="24"/>
        </w:rPr>
        <w:t>amino acids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, 27;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romatic </w:t>
      </w:r>
      <w:r>
        <w:rPr>
          <w:rFonts w:ascii="Times New Roman" w:eastAsia="Times New Roman" w:hAnsi="Times New Roman" w:cs="Times New Roman"/>
          <w:sz w:val="24"/>
          <w:szCs w:val="24"/>
        </w:rPr>
        <w:t>amino acids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52; Threonine, 31; Tryptophan, 8.5; Valine, 40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6C3" w:rsidRDefault="007C03BB" w:rsidP="007C03BB">
      <w:pPr>
        <w:rPr>
          <w:rFonts w:ascii="Times New Roman" w:eastAsia="Times New Roman" w:hAnsi="Times New Roman" w:cs="Times New Roman"/>
          <w:sz w:val="24"/>
          <w:szCs w:val="24"/>
        </w:rPr>
      </w:pPr>
      <w:r w:rsidRPr="001F4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PDCAA reference ratios were calculated using the recommended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scoring pattern for older child, adolescent, and adult. The indispensable AA reference patterns are expressed as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mg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/g protein: His</w:t>
      </w:r>
      <w:r>
        <w:rPr>
          <w:rFonts w:ascii="Times New Roman" w:eastAsia="Times New Roman" w:hAnsi="Times New Roman" w:cs="Times New Roman"/>
          <w:sz w:val="24"/>
          <w:szCs w:val="24"/>
        </w:rPr>
        <w:t>tidine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16; Isoleucine, 30; Leucine, 61; Lysine, 48; 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z w:val="24"/>
          <w:szCs w:val="24"/>
        </w:rPr>
        <w:t>amino acids, 23; a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romatic </w:t>
      </w:r>
      <w:r>
        <w:rPr>
          <w:rFonts w:ascii="Times New Roman" w:eastAsia="Times New Roman" w:hAnsi="Times New Roman" w:cs="Times New Roman"/>
          <w:sz w:val="24"/>
          <w:szCs w:val="24"/>
        </w:rPr>
        <w:t>amino acids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 41; Thr</w:t>
      </w:r>
      <w:r>
        <w:rPr>
          <w:rFonts w:ascii="Times New Roman" w:eastAsia="Times New Roman" w:hAnsi="Times New Roman" w:cs="Times New Roman"/>
          <w:sz w:val="24"/>
          <w:szCs w:val="24"/>
        </w:rPr>
        <w:t>eonine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25; Tryptophan, 6.6; Valine, 40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(8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AE1" w:rsidRDefault="00A55AE1" w:rsidP="007C03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5AE1" w:rsidRDefault="00A55A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55AE1" w:rsidRPr="00CA2537" w:rsidRDefault="00A55AE1" w:rsidP="00A55AE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Supplemental C</w:t>
      </w:r>
      <w:r w:rsidRPr="00CA25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Digestible indispensable amino acid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(DIAA) reference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ratios for ingredients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calculated according to requirement for infants (&lt; 6 months), child (6 months to 3 years) and older child (&gt; 3 years), adolescents, and adults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436"/>
        <w:gridCol w:w="508"/>
        <w:gridCol w:w="981"/>
        <w:gridCol w:w="975"/>
        <w:gridCol w:w="963"/>
        <w:gridCol w:w="937"/>
        <w:gridCol w:w="934"/>
        <w:gridCol w:w="956"/>
        <w:gridCol w:w="1031"/>
      </w:tblGrid>
      <w:tr w:rsidR="00A55AE1" w:rsidRPr="00CA2537" w:rsidTr="00292374">
        <w:trPr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ind w:right="-558" w:firstLine="342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A2537">
              <w:rPr>
                <w:rFonts w:ascii="Times New Roman" w:hAnsi="Times New Roman" w:cs="Times New Roman"/>
              </w:rPr>
              <w:t>Ingredient</w:t>
            </w:r>
            <w:r w:rsidRPr="00CA253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55AE1" w:rsidRPr="00CA2537" w:rsidTr="00292374">
        <w:trPr>
          <w:trHeight w:val="575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:rsidR="00A55AE1" w:rsidRPr="00CA2537" w:rsidRDefault="00A55AE1" w:rsidP="00292374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WPI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WPC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MPC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SMP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PPC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SPI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Soy flour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Wheat</w:t>
            </w:r>
          </w:p>
        </w:tc>
      </w:tr>
      <w:tr w:rsidR="00A55AE1" w:rsidRPr="00CA2537" w:rsidTr="00292374">
        <w:trPr>
          <w:trHeight w:val="2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DIAA reference ratio</w:t>
            </w:r>
            <w:r>
              <w:rPr>
                <w:rFonts w:ascii="Times New Roman" w:hAnsi="Times New Roman" w:cs="Times New Roman"/>
              </w:rPr>
              <w:t>, Birth to 6 months</w:t>
            </w:r>
            <w:r w:rsidRPr="001F4698">
              <w:rPr>
                <w:rFonts w:ascii="Times New Roman" w:eastAsia="Batang" w:hAnsi="Times New Roman" w:cs="Times New Roman"/>
                <w:vertAlign w:val="superscript"/>
                <w:lang w:eastAsia="ko-KR"/>
              </w:rPr>
              <w:t>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His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1.04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Ile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0.52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Leu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0.60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Lys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0.37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Sulphur amino acid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1.04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Aromatic amino acid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0.60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Thr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0.53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Trp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0.45</w:t>
            </w:r>
          </w:p>
        </w:tc>
      </w:tr>
      <w:tr w:rsidR="00A55AE1" w:rsidRPr="00CA2537" w:rsidTr="00292374">
        <w:trPr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Val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0.67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DIAA reference ratio, 6 months to 3 years</w:t>
            </w:r>
            <w:r w:rsidRPr="001F4698">
              <w:rPr>
                <w:rFonts w:ascii="Times New Roman" w:eastAsia="Batang" w:hAnsi="Times New Roman" w:cs="Times New Roman"/>
                <w:vertAlign w:val="superscript"/>
                <w:lang w:eastAsia="ko-KR"/>
              </w:rPr>
              <w:t>‡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His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1.09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Ile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0.89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Leu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0.88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Lys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0.45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Sulphur amino acid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1.27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Aromatic amino acid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1.09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Thr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0.75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Trp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0.90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Val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>0.85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DIAA reference ratio, </w:t>
            </w:r>
            <w:r>
              <w:rPr>
                <w:rFonts w:ascii="Times New Roman" w:hAnsi="Times New Roman" w:cs="Times New Roman"/>
              </w:rPr>
              <w:t>3 years and above</w:t>
            </w:r>
            <w:r w:rsidRPr="001F4698">
              <w:rPr>
                <w:rFonts w:ascii="Times New Roman" w:eastAsia="Batang" w:hAnsi="Times New Roman" w:cs="Times New Roman"/>
                <w:vertAlign w:val="superscript"/>
                <w:lang w:eastAsia="ko-KR"/>
              </w:rPr>
              <w:t>§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His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1.37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Ile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1.38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0.95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Leu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1.89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1.64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1.14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0.95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Lys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2.08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1.61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1.66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0.53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Sulphur amino acid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2.04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1.39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0.73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0.98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1.05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1.49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Aromatic amino acid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1.38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Thr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1.66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1.33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0.93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A2537">
              <w:rPr>
                <w:rFonts w:ascii="Times New Roman" w:hAnsi="Times New Roman" w:cs="Times New Roman"/>
              </w:rPr>
              <w:t>Trp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3.24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3.04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1.16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2.12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1.16</w:t>
            </w:r>
          </w:p>
        </w:tc>
      </w:tr>
      <w:tr w:rsidR="00A55AE1" w:rsidRPr="00CA2537" w:rsidTr="00292374">
        <w:trPr>
          <w:trHeight w:val="423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AE1" w:rsidRPr="00CA2537" w:rsidRDefault="00A55AE1" w:rsidP="002923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537">
              <w:rPr>
                <w:rFonts w:ascii="Times New Roman" w:hAnsi="Times New Roman" w:cs="Times New Roman"/>
              </w:rPr>
              <w:t xml:space="preserve">  Val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1.10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5AE1" w:rsidRPr="00CA2537" w:rsidRDefault="00A55AE1" w:rsidP="002923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2537">
              <w:rPr>
                <w:rFonts w:ascii="Times New Roman" w:hAnsi="Times New Roman" w:cs="Times New Roman"/>
                <w:iCs/>
                <w:color w:val="000000"/>
              </w:rPr>
              <w:t>0.92</w:t>
            </w:r>
          </w:p>
        </w:tc>
      </w:tr>
    </w:tbl>
    <w:p w:rsidR="00A55AE1" w:rsidRDefault="00A55AE1" w:rsidP="00A55AE1">
      <w:pPr>
        <w:spacing w:after="0" w:line="360" w:lineRule="auto"/>
        <w:ind w:left="360" w:hanging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WPI,</w:t>
      </w:r>
      <w:r w:rsidRPr="00C703BB">
        <w:rPr>
          <w:rFonts w:ascii="Times New Roman" w:hAnsi="Times New Roman" w:cs="Times New Roman"/>
          <w:sz w:val="24"/>
          <w:szCs w:val="24"/>
        </w:rPr>
        <w:t xml:space="preserve"> whey protein isolate; </w:t>
      </w:r>
      <w:r>
        <w:rPr>
          <w:rFonts w:ascii="Times New Roman" w:hAnsi="Times New Roman" w:cs="Times New Roman"/>
          <w:sz w:val="24"/>
          <w:szCs w:val="24"/>
        </w:rPr>
        <w:t>WPC,</w:t>
      </w:r>
      <w:r w:rsidRPr="00C703BB">
        <w:rPr>
          <w:rFonts w:ascii="Times New Roman" w:hAnsi="Times New Roman" w:cs="Times New Roman"/>
          <w:sz w:val="24"/>
          <w:szCs w:val="24"/>
        </w:rPr>
        <w:t xml:space="preserve"> whey protein concentrate</w:t>
      </w:r>
      <w:r>
        <w:rPr>
          <w:rFonts w:ascii="Times New Roman" w:hAnsi="Times New Roman" w:cs="Times New Roman"/>
          <w:sz w:val="24"/>
          <w:szCs w:val="24"/>
        </w:rPr>
        <w:t>; MPC,</w:t>
      </w:r>
      <w:r w:rsidRPr="00C703BB">
        <w:rPr>
          <w:rFonts w:ascii="Times New Roman" w:hAnsi="Times New Roman" w:cs="Times New Roman"/>
          <w:sz w:val="24"/>
          <w:szCs w:val="24"/>
        </w:rPr>
        <w:t xml:space="preserve"> milk protein concentrate; </w:t>
      </w:r>
      <w:r>
        <w:rPr>
          <w:rFonts w:ascii="Times New Roman" w:hAnsi="Times New Roman" w:cs="Times New Roman"/>
          <w:sz w:val="24"/>
          <w:szCs w:val="24"/>
        </w:rPr>
        <w:t>SMP,</w:t>
      </w:r>
      <w:r w:rsidRPr="00C703BB">
        <w:rPr>
          <w:rFonts w:ascii="Times New Roman" w:hAnsi="Times New Roman" w:cs="Times New Roman"/>
          <w:sz w:val="24"/>
          <w:szCs w:val="24"/>
        </w:rPr>
        <w:t xml:space="preserve"> skim milk powder;</w:t>
      </w:r>
      <w:r>
        <w:rPr>
          <w:rFonts w:ascii="Times New Roman" w:hAnsi="Times New Roman" w:cs="Times New Roman"/>
          <w:sz w:val="24"/>
          <w:szCs w:val="24"/>
        </w:rPr>
        <w:t xml:space="preserve"> PPC,</w:t>
      </w:r>
      <w:r w:rsidRPr="00C7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 protein concentrate;</w:t>
      </w:r>
      <w:r w:rsidRPr="00C7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SPI,</w:t>
      </w:r>
      <w:r w:rsidRPr="00C703BB">
        <w:rPr>
          <w:rFonts w:ascii="Times New Roman" w:hAnsi="Times New Roman" w:cs="Times New Roman"/>
          <w:sz w:val="24"/>
          <w:szCs w:val="24"/>
        </w:rPr>
        <w:t xml:space="preserve"> soy protein isolate</w:t>
      </w:r>
      <w:r>
        <w:rPr>
          <w:rFonts w:ascii="Times New Roman" w:hAnsi="Times New Roman" w:cs="Times New Roman"/>
          <w:sz w:val="24"/>
          <w:szCs w:val="24"/>
        </w:rPr>
        <w:t>; AAA, aromatic amino acids (</w:t>
      </w:r>
      <w:proofErr w:type="spellStart"/>
      <w:r>
        <w:rPr>
          <w:rFonts w:ascii="Times New Roman" w:hAnsi="Times New Roman" w:cs="Times New Roman"/>
          <w:sz w:val="24"/>
          <w:szCs w:val="24"/>
        </w:rPr>
        <w:t>Phe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Tyr); SAA, sulfur amino acids (Met + </w:t>
      </w:r>
      <w:proofErr w:type="spellStart"/>
      <w:r>
        <w:rPr>
          <w:rFonts w:ascii="Times New Roman" w:hAnsi="Times New Roman" w:cs="Times New Roman"/>
          <w:sz w:val="24"/>
          <w:szCs w:val="24"/>
        </w:rPr>
        <w:t>Cys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C7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E1" w:rsidRPr="00A55AE1" w:rsidRDefault="00A55AE1" w:rsidP="00A55AE1">
      <w:pPr>
        <w:spacing w:after="0" w:line="360" w:lineRule="auto"/>
        <w:ind w:left="360"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A55AE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55AE1">
        <w:rPr>
          <w:rFonts w:ascii="Times New Roman" w:hAnsi="Times New Roman" w:cs="Times New Roman"/>
          <w:sz w:val="24"/>
          <w:szCs w:val="24"/>
        </w:rPr>
        <w:t>Values for PDCAA were calculated from the total tract digestibility of CP in pigs.</w:t>
      </w:r>
    </w:p>
    <w:p w:rsidR="00A55AE1" w:rsidRDefault="00A55AE1" w:rsidP="00A55AE1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F4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DIAA reference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tios and respective DIAAS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were calculated using </w:t>
      </w:r>
      <w:r>
        <w:rPr>
          <w:rFonts w:ascii="Times New Roman" w:eastAsia="Times New Roman" w:hAnsi="Times New Roman" w:cs="Times New Roman"/>
          <w:sz w:val="24"/>
          <w:szCs w:val="24"/>
        </w:rPr>
        <w:t>the recommended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scoring pattern for an infant (birth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months). The indispensable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reference patterns are expres</w:t>
      </w:r>
      <w:r>
        <w:rPr>
          <w:rFonts w:ascii="Times New Roman" w:eastAsia="Times New Roman" w:hAnsi="Times New Roman" w:cs="Times New Roman"/>
          <w:sz w:val="24"/>
          <w:szCs w:val="24"/>
        </w:rPr>
        <w:t>sed as mg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/g protein: His, 21; Ile,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96; Lys, 69;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amino acid, 33; aromatic amino acid, 94;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44;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17; Val, 55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AE1" w:rsidRPr="00CA2537" w:rsidRDefault="00A55AE1" w:rsidP="00A55AE1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F4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DIAA reference ratios and respective DI</w:t>
      </w:r>
      <w:r>
        <w:rPr>
          <w:rFonts w:ascii="Times New Roman" w:eastAsia="Times New Roman" w:hAnsi="Times New Roman" w:cs="Times New Roman"/>
          <w:sz w:val="24"/>
          <w:szCs w:val="24"/>
        </w:rPr>
        <w:t>AAS w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ere cal</w:t>
      </w:r>
      <w:r>
        <w:rPr>
          <w:rFonts w:ascii="Times New Roman" w:eastAsia="Times New Roman" w:hAnsi="Times New Roman" w:cs="Times New Roman"/>
          <w:sz w:val="24"/>
          <w:szCs w:val="24"/>
        </w:rPr>
        <w:t>culated using the recommended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scoring pattern for a child 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to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). The indispensable AA reference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patterns are expressed as mg 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/g protein: His, 20; Ile, 32; </w:t>
      </w:r>
      <w:proofErr w:type="spellStart"/>
      <w:r w:rsidRPr="00CA2537">
        <w:rPr>
          <w:rFonts w:ascii="Times New Roman" w:eastAsia="Times New Roman" w:hAnsi="Times New Roman" w:cs="Times New Roman"/>
          <w:sz w:val="24"/>
          <w:szCs w:val="24"/>
        </w:rPr>
        <w:t>Leu</w:t>
      </w:r>
      <w:proofErr w:type="spellEnd"/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, 66; Lys, 57;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ulphur</w:t>
      </w:r>
      <w:proofErr w:type="spellEnd"/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, 27;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romatic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8.5; Val, 40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AE1" w:rsidRPr="00CA2537" w:rsidRDefault="00A55AE1" w:rsidP="00A55AE1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F4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DIAA reference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atios and respective DIAAS 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were calculated using the recommended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scoring pattern for older child, adolescent, and adult. The indispensable AA reference patterns are expressed as mg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/g protein: His,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16; Ile, 30;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61; Lys, 48;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ulphur</w:t>
      </w:r>
      <w:proofErr w:type="spellEnd"/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amino acid, 23; a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romatic </w:t>
      </w:r>
      <w:r>
        <w:rPr>
          <w:rFonts w:ascii="Times New Roman" w:eastAsia="Times New Roman" w:hAnsi="Times New Roman" w:cs="Times New Roman"/>
          <w:sz w:val="24"/>
          <w:szCs w:val="24"/>
        </w:rPr>
        <w:t>amino acid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 xml:space="preserve">, 41; </w:t>
      </w:r>
      <w:proofErr w:type="spellStart"/>
      <w:r w:rsidRPr="00CA2537">
        <w:rPr>
          <w:rFonts w:ascii="Times New Roman" w:eastAsia="Times New Roman" w:hAnsi="Times New Roman" w:cs="Times New Roman"/>
          <w:sz w:val="24"/>
          <w:szCs w:val="24"/>
        </w:rPr>
        <w:t>Thr</w:t>
      </w:r>
      <w:proofErr w:type="spellEnd"/>
      <w:r w:rsidRPr="00CA25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6.6; Val, 40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(8</w:t>
      </w:r>
      <w:r w:rsidRPr="00CA25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A2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AE1" w:rsidRDefault="00A55AE1" w:rsidP="007C03BB"/>
    <w:sectPr w:rsidR="00A55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BB"/>
    <w:rsid w:val="001C256E"/>
    <w:rsid w:val="002468E1"/>
    <w:rsid w:val="006636C3"/>
    <w:rsid w:val="007C03BB"/>
    <w:rsid w:val="00A55AE1"/>
    <w:rsid w:val="00D9097E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B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7C03BB"/>
    <w:pPr>
      <w:spacing w:after="0"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B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7C03BB"/>
    <w:pPr>
      <w:spacing w:after="0"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University of Illinois</cp:lastModifiedBy>
  <cp:revision>2</cp:revision>
  <dcterms:created xsi:type="dcterms:W3CDTF">2016-12-14T23:47:00Z</dcterms:created>
  <dcterms:modified xsi:type="dcterms:W3CDTF">2016-12-14T23:47:00Z</dcterms:modified>
</cp:coreProperties>
</file>