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16" w:rsidRDefault="00B25816" w:rsidP="00B25816">
      <w:pPr>
        <w:pStyle w:val="PlainText"/>
      </w:pPr>
      <w:r>
        <w:t xml:space="preserve">Figure 0, </w:t>
      </w:r>
      <w:proofErr w:type="gramStart"/>
      <w:r>
        <w:t>boys</w:t>
      </w:r>
      <w:proofErr w:type="gramEnd"/>
      <w:r>
        <w:t xml:space="preserve"> 12-18 y. Age and birth cohort effects for boys born in 1983-1988. Upper left: Age specific fracture rates pr. 1000 person years and 95% CI for boys born in September 1986. Upper right: Rate ratio relative to September 1986 cohort. Lower left: Rate ratios by birth cohort exposure groups (“Non-exposed” cohort is reference). Lower right: Rate ratios by birth cohort exposure group and season of birth (Birth season “August-October” and “Non-exposed” cohort is reference).</w:t>
      </w:r>
    </w:p>
    <w:p w:rsidR="00B25816" w:rsidRDefault="00B25816" w:rsidP="00B25816">
      <w:pPr>
        <w:pStyle w:val="PlainText"/>
      </w:pPr>
    </w:p>
    <w:p w:rsidR="00B25816" w:rsidRDefault="00B25816" w:rsidP="00B25816">
      <w:pPr>
        <w:pStyle w:val="PlainText"/>
      </w:pPr>
      <w:r>
        <w:t>Figure 0, boys 12-18 y. Age and period effects for boys with fractures occurring from 1996-2007. Upper left: Age specific fracture rates pr. 1000 person years and 95% CI for boys in June 2001. Upper right: Rate relative to the July 2001 rate. Lower left: Observed vs. expected number of fractures conditional on the estimated age and period rates. Lower right: Cohort effect by birth cohort exposure group relative to the cohort effect in the “Non-exposed” cohort.</w:t>
      </w:r>
    </w:p>
    <w:p w:rsidR="00B25816" w:rsidRDefault="00B25816" w:rsidP="00B25816">
      <w:pPr>
        <w:pStyle w:val="PlainText"/>
      </w:pPr>
    </w:p>
    <w:p w:rsidR="00B25816" w:rsidRDefault="00B25816" w:rsidP="00B25816">
      <w:pPr>
        <w:pStyle w:val="PlainText"/>
      </w:pPr>
      <w:r>
        <w:t xml:space="preserve">Figure 0, girls 12-18 y. Age and birth cohort </w:t>
      </w:r>
      <w:proofErr w:type="gramStart"/>
      <w:r>
        <w:t>effects</w:t>
      </w:r>
      <w:proofErr w:type="gramEnd"/>
      <w:r>
        <w:t xml:space="preserve"> girls born in 1983-1988. Upper left: Age specific fracture rates pr. 1000 person years and 95% CI for girls born in September 1986. Upper right: Rate ratio relative to September 1986 cohort. Lower left: Rate ratios by birth cohort exposure groups </w:t>
      </w:r>
      <w:proofErr w:type="gramStart"/>
      <w:r>
        <w:t>( “</w:t>
      </w:r>
      <w:proofErr w:type="gramEnd"/>
      <w:r>
        <w:t>Non-exposed” cohort is reference). Lower right: Rate ratios by birth cohort exposure group and season of birth (Birth season “August-October” and “Non-exposed” cohort is reference).</w:t>
      </w:r>
    </w:p>
    <w:p w:rsidR="00B25816" w:rsidRDefault="00B25816" w:rsidP="00B25816">
      <w:pPr>
        <w:pStyle w:val="PlainText"/>
      </w:pPr>
    </w:p>
    <w:p w:rsidR="00B25816" w:rsidRDefault="00B25816" w:rsidP="00B25816">
      <w:pPr>
        <w:pStyle w:val="PlainText"/>
      </w:pPr>
      <w:r>
        <w:t>Figure 0, girls 12-18 y. Age and period effects for girls with fractures occurring from 1996-2007. Upper left: Age specific fracture rates pr. 1000 person years and 95% CI for girls in June 2001. Upper right: Rate relative to the July 2001 rate. Lower left: Observed vs. expected number of fractures conditional on the estimated age and period rates. Lower right: Cohort effect by birth cohort exposure group relative to the cohort effect in the “Non-exposed” cohort.</w:t>
      </w:r>
    </w:p>
    <w:p w:rsidR="009F5514" w:rsidRDefault="00B25816">
      <w:bookmarkStart w:id="0" w:name="_GoBack"/>
      <w:bookmarkEnd w:id="0"/>
    </w:p>
    <w:sectPr w:rsidR="009F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16"/>
    <w:rsid w:val="00821A28"/>
    <w:rsid w:val="00B25816"/>
    <w:rsid w:val="00F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25816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5816"/>
    <w:rPr>
      <w:rFonts w:ascii="Calibri" w:eastAsia="Times New Roman" w:hAnsi="Calibri" w:cs="Consolas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25816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5816"/>
    <w:rPr>
      <w:rFonts w:ascii="Calibri" w:eastAsia="Times New Roman" w:hAnsi="Calibri" w:cs="Consolas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Goossens-Roach</dc:creator>
  <cp:lastModifiedBy>Juanita Goossens-Roach</cp:lastModifiedBy>
  <cp:revision>1</cp:revision>
  <dcterms:created xsi:type="dcterms:W3CDTF">2017-01-23T10:18:00Z</dcterms:created>
  <dcterms:modified xsi:type="dcterms:W3CDTF">2017-01-23T10:18:00Z</dcterms:modified>
</cp:coreProperties>
</file>