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7E" w:rsidRPr="002765BB" w:rsidRDefault="00D2257E" w:rsidP="00D2257E">
      <w:pPr>
        <w:tabs>
          <w:tab w:val="right" w:pos="9360"/>
        </w:tabs>
        <w:spacing w:before="100" w:beforeAutospacing="1" w:after="120" w:line="360" w:lineRule="auto"/>
        <w:jc w:val="both"/>
      </w:pPr>
      <w:r>
        <w:rPr>
          <w:b/>
        </w:rPr>
        <w:t>Supplementary table 1.</w:t>
      </w:r>
      <w:r w:rsidRPr="002765BB">
        <w:rPr>
          <w:b/>
        </w:rPr>
        <w:t xml:space="preserve"> </w:t>
      </w:r>
      <w:r w:rsidRPr="002765BB">
        <w:t>GLM top model set</w:t>
      </w:r>
      <w:r>
        <w:tab/>
      </w:r>
    </w:p>
    <w:tbl>
      <w:tblPr>
        <w:tblStyle w:val="TableGrid"/>
        <w:tblW w:w="91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699"/>
        <w:gridCol w:w="535"/>
        <w:gridCol w:w="1202"/>
        <w:gridCol w:w="1107"/>
        <w:gridCol w:w="885"/>
        <w:gridCol w:w="916"/>
      </w:tblGrid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Model</w:t>
            </w:r>
          </w:p>
        </w:tc>
        <w:tc>
          <w:tcPr>
            <w:tcW w:w="3699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Variables</w:t>
            </w:r>
          </w:p>
        </w:tc>
        <w:tc>
          <w:tcPr>
            <w:tcW w:w="53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proofErr w:type="spellStart"/>
            <w:r w:rsidRPr="002765BB">
              <w:t>df</w:t>
            </w:r>
            <w:proofErr w:type="spellEnd"/>
          </w:p>
        </w:tc>
        <w:tc>
          <w:tcPr>
            <w:tcW w:w="1202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proofErr w:type="spellStart"/>
            <w:r w:rsidRPr="002765BB">
              <w:t>logLik</w:t>
            </w:r>
            <w:proofErr w:type="spellEnd"/>
          </w:p>
        </w:tc>
        <w:tc>
          <w:tcPr>
            <w:tcW w:w="1107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proofErr w:type="spellStart"/>
            <w:r w:rsidRPr="002765BB">
              <w:t>AICc</w:t>
            </w:r>
            <w:proofErr w:type="spellEnd"/>
          </w:p>
        </w:tc>
        <w:tc>
          <w:tcPr>
            <w:tcW w:w="88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  <w:rPr>
                <w:szCs w:val="24"/>
              </w:rPr>
            </w:pPr>
            <w:proofErr w:type="spellStart"/>
            <w:r w:rsidRPr="002765BB">
              <w:rPr>
                <w:szCs w:val="24"/>
              </w:rPr>
              <w:t>ΔAICc</w:t>
            </w:r>
            <w:proofErr w:type="spellEnd"/>
          </w:p>
        </w:tc>
        <w:tc>
          <w:tcPr>
            <w:tcW w:w="916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>Weight</w:t>
            </w:r>
          </w:p>
        </w:tc>
      </w:tr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Default="00D2257E" w:rsidP="00AB3F7C">
            <w:pPr>
              <w:spacing w:before="100" w:beforeAutospacing="1" w:after="120" w:line="480" w:lineRule="auto"/>
              <w:jc w:val="both"/>
            </w:pPr>
            <w:r>
              <w:t>1</w:t>
            </w:r>
          </w:p>
        </w:tc>
        <w:tc>
          <w:tcPr>
            <w:tcW w:w="3699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Total DGI score ~</w:t>
            </w:r>
            <w:r w:rsidRPr="002765BB">
              <w:t xml:space="preserve"> education + income + smoking status + PASE</w:t>
            </w:r>
          </w:p>
        </w:tc>
        <w:tc>
          <w:tcPr>
            <w:tcW w:w="53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8</w:t>
            </w:r>
          </w:p>
        </w:tc>
        <w:tc>
          <w:tcPr>
            <w:tcW w:w="1202" w:type="dxa"/>
            <w:noWrap/>
            <w:hideMark/>
          </w:tcPr>
          <w:p w:rsidR="00D2257E" w:rsidRPr="00500607" w:rsidRDefault="00D2257E" w:rsidP="00AB3F7C">
            <w:pPr>
              <w:spacing w:line="480" w:lineRule="auto"/>
            </w:pPr>
            <w:r>
              <w:t>-2796.79</w:t>
            </w:r>
          </w:p>
        </w:tc>
        <w:tc>
          <w:tcPr>
            <w:tcW w:w="1107" w:type="dxa"/>
            <w:noWrap/>
            <w:hideMark/>
          </w:tcPr>
          <w:p w:rsidR="00D2257E" w:rsidRPr="00500607" w:rsidRDefault="00D2257E" w:rsidP="00AB3F7C">
            <w:pPr>
              <w:spacing w:line="480" w:lineRule="auto"/>
            </w:pPr>
            <w:r w:rsidRPr="00500607">
              <w:t>5609.768</w:t>
            </w:r>
          </w:p>
        </w:tc>
        <w:tc>
          <w:tcPr>
            <w:tcW w:w="885" w:type="dxa"/>
            <w:noWrap/>
            <w:hideMark/>
          </w:tcPr>
          <w:p w:rsidR="00D2257E" w:rsidRPr="00500607" w:rsidRDefault="00D2257E" w:rsidP="00AB3F7C">
            <w:pPr>
              <w:spacing w:line="480" w:lineRule="auto"/>
            </w:pPr>
            <w:r w:rsidRPr="00500607">
              <w:t>0</w:t>
            </w:r>
            <w:r>
              <w:t>.00</w:t>
            </w:r>
          </w:p>
        </w:tc>
        <w:tc>
          <w:tcPr>
            <w:tcW w:w="916" w:type="dxa"/>
            <w:noWrap/>
            <w:hideMark/>
          </w:tcPr>
          <w:p w:rsidR="00D2257E" w:rsidRDefault="00D2257E" w:rsidP="00AB3F7C">
            <w:pPr>
              <w:spacing w:line="480" w:lineRule="auto"/>
            </w:pPr>
            <w:r w:rsidRPr="00500607">
              <w:t>0.306</w:t>
            </w:r>
          </w:p>
        </w:tc>
      </w:tr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2</w:t>
            </w:r>
          </w:p>
        </w:tc>
        <w:tc>
          <w:tcPr>
            <w:tcW w:w="3699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 xml:space="preserve">Total DGI score </w:t>
            </w:r>
            <w:r>
              <w:t>~</w:t>
            </w:r>
            <w:r w:rsidRPr="002765BB">
              <w:t xml:space="preserve"> education + income + marital status + smoking status + PASE</w:t>
            </w:r>
          </w:p>
        </w:tc>
        <w:tc>
          <w:tcPr>
            <w:tcW w:w="53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9</w:t>
            </w:r>
          </w:p>
        </w:tc>
        <w:tc>
          <w:tcPr>
            <w:tcW w:w="1202" w:type="dxa"/>
            <w:noWrap/>
            <w:hideMark/>
          </w:tcPr>
          <w:p w:rsidR="00D2257E" w:rsidRPr="006F65B0" w:rsidRDefault="00D2257E" w:rsidP="00AB3F7C">
            <w:pPr>
              <w:spacing w:line="480" w:lineRule="auto"/>
            </w:pPr>
            <w:r>
              <w:t>-2796.30</w:t>
            </w:r>
          </w:p>
        </w:tc>
        <w:tc>
          <w:tcPr>
            <w:tcW w:w="1107" w:type="dxa"/>
            <w:noWrap/>
            <w:hideMark/>
          </w:tcPr>
          <w:p w:rsidR="00D2257E" w:rsidRPr="006F65B0" w:rsidRDefault="00D2257E" w:rsidP="00AB3F7C">
            <w:pPr>
              <w:spacing w:line="480" w:lineRule="auto"/>
            </w:pPr>
            <w:r w:rsidRPr="006F65B0">
              <w:t>5610.847</w:t>
            </w:r>
          </w:p>
        </w:tc>
        <w:tc>
          <w:tcPr>
            <w:tcW w:w="885" w:type="dxa"/>
            <w:noWrap/>
            <w:hideMark/>
          </w:tcPr>
          <w:p w:rsidR="00D2257E" w:rsidRPr="006F65B0" w:rsidRDefault="00D2257E" w:rsidP="00AB3F7C">
            <w:pPr>
              <w:spacing w:line="480" w:lineRule="auto"/>
            </w:pPr>
            <w:r w:rsidRPr="006F65B0">
              <w:t>1.079</w:t>
            </w:r>
          </w:p>
        </w:tc>
        <w:tc>
          <w:tcPr>
            <w:tcW w:w="916" w:type="dxa"/>
            <w:noWrap/>
            <w:hideMark/>
          </w:tcPr>
          <w:p w:rsidR="00D2257E" w:rsidRDefault="00D2257E" w:rsidP="00AB3F7C">
            <w:pPr>
              <w:spacing w:line="480" w:lineRule="auto"/>
            </w:pPr>
            <w:r w:rsidRPr="006F65B0">
              <w:t>0.179</w:t>
            </w:r>
          </w:p>
        </w:tc>
      </w:tr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3</w:t>
            </w:r>
          </w:p>
        </w:tc>
        <w:tc>
          <w:tcPr>
            <w:tcW w:w="3699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 xml:space="preserve">Total DGI score </w:t>
            </w:r>
            <w:r>
              <w:t>~</w:t>
            </w:r>
            <w:r w:rsidRPr="002765BB">
              <w:t xml:space="preserve"> education + income + smoking status +BMI + PASE</w:t>
            </w:r>
          </w:p>
        </w:tc>
        <w:tc>
          <w:tcPr>
            <w:tcW w:w="53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9</w:t>
            </w:r>
          </w:p>
        </w:tc>
        <w:tc>
          <w:tcPr>
            <w:tcW w:w="1202" w:type="dxa"/>
            <w:noWrap/>
            <w:hideMark/>
          </w:tcPr>
          <w:p w:rsidR="00D2257E" w:rsidRPr="00833166" w:rsidRDefault="00D2257E" w:rsidP="00AB3F7C">
            <w:pPr>
              <w:spacing w:line="480" w:lineRule="auto"/>
            </w:pPr>
            <w:r>
              <w:t>-2796.50</w:t>
            </w:r>
          </w:p>
        </w:tc>
        <w:tc>
          <w:tcPr>
            <w:tcW w:w="1107" w:type="dxa"/>
            <w:noWrap/>
            <w:hideMark/>
          </w:tcPr>
          <w:p w:rsidR="00D2257E" w:rsidRPr="00833166" w:rsidRDefault="00D2257E" w:rsidP="00AB3F7C">
            <w:pPr>
              <w:spacing w:line="480" w:lineRule="auto"/>
            </w:pPr>
            <w:r w:rsidRPr="00833166">
              <w:t>5611.236</w:t>
            </w:r>
          </w:p>
        </w:tc>
        <w:tc>
          <w:tcPr>
            <w:tcW w:w="885" w:type="dxa"/>
            <w:noWrap/>
            <w:hideMark/>
          </w:tcPr>
          <w:p w:rsidR="00D2257E" w:rsidRPr="00833166" w:rsidRDefault="00D2257E" w:rsidP="00AB3F7C">
            <w:pPr>
              <w:spacing w:line="480" w:lineRule="auto"/>
            </w:pPr>
            <w:r w:rsidRPr="00833166">
              <w:t>1.467</w:t>
            </w:r>
          </w:p>
        </w:tc>
        <w:tc>
          <w:tcPr>
            <w:tcW w:w="916" w:type="dxa"/>
            <w:noWrap/>
            <w:hideMark/>
          </w:tcPr>
          <w:p w:rsidR="00D2257E" w:rsidRDefault="00D2257E" w:rsidP="00AB3F7C">
            <w:pPr>
              <w:spacing w:line="480" w:lineRule="auto"/>
            </w:pPr>
            <w:r w:rsidRPr="00833166">
              <w:t>0.147</w:t>
            </w:r>
          </w:p>
        </w:tc>
      </w:tr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4</w:t>
            </w:r>
          </w:p>
        </w:tc>
        <w:tc>
          <w:tcPr>
            <w:tcW w:w="3699" w:type="dxa"/>
            <w:noWrap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 xml:space="preserve">Total DGI score </w:t>
            </w:r>
            <w:r>
              <w:t>~</w:t>
            </w:r>
            <w:r w:rsidRPr="002765BB">
              <w:t xml:space="preserve"> education + income + </w:t>
            </w:r>
            <w:r>
              <w:t>marital status</w:t>
            </w:r>
            <w:r w:rsidRPr="002765BB">
              <w:t xml:space="preserve"> + </w:t>
            </w:r>
            <w:r>
              <w:t>grocery shopping</w:t>
            </w:r>
            <w:r w:rsidRPr="002765BB">
              <w:t xml:space="preserve"> + smoking status</w:t>
            </w:r>
            <w:r>
              <w:t xml:space="preserve"> + PASE</w:t>
            </w:r>
          </w:p>
        </w:tc>
        <w:tc>
          <w:tcPr>
            <w:tcW w:w="535" w:type="dxa"/>
            <w:noWrap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10</w:t>
            </w:r>
          </w:p>
        </w:tc>
        <w:tc>
          <w:tcPr>
            <w:tcW w:w="1202" w:type="dxa"/>
            <w:noWrap/>
          </w:tcPr>
          <w:p w:rsidR="00D2257E" w:rsidRPr="005C04CE" w:rsidRDefault="00D2257E" w:rsidP="00AB3F7C">
            <w:pPr>
              <w:spacing w:line="480" w:lineRule="auto"/>
            </w:pPr>
            <w:r>
              <w:t>-2795.62</w:t>
            </w:r>
          </w:p>
        </w:tc>
        <w:tc>
          <w:tcPr>
            <w:tcW w:w="1107" w:type="dxa"/>
            <w:noWrap/>
          </w:tcPr>
          <w:p w:rsidR="00D2257E" w:rsidRPr="005C04CE" w:rsidRDefault="00D2257E" w:rsidP="00AB3F7C">
            <w:pPr>
              <w:spacing w:line="480" w:lineRule="auto"/>
            </w:pPr>
            <w:r w:rsidRPr="005C04CE">
              <w:t>5611.527</w:t>
            </w:r>
          </w:p>
        </w:tc>
        <w:tc>
          <w:tcPr>
            <w:tcW w:w="885" w:type="dxa"/>
            <w:noWrap/>
          </w:tcPr>
          <w:p w:rsidR="00D2257E" w:rsidRPr="005C04CE" w:rsidRDefault="00D2257E" w:rsidP="00AB3F7C">
            <w:pPr>
              <w:spacing w:line="480" w:lineRule="auto"/>
            </w:pPr>
            <w:r w:rsidRPr="005C04CE">
              <w:t>1.759</w:t>
            </w:r>
          </w:p>
        </w:tc>
        <w:tc>
          <w:tcPr>
            <w:tcW w:w="916" w:type="dxa"/>
            <w:noWrap/>
          </w:tcPr>
          <w:p w:rsidR="00D2257E" w:rsidRDefault="00D2257E" w:rsidP="00AB3F7C">
            <w:pPr>
              <w:spacing w:line="480" w:lineRule="auto"/>
            </w:pPr>
            <w:r w:rsidRPr="005C04CE">
              <w:t>0.127</w:t>
            </w:r>
          </w:p>
        </w:tc>
      </w:tr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>
              <w:t>5</w:t>
            </w:r>
          </w:p>
        </w:tc>
        <w:tc>
          <w:tcPr>
            <w:tcW w:w="3699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 xml:space="preserve">Total DGI score </w:t>
            </w:r>
            <w:r>
              <w:t>~</w:t>
            </w:r>
            <w:r w:rsidRPr="002765BB">
              <w:t xml:space="preserve"> education + income + smoking status + age + PASE</w:t>
            </w:r>
          </w:p>
        </w:tc>
        <w:tc>
          <w:tcPr>
            <w:tcW w:w="53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>10</w:t>
            </w:r>
          </w:p>
        </w:tc>
        <w:tc>
          <w:tcPr>
            <w:tcW w:w="1202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>-2821.54</w:t>
            </w:r>
          </w:p>
        </w:tc>
        <w:tc>
          <w:tcPr>
            <w:tcW w:w="1107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>5663.376</w:t>
            </w:r>
          </w:p>
        </w:tc>
        <w:tc>
          <w:tcPr>
            <w:tcW w:w="885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>1.85</w:t>
            </w:r>
          </w:p>
        </w:tc>
        <w:tc>
          <w:tcPr>
            <w:tcW w:w="916" w:type="dxa"/>
            <w:noWrap/>
            <w:hideMark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2765BB">
              <w:t>0.157</w:t>
            </w:r>
          </w:p>
        </w:tc>
      </w:tr>
      <w:tr w:rsidR="00D2257E" w:rsidRPr="002765BB" w:rsidTr="00AB3F7C">
        <w:trPr>
          <w:trHeight w:val="274"/>
        </w:trPr>
        <w:tc>
          <w:tcPr>
            <w:tcW w:w="837" w:type="dxa"/>
          </w:tcPr>
          <w:p w:rsidR="00D2257E" w:rsidRPr="009E0AA9" w:rsidRDefault="00D2257E" w:rsidP="00AB3F7C">
            <w:pPr>
              <w:spacing w:before="100" w:beforeAutospacing="1" w:after="120" w:line="480" w:lineRule="auto"/>
              <w:jc w:val="both"/>
            </w:pPr>
            <w:r>
              <w:t>6</w:t>
            </w:r>
          </w:p>
        </w:tc>
        <w:tc>
          <w:tcPr>
            <w:tcW w:w="3699" w:type="dxa"/>
            <w:noWrap/>
          </w:tcPr>
          <w:p w:rsidR="00D2257E" w:rsidRPr="002765BB" w:rsidRDefault="00D2257E" w:rsidP="00AB3F7C">
            <w:pPr>
              <w:spacing w:before="100" w:beforeAutospacing="1" w:after="120" w:line="480" w:lineRule="auto"/>
              <w:jc w:val="both"/>
            </w:pPr>
            <w:r w:rsidRPr="009E0AA9">
              <w:t xml:space="preserve">Total DGI score </w:t>
            </w:r>
            <w:r>
              <w:t>~</w:t>
            </w:r>
            <w:r w:rsidRPr="009E0AA9">
              <w:t xml:space="preserve"> education + income + </w:t>
            </w:r>
            <w:r>
              <w:t>grocery shopping</w:t>
            </w:r>
            <w:r w:rsidRPr="002765BB">
              <w:t xml:space="preserve"> </w:t>
            </w:r>
            <w:r>
              <w:t xml:space="preserve">+ smoking status </w:t>
            </w:r>
            <w:r w:rsidRPr="009E0AA9">
              <w:t>+ PASE</w:t>
            </w:r>
          </w:p>
        </w:tc>
        <w:tc>
          <w:tcPr>
            <w:tcW w:w="535" w:type="dxa"/>
            <w:noWrap/>
          </w:tcPr>
          <w:p w:rsidR="00D2257E" w:rsidRPr="009931D5" w:rsidRDefault="00D2257E" w:rsidP="00AB3F7C">
            <w:pPr>
              <w:spacing w:line="480" w:lineRule="auto"/>
            </w:pPr>
            <w:r w:rsidRPr="009931D5">
              <w:t>9</w:t>
            </w:r>
          </w:p>
        </w:tc>
        <w:tc>
          <w:tcPr>
            <w:tcW w:w="1202" w:type="dxa"/>
            <w:noWrap/>
          </w:tcPr>
          <w:p w:rsidR="00D2257E" w:rsidRPr="009931D5" w:rsidRDefault="00D2257E" w:rsidP="00AB3F7C">
            <w:pPr>
              <w:spacing w:line="480" w:lineRule="auto"/>
            </w:pPr>
            <w:r>
              <w:t>-2796.73</w:t>
            </w:r>
          </w:p>
        </w:tc>
        <w:tc>
          <w:tcPr>
            <w:tcW w:w="1107" w:type="dxa"/>
            <w:noWrap/>
          </w:tcPr>
          <w:p w:rsidR="00D2257E" w:rsidRPr="009931D5" w:rsidRDefault="00D2257E" w:rsidP="00AB3F7C">
            <w:pPr>
              <w:spacing w:line="480" w:lineRule="auto"/>
            </w:pPr>
            <w:r w:rsidRPr="009931D5">
              <w:t>5611.707</w:t>
            </w:r>
          </w:p>
        </w:tc>
        <w:tc>
          <w:tcPr>
            <w:tcW w:w="885" w:type="dxa"/>
            <w:noWrap/>
          </w:tcPr>
          <w:p w:rsidR="00D2257E" w:rsidRPr="009931D5" w:rsidRDefault="00D2257E" w:rsidP="00AB3F7C">
            <w:pPr>
              <w:spacing w:line="480" w:lineRule="auto"/>
            </w:pPr>
            <w:r w:rsidRPr="009931D5">
              <w:t>1.938</w:t>
            </w:r>
          </w:p>
        </w:tc>
        <w:tc>
          <w:tcPr>
            <w:tcW w:w="916" w:type="dxa"/>
            <w:noWrap/>
          </w:tcPr>
          <w:p w:rsidR="00D2257E" w:rsidRDefault="00D2257E" w:rsidP="00AB3F7C">
            <w:pPr>
              <w:spacing w:line="480" w:lineRule="auto"/>
            </w:pPr>
            <w:r w:rsidRPr="009931D5">
              <w:t>0.116</w:t>
            </w:r>
          </w:p>
        </w:tc>
      </w:tr>
    </w:tbl>
    <w:p w:rsidR="00D2257E" w:rsidRPr="002765BB" w:rsidRDefault="00D2257E" w:rsidP="00D2257E">
      <w:pPr>
        <w:spacing w:after="120" w:line="240" w:lineRule="auto"/>
        <w:jc w:val="both"/>
        <w:rPr>
          <w:sz w:val="16"/>
          <w:szCs w:val="16"/>
        </w:rPr>
      </w:pPr>
      <w:r w:rsidRPr="002765BB">
        <w:rPr>
          <w:sz w:val="16"/>
          <w:szCs w:val="16"/>
        </w:rPr>
        <w:t>GLM, generalized linear model; top model set based on the Akaike information criterion corrected for small sample size (</w:t>
      </w:r>
      <w:proofErr w:type="spellStart"/>
      <w:r w:rsidRPr="002765BB">
        <w:rPr>
          <w:sz w:val="16"/>
          <w:szCs w:val="16"/>
        </w:rPr>
        <w:t>AICc</w:t>
      </w:r>
      <w:proofErr w:type="spellEnd"/>
      <w:r w:rsidRPr="002765BB">
        <w:rPr>
          <w:sz w:val="16"/>
          <w:szCs w:val="16"/>
        </w:rPr>
        <w:t>), the log likelihood of those models (</w:t>
      </w:r>
      <w:proofErr w:type="spellStart"/>
      <w:r w:rsidRPr="002765BB">
        <w:rPr>
          <w:sz w:val="16"/>
          <w:szCs w:val="16"/>
        </w:rPr>
        <w:t>logLik</w:t>
      </w:r>
      <w:proofErr w:type="spellEnd"/>
      <w:r w:rsidRPr="002765BB">
        <w:rPr>
          <w:sz w:val="16"/>
          <w:szCs w:val="16"/>
        </w:rPr>
        <w:t xml:space="preserve">), the difference in </w:t>
      </w:r>
      <w:proofErr w:type="spellStart"/>
      <w:r w:rsidRPr="002765BB">
        <w:rPr>
          <w:sz w:val="16"/>
          <w:szCs w:val="16"/>
        </w:rPr>
        <w:t>AICc</w:t>
      </w:r>
      <w:proofErr w:type="spellEnd"/>
      <w:r w:rsidRPr="002765BB">
        <w:rPr>
          <w:sz w:val="16"/>
          <w:szCs w:val="16"/>
        </w:rPr>
        <w:t xml:space="preserve"> between each model and the </w:t>
      </w:r>
      <w:proofErr w:type="spellStart"/>
      <w:r w:rsidRPr="002765BB">
        <w:rPr>
          <w:sz w:val="16"/>
          <w:szCs w:val="16"/>
        </w:rPr>
        <w:t>AICc</w:t>
      </w:r>
      <w:proofErr w:type="spellEnd"/>
      <w:r w:rsidRPr="002765BB">
        <w:rPr>
          <w:sz w:val="16"/>
          <w:szCs w:val="16"/>
        </w:rPr>
        <w:t xml:space="preserve"> favored model (</w:t>
      </w:r>
      <w:proofErr w:type="spellStart"/>
      <w:r w:rsidRPr="002765BB">
        <w:rPr>
          <w:sz w:val="16"/>
          <w:szCs w:val="16"/>
        </w:rPr>
        <w:t>ΔAICc</w:t>
      </w:r>
      <w:proofErr w:type="spellEnd"/>
      <w:r w:rsidRPr="002765BB">
        <w:rPr>
          <w:sz w:val="16"/>
          <w:szCs w:val="16"/>
        </w:rPr>
        <w:t>), and the model weights. Model included</w:t>
      </w:r>
      <w:r>
        <w:rPr>
          <w:sz w:val="16"/>
          <w:szCs w:val="16"/>
        </w:rPr>
        <w:t xml:space="preserve"> age, marital status, </w:t>
      </w:r>
      <w:r w:rsidRPr="002765BB">
        <w:rPr>
          <w:sz w:val="16"/>
          <w:szCs w:val="16"/>
        </w:rPr>
        <w:t>income</w:t>
      </w:r>
      <w:r>
        <w:rPr>
          <w:sz w:val="16"/>
          <w:szCs w:val="16"/>
        </w:rPr>
        <w:t xml:space="preserve"> source</w:t>
      </w:r>
      <w:r w:rsidRPr="002765BB">
        <w:rPr>
          <w:sz w:val="16"/>
          <w:szCs w:val="16"/>
        </w:rPr>
        <w:t>, level of education,</w:t>
      </w:r>
      <w:r>
        <w:rPr>
          <w:sz w:val="16"/>
          <w:szCs w:val="16"/>
        </w:rPr>
        <w:t xml:space="preserve"> responsibility of grocery shopping, responsibility of cook own meals, </w:t>
      </w:r>
      <w:r w:rsidRPr="002765BB">
        <w:rPr>
          <w:sz w:val="16"/>
          <w:szCs w:val="16"/>
        </w:rPr>
        <w:t>physical activity level, smoking status, BMI and quadratic effect of BMI.</w:t>
      </w:r>
      <w:r>
        <w:rPr>
          <w:sz w:val="16"/>
          <w:szCs w:val="16"/>
        </w:rPr>
        <w:t xml:space="preserve"> Model (1) containing education, income, smoking status and PASE </w:t>
      </w:r>
      <w:r w:rsidRPr="00A70814">
        <w:rPr>
          <w:sz w:val="16"/>
          <w:szCs w:val="16"/>
        </w:rPr>
        <w:t xml:space="preserve">had the lowest </w:t>
      </w:r>
      <w:proofErr w:type="spellStart"/>
      <w:r w:rsidRPr="00A70814">
        <w:rPr>
          <w:sz w:val="16"/>
          <w:szCs w:val="16"/>
        </w:rPr>
        <w:t>AICc</w:t>
      </w:r>
      <w:proofErr w:type="spellEnd"/>
      <w:r w:rsidRPr="00A70814">
        <w:rPr>
          <w:sz w:val="16"/>
          <w:szCs w:val="16"/>
        </w:rPr>
        <w:t xml:space="preserve"> </w:t>
      </w:r>
      <w:r>
        <w:rPr>
          <w:sz w:val="16"/>
          <w:szCs w:val="16"/>
        </w:rPr>
        <w:t>which indicates</w:t>
      </w:r>
      <w:r w:rsidRPr="00A70814">
        <w:rPr>
          <w:sz w:val="16"/>
          <w:szCs w:val="16"/>
        </w:rPr>
        <w:t xml:space="preserve"> best fit to the data</w:t>
      </w:r>
      <w:r>
        <w:rPr>
          <w:sz w:val="16"/>
          <w:szCs w:val="16"/>
        </w:rPr>
        <w:t>.</w:t>
      </w:r>
    </w:p>
    <w:p w:rsidR="00D2257E" w:rsidRPr="00EE02E2" w:rsidRDefault="00D2257E" w:rsidP="00D2257E">
      <w:pPr>
        <w:rPr>
          <w:szCs w:val="24"/>
        </w:rPr>
      </w:pPr>
      <w:r>
        <w:rPr>
          <w:szCs w:val="24"/>
        </w:rPr>
        <w:br w:type="page"/>
      </w:r>
      <w:r>
        <w:rPr>
          <w:b/>
        </w:rPr>
        <w:lastRenderedPageBreak/>
        <w:t xml:space="preserve">Supplementary table 2. </w:t>
      </w:r>
      <w:r w:rsidRPr="002765BB">
        <w:t>GLM model-averaged coefficients</w:t>
      </w:r>
    </w:p>
    <w:tbl>
      <w:tblPr>
        <w:tblStyle w:val="TableGrid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271"/>
        <w:gridCol w:w="1047"/>
        <w:gridCol w:w="711"/>
        <w:gridCol w:w="796"/>
        <w:gridCol w:w="851"/>
        <w:gridCol w:w="1164"/>
        <w:gridCol w:w="679"/>
      </w:tblGrid>
      <w:tr w:rsidR="00D2257E" w:rsidRPr="002765BB" w:rsidTr="00AB3F7C">
        <w:trPr>
          <w:trHeight w:val="288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  <w:rPr>
                <w:b/>
              </w:rPr>
            </w:pPr>
            <w:r w:rsidRPr="002765BB">
              <w:rPr>
                <w:b/>
              </w:rPr>
              <w:t>Coefficient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b/>
                <w:sz w:val="22"/>
              </w:rPr>
            </w:pPr>
            <w:r w:rsidRPr="00B61B00">
              <w:rPr>
                <w:b/>
                <w:sz w:val="22"/>
              </w:rPr>
              <w:t>Estimate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b/>
                <w:sz w:val="22"/>
              </w:rPr>
            </w:pPr>
            <w:r w:rsidRPr="00B61B00">
              <w:rPr>
                <w:b/>
                <w:sz w:val="22"/>
              </w:rPr>
              <w:t>SE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b/>
                <w:sz w:val="22"/>
              </w:rPr>
            </w:pPr>
            <w:r w:rsidRPr="00B61B00">
              <w:rPr>
                <w:b/>
                <w:sz w:val="22"/>
              </w:rPr>
              <w:t>LCL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b/>
                <w:sz w:val="22"/>
              </w:rPr>
            </w:pPr>
            <w:r w:rsidRPr="00B61B00">
              <w:rPr>
                <w:b/>
                <w:sz w:val="22"/>
              </w:rPr>
              <w:t>UCL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b/>
                <w:sz w:val="22"/>
              </w:rPr>
            </w:pPr>
            <w:proofErr w:type="spellStart"/>
            <w:r w:rsidRPr="00B61B00">
              <w:rPr>
                <w:b/>
                <w:sz w:val="22"/>
              </w:rPr>
              <w:t>Full.Coeff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b/>
                <w:sz w:val="22"/>
              </w:rPr>
            </w:pPr>
            <w:r w:rsidRPr="00B61B00">
              <w:rPr>
                <w:b/>
                <w:sz w:val="22"/>
              </w:rPr>
              <w:t>RI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  <w:tcBorders>
              <w:top w:val="single" w:sz="4" w:space="0" w:color="auto"/>
            </w:tcBorders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</w:tcBorders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</w:rPr>
            </w:pPr>
            <w:r w:rsidRPr="00B978E3">
              <w:rPr>
                <w:sz w:val="22"/>
              </w:rPr>
              <w:t>(Intercept)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96.12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96.12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1.309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93.554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98.686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  <w:r>
              <w:t>Education</w:t>
            </w:r>
          </w:p>
        </w:tc>
        <w:tc>
          <w:tcPr>
            <w:tcW w:w="2271" w:type="dxa"/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Trade/Apprenticeship/ Certificate/Diploma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-3.24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1.13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-5.46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-1.02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-3.24</w:t>
            </w:r>
          </w:p>
        </w:tc>
        <w:tc>
          <w:tcPr>
            <w:tcW w:w="679" w:type="dxa"/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1.00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</w:p>
        </w:tc>
        <w:tc>
          <w:tcPr>
            <w:tcW w:w="2271" w:type="dxa"/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High school and below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-5.67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1.16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-7.946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-3.394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-5.672</w:t>
            </w:r>
          </w:p>
        </w:tc>
        <w:tc>
          <w:tcPr>
            <w:tcW w:w="679" w:type="dxa"/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  <w:r>
              <w:t>Income*</w:t>
            </w:r>
          </w:p>
        </w:tc>
        <w:tc>
          <w:tcPr>
            <w:tcW w:w="2271" w:type="dxa"/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Other</w:t>
            </w:r>
            <w:r w:rsidRPr="000F38E6">
              <w:rPr>
                <w:sz w:val="22"/>
                <w:szCs w:val="24"/>
              </w:rPr>
              <w:t>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2.57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4.116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2.572</w:t>
            </w:r>
          </w:p>
        </w:tc>
        <w:tc>
          <w:tcPr>
            <w:tcW w:w="679" w:type="dxa"/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1.00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  <w:r>
              <w:t>Smoking status</w:t>
            </w:r>
          </w:p>
        </w:tc>
        <w:tc>
          <w:tcPr>
            <w:tcW w:w="2271" w:type="dxa"/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Ex-smoker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-0.66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0.78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-2.189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0.869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-0.662</w:t>
            </w:r>
          </w:p>
        </w:tc>
        <w:tc>
          <w:tcPr>
            <w:tcW w:w="679" w:type="dxa"/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1.00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</w:p>
        </w:tc>
        <w:tc>
          <w:tcPr>
            <w:tcW w:w="2271" w:type="dxa"/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Smoker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-6.16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2.06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-10.19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-2.13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-6.159</w:t>
            </w:r>
          </w:p>
        </w:tc>
        <w:tc>
          <w:tcPr>
            <w:tcW w:w="679" w:type="dxa"/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  <w:r>
              <w:t>PASE</w:t>
            </w:r>
          </w:p>
        </w:tc>
        <w:tc>
          <w:tcPr>
            <w:tcW w:w="2271" w:type="dxa"/>
            <w:noWrap/>
            <w:hideMark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047" w:type="dxa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2.51</w:t>
            </w:r>
          </w:p>
        </w:tc>
        <w:tc>
          <w:tcPr>
            <w:tcW w:w="711" w:type="dxa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0.769</w:t>
            </w:r>
          </w:p>
        </w:tc>
        <w:tc>
          <w:tcPr>
            <w:tcW w:w="796" w:type="dxa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1.003</w:t>
            </w:r>
          </w:p>
        </w:tc>
        <w:tc>
          <w:tcPr>
            <w:tcW w:w="851" w:type="dxa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4.017</w:t>
            </w:r>
          </w:p>
        </w:tc>
        <w:tc>
          <w:tcPr>
            <w:tcW w:w="1164" w:type="dxa"/>
            <w:noWrap/>
            <w:hideMark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2.509</w:t>
            </w:r>
          </w:p>
        </w:tc>
        <w:tc>
          <w:tcPr>
            <w:tcW w:w="679" w:type="dxa"/>
            <w:noWrap/>
            <w:hideMark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1.00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  <w:r>
              <w:t>Marital status</w:t>
            </w:r>
          </w:p>
        </w:tc>
        <w:tc>
          <w:tcPr>
            <w:tcW w:w="2271" w:type="dxa"/>
            <w:noWrap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Not married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1.18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1.048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-0.874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3.234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0.361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57E" w:rsidRPr="00B61B00" w:rsidRDefault="00D2257E" w:rsidP="00AB3F7C">
            <w:pPr>
              <w:spacing w:before="100" w:beforeAutospacing="1" w:line="480" w:lineRule="auto"/>
              <w:jc w:val="center"/>
              <w:rPr>
                <w:sz w:val="22"/>
              </w:rPr>
            </w:pPr>
            <w:r w:rsidRPr="00B61B00">
              <w:rPr>
                <w:color w:val="000000"/>
                <w:sz w:val="22"/>
              </w:rPr>
              <w:t>0.</w:t>
            </w:r>
            <w:r>
              <w:rPr>
                <w:color w:val="000000"/>
                <w:sz w:val="22"/>
              </w:rPr>
              <w:t>31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Default="00D2257E" w:rsidP="00AB3F7C">
            <w:pPr>
              <w:spacing w:line="480" w:lineRule="auto"/>
            </w:pPr>
            <w:r>
              <w:t>Grocery shopping</w:t>
            </w:r>
          </w:p>
        </w:tc>
        <w:tc>
          <w:tcPr>
            <w:tcW w:w="2271" w:type="dxa"/>
            <w:noWrap/>
          </w:tcPr>
          <w:p w:rsidR="00D2257E" w:rsidRPr="00B978E3" w:rsidRDefault="00D2257E" w:rsidP="00AB3F7C">
            <w:pPr>
              <w:spacing w:line="480" w:lineRule="auto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Other or assisted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1.021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-1.261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2.741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 w:rsidRPr="00B61B00">
              <w:rPr>
                <w:sz w:val="22"/>
              </w:rPr>
              <w:t>0.</w:t>
            </w:r>
            <w:r>
              <w:rPr>
                <w:sz w:val="22"/>
              </w:rPr>
              <w:t>2</w:t>
            </w:r>
            <w:r w:rsidRPr="00B61B00">
              <w:rPr>
                <w:sz w:val="22"/>
              </w:rPr>
              <w:t>4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</w:tcPr>
          <w:p w:rsidR="00D2257E" w:rsidRDefault="00D2257E" w:rsidP="00AB3F7C">
            <w:pPr>
              <w:spacing w:line="480" w:lineRule="auto"/>
            </w:pPr>
            <w:r>
              <w:t>Age</w:t>
            </w:r>
          </w:p>
        </w:tc>
        <w:tc>
          <w:tcPr>
            <w:tcW w:w="2271" w:type="dxa"/>
            <w:noWrap/>
          </w:tcPr>
          <w:p w:rsidR="00D2257E" w:rsidRPr="00B978E3" w:rsidRDefault="00D2257E" w:rsidP="00AB3F7C">
            <w:pPr>
              <w:spacing w:line="480" w:lineRule="auto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Years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-0.38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0.773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-1.895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-0.047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</w:tr>
      <w:tr w:rsidR="00D2257E" w:rsidRPr="002765BB" w:rsidTr="00AB3F7C">
        <w:trPr>
          <w:trHeight w:val="288"/>
        </w:trPr>
        <w:tc>
          <w:tcPr>
            <w:tcW w:w="1982" w:type="dxa"/>
            <w:tcBorders>
              <w:bottom w:val="single" w:sz="4" w:space="0" w:color="auto"/>
            </w:tcBorders>
          </w:tcPr>
          <w:p w:rsidR="00D2257E" w:rsidRPr="002765BB" w:rsidRDefault="00D2257E" w:rsidP="00AB3F7C">
            <w:pPr>
              <w:spacing w:before="100" w:beforeAutospacing="1" w:line="480" w:lineRule="auto"/>
              <w:jc w:val="both"/>
            </w:pPr>
            <w:r w:rsidRPr="002765BB">
              <w:t xml:space="preserve">BMI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noWrap/>
          </w:tcPr>
          <w:p w:rsidR="00D2257E" w:rsidRPr="00B978E3" w:rsidRDefault="00D2257E" w:rsidP="00AB3F7C">
            <w:pPr>
              <w:spacing w:before="100" w:beforeAutospacing="1" w:line="480" w:lineRule="auto"/>
              <w:jc w:val="both"/>
              <w:rPr>
                <w:sz w:val="22"/>
                <w:szCs w:val="24"/>
              </w:rPr>
            </w:pPr>
            <w:r w:rsidRPr="00B978E3">
              <w:rPr>
                <w:sz w:val="22"/>
                <w:szCs w:val="24"/>
              </w:rPr>
              <w:t>Kg/m</w:t>
            </w:r>
            <w:r w:rsidRPr="005908C0">
              <w:rPr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-0.58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0.768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-2.085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0.925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-0.086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noWrap/>
            <w:vAlign w:val="bottom"/>
          </w:tcPr>
          <w:p w:rsidR="00D2257E" w:rsidRPr="00B61B00" w:rsidRDefault="00D2257E" w:rsidP="00AB3F7C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61B00">
              <w:rPr>
                <w:color w:val="000000"/>
                <w:sz w:val="22"/>
              </w:rPr>
              <w:t>0.1</w:t>
            </w:r>
            <w:r>
              <w:rPr>
                <w:color w:val="000000"/>
                <w:sz w:val="22"/>
              </w:rPr>
              <w:t>5</w:t>
            </w:r>
          </w:p>
        </w:tc>
      </w:tr>
    </w:tbl>
    <w:p w:rsidR="00D2257E" w:rsidRDefault="00D2257E" w:rsidP="00D2257E">
      <w:pPr>
        <w:spacing w:after="0" w:line="240" w:lineRule="auto"/>
        <w:jc w:val="both"/>
        <w:rPr>
          <w:sz w:val="16"/>
          <w:szCs w:val="16"/>
        </w:rPr>
      </w:pPr>
      <w:r w:rsidRPr="005908C0">
        <w:rPr>
          <w:sz w:val="16"/>
          <w:szCs w:val="16"/>
        </w:rPr>
        <w:t>PASE, physical activity scale for the elderly;</w:t>
      </w:r>
      <w:r w:rsidRPr="005908C0">
        <w:t xml:space="preserve"> </w:t>
      </w:r>
      <w:r w:rsidRPr="005908C0">
        <w:rPr>
          <w:sz w:val="16"/>
          <w:szCs w:val="16"/>
        </w:rPr>
        <w:t xml:space="preserve">BMI, body mass index; </w:t>
      </w:r>
      <w:r w:rsidRPr="002765BB">
        <w:rPr>
          <w:sz w:val="16"/>
          <w:szCs w:val="16"/>
        </w:rPr>
        <w:t xml:space="preserve">Model-averaged generalized linear model estimates (Est.) along with their SE and lower to upper 95% confidence interval (LCI to UCI), and their relative importance (RI). The estimate with shrinkage is also given. Subscripts denote the contrast category for categorical predictors. </w:t>
      </w:r>
    </w:p>
    <w:p w:rsidR="00D2257E" w:rsidRDefault="00D2257E" w:rsidP="00D2257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0F38E6">
        <w:rPr>
          <w:sz w:val="16"/>
          <w:szCs w:val="16"/>
        </w:rPr>
        <w:t xml:space="preserve"> </w:t>
      </w:r>
      <w:r>
        <w:rPr>
          <w:sz w:val="16"/>
          <w:szCs w:val="16"/>
        </w:rPr>
        <w:t>Income source was u</w:t>
      </w:r>
      <w:r w:rsidRPr="002765BB">
        <w:rPr>
          <w:sz w:val="16"/>
          <w:szCs w:val="16"/>
        </w:rPr>
        <w:t xml:space="preserve">sed as a proxy of income </w:t>
      </w:r>
      <w:r>
        <w:rPr>
          <w:sz w:val="16"/>
          <w:szCs w:val="16"/>
        </w:rPr>
        <w:t>assuming that</w:t>
      </w:r>
      <w:r w:rsidRPr="002765BB">
        <w:rPr>
          <w:sz w:val="16"/>
          <w:szCs w:val="16"/>
        </w:rPr>
        <w:t xml:space="preserve"> </w:t>
      </w:r>
      <w:r>
        <w:rPr>
          <w:sz w:val="16"/>
          <w:szCs w:val="16"/>
        </w:rPr>
        <w:t>“</w:t>
      </w:r>
      <w:r w:rsidRPr="002765BB">
        <w:rPr>
          <w:sz w:val="16"/>
          <w:szCs w:val="16"/>
        </w:rPr>
        <w:t>others</w:t>
      </w:r>
      <w:r>
        <w:rPr>
          <w:sz w:val="16"/>
          <w:szCs w:val="16"/>
        </w:rPr>
        <w:t>”</w:t>
      </w:r>
      <w:r w:rsidRPr="002765BB">
        <w:rPr>
          <w:sz w:val="16"/>
          <w:szCs w:val="16"/>
        </w:rPr>
        <w:t xml:space="preserve"> have higher income than </w:t>
      </w:r>
      <w:r>
        <w:rPr>
          <w:sz w:val="16"/>
          <w:szCs w:val="16"/>
        </w:rPr>
        <w:t>“</w:t>
      </w:r>
      <w:r w:rsidRPr="002765BB">
        <w:rPr>
          <w:sz w:val="16"/>
          <w:szCs w:val="16"/>
        </w:rPr>
        <w:t>pensioners only</w:t>
      </w:r>
      <w:r>
        <w:rPr>
          <w:sz w:val="16"/>
          <w:szCs w:val="16"/>
        </w:rPr>
        <w:t xml:space="preserve">”. </w:t>
      </w:r>
    </w:p>
    <w:p w:rsidR="00D2257E" w:rsidRDefault="00D2257E" w:rsidP="00D2257E">
      <w:pPr>
        <w:spacing w:after="0" w:line="240" w:lineRule="auto"/>
        <w:jc w:val="both"/>
        <w:rPr>
          <w:sz w:val="16"/>
          <w:szCs w:val="16"/>
        </w:rPr>
      </w:pPr>
      <w:r w:rsidRPr="00D00191">
        <w:rPr>
          <w:sz w:val="16"/>
          <w:szCs w:val="16"/>
        </w:rPr>
        <w:t>†</w:t>
      </w:r>
      <w:r w:rsidRPr="002765BB">
        <w:rPr>
          <w:sz w:val="16"/>
          <w:szCs w:val="16"/>
        </w:rPr>
        <w:t xml:space="preserve"> Includes repatriation pension, veteran’s pension, superannuation or other private income, own business/farm/partnership, wage or salary, other or a</w:t>
      </w:r>
      <w:r>
        <w:rPr>
          <w:sz w:val="16"/>
          <w:szCs w:val="16"/>
        </w:rPr>
        <w:t>ny income source combination</w:t>
      </w:r>
    </w:p>
    <w:p w:rsidR="00D2257E" w:rsidRDefault="00D2257E" w:rsidP="00D2257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Education, income, smoking status and PASE had a RI = 1 which indicates that these predictors appear in all top models and therefore are associated with DGI score and therefore adherence to Australian dietary guidelines.</w:t>
      </w:r>
    </w:p>
    <w:p w:rsidR="00D2257E" w:rsidRDefault="00D2257E" w:rsidP="00D2257E">
      <w:pPr>
        <w:tabs>
          <w:tab w:val="left" w:pos="1127"/>
        </w:tabs>
        <w:spacing w:line="240" w:lineRule="auto"/>
        <w:rPr>
          <w:sz w:val="16"/>
          <w:szCs w:val="16"/>
        </w:rPr>
      </w:pPr>
    </w:p>
    <w:p w:rsidR="000E1309" w:rsidRDefault="000E1309">
      <w:bookmarkStart w:id="0" w:name="_GoBack"/>
      <w:bookmarkEnd w:id="0"/>
    </w:p>
    <w:sectPr w:rsidR="000E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E"/>
    <w:rsid w:val="000E1309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897A-F046-412F-B4E7-482009F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257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57E"/>
    <w:pPr>
      <w:spacing w:after="0" w:line="240" w:lineRule="auto"/>
    </w:pPr>
    <w:rPr>
      <w:rFonts w:eastAsia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Waern</dc:creator>
  <cp:keywords/>
  <dc:description/>
  <cp:lastModifiedBy>Rosilene Waern</cp:lastModifiedBy>
  <cp:revision>1</cp:revision>
  <dcterms:created xsi:type="dcterms:W3CDTF">2017-05-05T04:25:00Z</dcterms:created>
  <dcterms:modified xsi:type="dcterms:W3CDTF">2017-05-05T04:26:00Z</dcterms:modified>
</cp:coreProperties>
</file>