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84A" w:rsidRPr="00CB091A" w:rsidRDefault="0037484A" w:rsidP="0037484A">
      <w:pPr>
        <w:rPr>
          <w:sz w:val="28"/>
        </w:rPr>
      </w:pPr>
      <w:r w:rsidRPr="00D96E11">
        <w:rPr>
          <w:b/>
          <w:sz w:val="28"/>
        </w:rPr>
        <w:t xml:space="preserve">SUPPLEMENTARY </w:t>
      </w:r>
      <w:r>
        <w:rPr>
          <w:b/>
          <w:sz w:val="28"/>
        </w:rPr>
        <w:t>MATERIAL</w:t>
      </w:r>
    </w:p>
    <w:p w:rsidR="0037484A" w:rsidRPr="00CB091A" w:rsidRDefault="0037484A" w:rsidP="0037484A">
      <w:pPr>
        <w:rPr>
          <w:sz w:val="28"/>
        </w:rPr>
      </w:pPr>
      <w:r>
        <w:rPr>
          <w:b/>
          <w:sz w:val="28"/>
        </w:rPr>
        <w:t>METHODS</w:t>
      </w:r>
    </w:p>
    <w:p w:rsidR="0037484A" w:rsidRPr="00731276" w:rsidRDefault="0037484A" w:rsidP="0037484A">
      <w:pPr>
        <w:pStyle w:val="Heading3"/>
        <w:rPr>
          <w:color w:val="000000" w:themeColor="text1"/>
        </w:rPr>
      </w:pPr>
      <w:r>
        <w:rPr>
          <w:color w:val="000000" w:themeColor="text1"/>
        </w:rPr>
        <w:t>Plasma endocannabinoids analysis</w:t>
      </w:r>
    </w:p>
    <w:p w:rsidR="0037484A" w:rsidRDefault="0037484A" w:rsidP="0037484A">
      <w:pPr>
        <w:ind w:firstLine="720"/>
        <w:rPr>
          <w:color w:val="000000" w:themeColor="text1"/>
        </w:rPr>
      </w:pPr>
      <w:r w:rsidRPr="004D041F">
        <w:rPr>
          <w:color w:val="000000" w:themeColor="text1"/>
        </w:rPr>
        <w:t>The AEA and 2-AG were quantitated by UPLC-MS/MS after protein precipitation and solid-phase extraction using the Ostro matrix (Waters Corp, Milford</w:t>
      </w:r>
      <w:r>
        <w:rPr>
          <w:color w:val="000000" w:themeColor="text1"/>
        </w:rPr>
        <w:t>,</w:t>
      </w:r>
      <w:r w:rsidRPr="004D041F">
        <w:rPr>
          <w:color w:val="000000" w:themeColor="text1"/>
        </w:rPr>
        <w:t xml:space="preserve"> MA).  Briefly, 200 </w:t>
      </w:r>
      <w:r>
        <w:rPr>
          <w:rFonts w:cs="Times New Roman"/>
          <w:color w:val="000000" w:themeColor="text1"/>
        </w:rPr>
        <w:t>µ</w:t>
      </w:r>
      <w:r>
        <w:rPr>
          <w:color w:val="000000" w:themeColor="text1"/>
        </w:rPr>
        <w:t>L</w:t>
      </w:r>
      <w:r w:rsidRPr="004D041F">
        <w:rPr>
          <w:color w:val="000000" w:themeColor="text1"/>
        </w:rPr>
        <w:t xml:space="preserve"> plasma was placed in wells of an Ostro 96-well plate and three volumes of acidified acetonitrile (1% formic acid) with internal standards, D4-AEA and D</w:t>
      </w:r>
      <w:r>
        <w:rPr>
          <w:color w:val="000000" w:themeColor="text1"/>
        </w:rPr>
        <w:t xml:space="preserve">5-2-AG </w:t>
      </w:r>
      <w:r w:rsidRPr="004D041F">
        <w:rPr>
          <w:color w:val="000000" w:themeColor="text1"/>
        </w:rPr>
        <w:t>was added.  Samples were triturated and incubated at least two minutes at room temperature before being pushed through the plate using a Waters positive pressure manifold</w:t>
      </w:r>
      <w:r>
        <w:rPr>
          <w:color w:val="000000" w:themeColor="text1"/>
        </w:rPr>
        <w:t xml:space="preserve"> (</w:t>
      </w:r>
      <w:r w:rsidRPr="004D041F">
        <w:rPr>
          <w:color w:val="000000" w:themeColor="text1"/>
        </w:rPr>
        <w:t>Waters Corp, Milford</w:t>
      </w:r>
      <w:r>
        <w:rPr>
          <w:color w:val="000000" w:themeColor="text1"/>
        </w:rPr>
        <w:t>,</w:t>
      </w:r>
      <w:r w:rsidRPr="004D041F">
        <w:rPr>
          <w:color w:val="000000" w:themeColor="text1"/>
        </w:rPr>
        <w:t xml:space="preserve"> MA).  Samples were dried under a stream of nitrogen at 42 </w:t>
      </w:r>
      <w:r>
        <w:rPr>
          <w:rFonts w:cs="Times New Roman"/>
          <w:color w:val="000000" w:themeColor="text1"/>
        </w:rPr>
        <w:t>°</w:t>
      </w:r>
      <w:r w:rsidRPr="004D041F">
        <w:rPr>
          <w:color w:val="000000" w:themeColor="text1"/>
        </w:rPr>
        <w:t>C and then re</w:t>
      </w:r>
      <w:r>
        <w:rPr>
          <w:color w:val="000000" w:themeColor="text1"/>
        </w:rPr>
        <w:t>-</w:t>
      </w:r>
      <w:r w:rsidRPr="004D041F">
        <w:rPr>
          <w:color w:val="000000" w:themeColor="text1"/>
        </w:rPr>
        <w:t xml:space="preserve">suspended in 100 </w:t>
      </w:r>
      <w:r>
        <w:rPr>
          <w:rFonts w:cs="Times New Roman"/>
          <w:color w:val="000000" w:themeColor="text1"/>
        </w:rPr>
        <w:t>µ</w:t>
      </w:r>
      <w:r>
        <w:rPr>
          <w:color w:val="000000" w:themeColor="text1"/>
        </w:rPr>
        <w:t xml:space="preserve">L </w:t>
      </w:r>
      <w:r w:rsidRPr="004D041F">
        <w:rPr>
          <w:color w:val="000000" w:themeColor="text1"/>
        </w:rPr>
        <w:t xml:space="preserve">acetonitrile with 0.2% acetic acid and 0.1 mM ammonium acetate.  </w:t>
      </w:r>
    </w:p>
    <w:p w:rsidR="0037484A" w:rsidRDefault="0037484A" w:rsidP="0037484A">
      <w:pPr>
        <w:ind w:firstLine="720"/>
        <w:rPr>
          <w:color w:val="000000" w:themeColor="text1"/>
        </w:rPr>
      </w:pPr>
      <w:r w:rsidRPr="004D041F">
        <w:rPr>
          <w:color w:val="000000" w:themeColor="text1"/>
        </w:rPr>
        <w:t>Samples were then analyze</w:t>
      </w:r>
      <w:r>
        <w:rPr>
          <w:color w:val="000000" w:themeColor="text1"/>
        </w:rPr>
        <w:t xml:space="preserve">d by triplicate injection (7.5 </w:t>
      </w:r>
      <w:r>
        <w:rPr>
          <w:rFonts w:cs="Times New Roman"/>
          <w:color w:val="000000" w:themeColor="text1"/>
        </w:rPr>
        <w:t>µ</w:t>
      </w:r>
      <w:r>
        <w:rPr>
          <w:color w:val="000000" w:themeColor="text1"/>
        </w:rPr>
        <w:t>L</w:t>
      </w:r>
      <w:r w:rsidRPr="004D041F">
        <w:rPr>
          <w:color w:val="000000" w:themeColor="text1"/>
        </w:rPr>
        <w:t xml:space="preserve">) onto a 2.1 x 100 mM Kinetex XB C18 column packed with 1.7 </w:t>
      </w:r>
      <w:r>
        <w:rPr>
          <w:rFonts w:cs="Times New Roman"/>
          <w:color w:val="000000" w:themeColor="text1"/>
        </w:rPr>
        <w:t>µ</w:t>
      </w:r>
      <w:r w:rsidRPr="004D041F">
        <w:rPr>
          <w:color w:val="000000" w:themeColor="text1"/>
        </w:rPr>
        <w:t>m particles and equipped with a guard column (Phenomenex, Torrance</w:t>
      </w:r>
      <w:r>
        <w:rPr>
          <w:color w:val="000000" w:themeColor="text1"/>
        </w:rPr>
        <w:t>,</w:t>
      </w:r>
      <w:r w:rsidRPr="004D041F">
        <w:rPr>
          <w:color w:val="000000" w:themeColor="text1"/>
        </w:rPr>
        <w:t xml:space="preserve"> CA) using a Waters Acquity UPLC system</w:t>
      </w:r>
      <w:r>
        <w:rPr>
          <w:color w:val="000000" w:themeColor="text1"/>
        </w:rPr>
        <w:t xml:space="preserve"> (</w:t>
      </w:r>
      <w:r w:rsidRPr="004D041F">
        <w:rPr>
          <w:color w:val="000000" w:themeColor="text1"/>
        </w:rPr>
        <w:t>Waters Corp, Milford</w:t>
      </w:r>
      <w:r>
        <w:rPr>
          <w:color w:val="000000" w:themeColor="text1"/>
        </w:rPr>
        <w:t>,</w:t>
      </w:r>
      <w:r w:rsidRPr="004D041F">
        <w:rPr>
          <w:color w:val="000000" w:themeColor="text1"/>
        </w:rPr>
        <w:t xml:space="preserve"> MA).  Analytes were eluted from the column using a gradient method with the A solvent being water with 0.2% acetic acid and solvent B being acetonitrile with 0.2% acetic acid.  From time 0 to 3.5 minutes the gradient increased from 70% to 75% B. At 3.6 minutes the gradient increased to 95% B and was held there until 4.8 minutes.  The gradient was then returned to 70% B at 5 minutes and held there </w:t>
      </w:r>
      <w:r>
        <w:rPr>
          <w:color w:val="000000" w:themeColor="text1"/>
        </w:rPr>
        <w:t>for one minute.  The column elu</w:t>
      </w:r>
      <w:r w:rsidRPr="004D041F">
        <w:rPr>
          <w:color w:val="000000" w:themeColor="text1"/>
        </w:rPr>
        <w:t>ate was introduced into an AB/Sciex Q-Trap 5500 triple quadrupole mass spectrometer (SCIEX, Framingham</w:t>
      </w:r>
      <w:r>
        <w:rPr>
          <w:color w:val="000000" w:themeColor="text1"/>
        </w:rPr>
        <w:t>,</w:t>
      </w:r>
      <w:r w:rsidRPr="004D041F">
        <w:rPr>
          <w:color w:val="000000" w:themeColor="text1"/>
        </w:rPr>
        <w:t xml:space="preserve"> MA).  Analytes and standards were monitored using a two-period MRM, positive ion mode analysis in which the first two minutes of </w:t>
      </w:r>
      <w:r w:rsidRPr="004D041F">
        <w:rPr>
          <w:color w:val="000000" w:themeColor="text1"/>
        </w:rPr>
        <w:lastRenderedPageBreak/>
        <w:t xml:space="preserve">the gradient were diverted to waste.  From time 0 to 3 minutes the AEA compounds were monitored using three transitions each (analyte parent 348:products 287, 245 and 62; ISTD parent 352:products 287, 245, 66).  During this analysis the declustering potential was 46 V, the ion spray voltage was 3500 V, and the temperature was 500 </w:t>
      </w:r>
      <w:r>
        <w:rPr>
          <w:rFonts w:cs="Times New Roman"/>
          <w:color w:val="000000" w:themeColor="text1"/>
        </w:rPr>
        <w:t>°</w:t>
      </w:r>
      <w:r w:rsidRPr="004D041F">
        <w:rPr>
          <w:color w:val="000000" w:themeColor="text1"/>
        </w:rPr>
        <w:t xml:space="preserve">C.  From time 3 to 6 minutes the 2-AG compounds were monitored with three transitions (analyte parent 379:products 287, 269, 203; ISTD parent 384:products 287, 269, 203).  During this time the declustering potential was 75 V, the ion spray voltage was 4000 and the temperature was 650 </w:t>
      </w:r>
      <w:r>
        <w:rPr>
          <w:rFonts w:cs="Times New Roman"/>
          <w:color w:val="000000" w:themeColor="text1"/>
        </w:rPr>
        <w:t>°</w:t>
      </w:r>
      <w:r w:rsidRPr="004D041F">
        <w:rPr>
          <w:color w:val="000000" w:themeColor="text1"/>
        </w:rPr>
        <w:t>C.  Data from the runs were processed using the MultiQuant analysis software (SCIEX, Framingham</w:t>
      </w:r>
      <w:r>
        <w:rPr>
          <w:color w:val="000000" w:themeColor="text1"/>
        </w:rPr>
        <w:t>,</w:t>
      </w:r>
      <w:r w:rsidRPr="004D041F">
        <w:rPr>
          <w:color w:val="000000" w:themeColor="text1"/>
        </w:rPr>
        <w:t xml:space="preserve"> MA).  A calibration curve of standards diluted in water (0.3 to 60 nM) in the Ostro plate and processed in parallel with samples was used to determine analyte concentrations in subject plasma. Area under the curve of analytes relative to internal standards was used to construct the calibration curve using a quadratic model with 1/x weighting. Points showing greater than 15% variation in accuracy were eliminated from the calibration curve.  As an additional control for assay performance high (30 nM 2-AG; 8 nM AEA), mid (8 nM </w:t>
      </w:r>
      <w:r>
        <w:rPr>
          <w:color w:val="000000" w:themeColor="text1"/>
        </w:rPr>
        <w:t>2-</w:t>
      </w:r>
      <w:r w:rsidRPr="004D041F">
        <w:rPr>
          <w:color w:val="000000" w:themeColor="text1"/>
        </w:rPr>
        <w:t>AG; 1 nM AEA) and low-concentration (1 nM 2-AG; 0.3 nM AEA) quality control samples diluted in water and processed in parallel to samples were included in each analysis run.  Failure (QC</w:t>
      </w:r>
      <w:r>
        <w:rPr>
          <w:color w:val="000000" w:themeColor="text1"/>
        </w:rPr>
        <w:t xml:space="preserve"> </w:t>
      </w:r>
      <w:r w:rsidRPr="004D041F">
        <w:rPr>
          <w:color w:val="000000" w:themeColor="text1"/>
        </w:rPr>
        <w:t>&gt;</w:t>
      </w:r>
      <w:r>
        <w:rPr>
          <w:color w:val="000000" w:themeColor="text1"/>
        </w:rPr>
        <w:t xml:space="preserve"> </w:t>
      </w:r>
      <w:r w:rsidRPr="004D041F">
        <w:rPr>
          <w:color w:val="000000" w:themeColor="text1"/>
        </w:rPr>
        <w:t xml:space="preserve">15% different from expected) of more than one in four QC samples was cause for re-analysis.  </w:t>
      </w:r>
    </w:p>
    <w:p w:rsidR="0037484A" w:rsidRPr="00731276" w:rsidRDefault="0037484A" w:rsidP="0037484A">
      <w:pPr>
        <w:pStyle w:val="Heading3"/>
        <w:rPr>
          <w:color w:val="000000" w:themeColor="text1"/>
        </w:rPr>
      </w:pPr>
      <w:r w:rsidRPr="00731276">
        <w:rPr>
          <w:color w:val="000000" w:themeColor="text1"/>
        </w:rPr>
        <w:t>PBMC isolation and mRNA analysis</w:t>
      </w:r>
    </w:p>
    <w:p w:rsidR="0037484A" w:rsidRPr="00731276" w:rsidRDefault="0037484A" w:rsidP="0037484A">
      <w:pPr>
        <w:ind w:firstLine="720"/>
        <w:rPr>
          <w:color w:val="000000" w:themeColor="text1"/>
        </w:rPr>
      </w:pPr>
      <w:r w:rsidRPr="00731276">
        <w:rPr>
          <w:color w:val="000000" w:themeColor="text1"/>
        </w:rPr>
        <w:t>PBMC were isolated from sodium heparin blood by gradient centrifugation using Histopaque</w:t>
      </w:r>
      <w:r w:rsidRPr="00731276">
        <w:rPr>
          <w:color w:val="000000" w:themeColor="text1"/>
          <w:vertAlign w:val="superscript"/>
        </w:rPr>
        <w:t>®</w:t>
      </w:r>
      <w:r w:rsidRPr="00731276">
        <w:rPr>
          <w:color w:val="000000" w:themeColor="text1"/>
        </w:rPr>
        <w:t>-107</w:t>
      </w:r>
      <w:r>
        <w:rPr>
          <w:color w:val="000000" w:themeColor="text1"/>
        </w:rPr>
        <w:t>7</w:t>
      </w:r>
      <w:r w:rsidRPr="00731276">
        <w:rPr>
          <w:color w:val="000000" w:themeColor="text1"/>
        </w:rPr>
        <w:t>, following the manufacturer’s instruction with minor modifications. Briefly, 20 mL blood was diluted with 15 mL isotonic, sterile, pyrogen-free PBS and then carefully loaded onto 15 mL Histopaque</w:t>
      </w:r>
      <w:r w:rsidRPr="00731276">
        <w:rPr>
          <w:color w:val="000000" w:themeColor="text1"/>
          <w:vertAlign w:val="superscript"/>
        </w:rPr>
        <w:t>®</w:t>
      </w:r>
      <w:r w:rsidRPr="00731276">
        <w:rPr>
          <w:color w:val="000000" w:themeColor="text1"/>
        </w:rPr>
        <w:t xml:space="preserve">-1077 in a clear, 50 mL centrifuge tube. After centrifugation at 400 </w:t>
      </w:r>
      <w:r w:rsidRPr="00731276">
        <w:rPr>
          <w:rFonts w:cs="Times New Roman"/>
          <w:color w:val="000000" w:themeColor="text1"/>
        </w:rPr>
        <w:t>×</w:t>
      </w:r>
      <w:r w:rsidRPr="00731276">
        <w:rPr>
          <w:color w:val="000000" w:themeColor="text1"/>
        </w:rPr>
        <w:t xml:space="preserve"> g for 30 min at room temperature, the interface layer containing mononuclear cells was </w:t>
      </w:r>
      <w:r w:rsidRPr="00731276">
        <w:rPr>
          <w:color w:val="000000" w:themeColor="text1"/>
        </w:rPr>
        <w:lastRenderedPageBreak/>
        <w:t xml:space="preserve">collected and washed twice with PBS. Cell number was then determined on a TC10™ automated cell counter (Bio-Rad, Hercules, CA) and around 1 </w:t>
      </w:r>
      <w:r w:rsidRPr="00731276">
        <w:rPr>
          <w:rFonts w:cs="Times New Roman"/>
          <w:color w:val="000000" w:themeColor="text1"/>
        </w:rPr>
        <w:t>×</w:t>
      </w:r>
      <w:r w:rsidRPr="00731276">
        <w:rPr>
          <w:color w:val="000000" w:themeColor="text1"/>
        </w:rPr>
        <w:t xml:space="preserve"> 10</w:t>
      </w:r>
      <w:r w:rsidRPr="00731276">
        <w:rPr>
          <w:color w:val="000000" w:themeColor="text1"/>
          <w:vertAlign w:val="superscript"/>
        </w:rPr>
        <w:t>6</w:t>
      </w:r>
      <w:r w:rsidRPr="00731276">
        <w:rPr>
          <w:color w:val="000000" w:themeColor="text1"/>
        </w:rPr>
        <w:t xml:space="preserve"> cells were transferred to a new centrifuge tube and pelleted at 250 </w:t>
      </w:r>
      <w:r w:rsidRPr="00731276">
        <w:rPr>
          <w:rFonts w:cs="Times New Roman"/>
          <w:color w:val="000000" w:themeColor="text1"/>
        </w:rPr>
        <w:t>×</w:t>
      </w:r>
      <w:r w:rsidRPr="00731276">
        <w:rPr>
          <w:color w:val="000000" w:themeColor="text1"/>
        </w:rPr>
        <w:t xml:space="preserve"> g for 10 min at room temperature. The pellet </w:t>
      </w:r>
      <w:r>
        <w:rPr>
          <w:color w:val="000000" w:themeColor="text1"/>
        </w:rPr>
        <w:t>was suspended in 1 mL RNAlater</w:t>
      </w:r>
      <w:r w:rsidRPr="00731276">
        <w:rPr>
          <w:color w:val="000000" w:themeColor="text1"/>
        </w:rPr>
        <w:t xml:space="preserve">, mixed well by vortexing, and stored at 4 </w:t>
      </w:r>
      <w:r w:rsidRPr="00731276">
        <w:rPr>
          <w:rFonts w:cs="Times New Roman"/>
          <w:color w:val="000000" w:themeColor="text1"/>
        </w:rPr>
        <w:t>°</w:t>
      </w:r>
      <w:r w:rsidRPr="00731276">
        <w:rPr>
          <w:color w:val="000000" w:themeColor="text1"/>
        </w:rPr>
        <w:t xml:space="preserve">C overnight. The next day, the cells were pelleted at 8000 </w:t>
      </w:r>
      <w:r w:rsidRPr="00731276">
        <w:rPr>
          <w:rFonts w:cs="Times New Roman"/>
          <w:color w:val="000000" w:themeColor="text1"/>
        </w:rPr>
        <w:t xml:space="preserve">× </w:t>
      </w:r>
      <w:r w:rsidRPr="00731276">
        <w:rPr>
          <w:color w:val="000000" w:themeColor="text1"/>
        </w:rPr>
        <w:t xml:space="preserve">g for 5 min at 4 </w:t>
      </w:r>
      <w:r w:rsidRPr="00731276">
        <w:rPr>
          <w:rFonts w:cs="Times New Roman"/>
          <w:color w:val="000000" w:themeColor="text1"/>
        </w:rPr>
        <w:t>°</w:t>
      </w:r>
      <w:r w:rsidRPr="00731276">
        <w:rPr>
          <w:color w:val="000000" w:themeColor="text1"/>
        </w:rPr>
        <w:t xml:space="preserve">C and stored at -80 </w:t>
      </w:r>
      <w:r w:rsidRPr="00731276">
        <w:rPr>
          <w:rFonts w:cs="Times New Roman"/>
          <w:color w:val="000000" w:themeColor="text1"/>
        </w:rPr>
        <w:t>°</w:t>
      </w:r>
      <w:r w:rsidRPr="00731276">
        <w:rPr>
          <w:color w:val="000000" w:themeColor="text1"/>
        </w:rPr>
        <w:t>C until RNA extraction.</w:t>
      </w:r>
    </w:p>
    <w:p w:rsidR="0037484A" w:rsidRPr="00731276" w:rsidRDefault="0037484A" w:rsidP="0037484A">
      <w:pPr>
        <w:rPr>
          <w:color w:val="000000" w:themeColor="text1"/>
        </w:rPr>
      </w:pPr>
      <w:r w:rsidRPr="00731276">
        <w:rPr>
          <w:color w:val="000000" w:themeColor="text1"/>
        </w:rPr>
        <w:tab/>
        <w:t>RNA w</w:t>
      </w:r>
      <w:r>
        <w:rPr>
          <w:color w:val="000000" w:themeColor="text1"/>
        </w:rPr>
        <w:t>as extracted by TRIzol reagent</w:t>
      </w:r>
      <w:r w:rsidRPr="00731276">
        <w:rPr>
          <w:color w:val="000000" w:themeColor="text1"/>
        </w:rPr>
        <w:t xml:space="preserve"> following the manufacturer’s recommended protocol. Briefly, cells were homogenized by pipetting up and down</w:t>
      </w:r>
      <w:r>
        <w:rPr>
          <w:color w:val="000000" w:themeColor="text1"/>
        </w:rPr>
        <w:t xml:space="preserve"> in TRIzol reagent. Chloroform</w:t>
      </w:r>
      <w:r w:rsidRPr="00731276">
        <w:rPr>
          <w:color w:val="000000" w:themeColor="text1"/>
        </w:rPr>
        <w:t xml:space="preserve"> was added for phase separation, and aqueous phase was remo</w:t>
      </w:r>
      <w:r>
        <w:rPr>
          <w:color w:val="000000" w:themeColor="text1"/>
        </w:rPr>
        <w:t>ved and mixed with isopropanol</w:t>
      </w:r>
      <w:r w:rsidRPr="00731276">
        <w:rPr>
          <w:color w:val="000000" w:themeColor="text1"/>
        </w:rPr>
        <w:t xml:space="preserve"> to precipitate RNA. RNA was pelleted by centrifug</w:t>
      </w:r>
      <w:r>
        <w:rPr>
          <w:color w:val="000000" w:themeColor="text1"/>
        </w:rPr>
        <w:t>ation, washed with 75% ethanol</w:t>
      </w:r>
      <w:r w:rsidRPr="00731276">
        <w:rPr>
          <w:color w:val="000000" w:themeColor="text1"/>
        </w:rPr>
        <w:t>, and</w:t>
      </w:r>
      <w:r>
        <w:rPr>
          <w:color w:val="000000" w:themeColor="text1"/>
        </w:rPr>
        <w:t xml:space="preserve"> dissolved in RNase-free water</w:t>
      </w:r>
      <w:r w:rsidRPr="00731276">
        <w:rPr>
          <w:color w:val="000000" w:themeColor="text1"/>
        </w:rPr>
        <w:t>. The extracted RNA was further purified using an RNeasy mini kit (Qiagen, Valencia, CA). Briefly, the RNA solution was mixed with the supplied lysis buffer and ethanol, and then loaded onto a column, dig</w:t>
      </w:r>
      <w:r>
        <w:rPr>
          <w:color w:val="000000" w:themeColor="text1"/>
        </w:rPr>
        <w:t>ested with an RNase-free DNase</w:t>
      </w:r>
      <w:r w:rsidRPr="00731276">
        <w:rPr>
          <w:color w:val="000000" w:themeColor="text1"/>
        </w:rPr>
        <w:t xml:space="preserve"> and RNA was eluted with RNase-free water. RNA concentration was then determined by fluorometric quantitation on </w:t>
      </w:r>
      <w:r>
        <w:rPr>
          <w:color w:val="000000" w:themeColor="text1"/>
        </w:rPr>
        <w:t>the</w:t>
      </w:r>
      <w:r w:rsidRPr="00731276">
        <w:rPr>
          <w:color w:val="000000" w:themeColor="text1"/>
        </w:rPr>
        <w:t xml:space="preserve"> Qubit (Life Technologies, Carlsbad, CA). Then, cDNA was synthesized from 1 </w:t>
      </w:r>
      <w:r w:rsidRPr="00731276">
        <w:rPr>
          <w:rFonts w:cs="Times New Roman"/>
          <w:color w:val="000000" w:themeColor="text1"/>
        </w:rPr>
        <w:t>μ</w:t>
      </w:r>
      <w:r w:rsidRPr="00731276">
        <w:rPr>
          <w:color w:val="000000" w:themeColor="text1"/>
        </w:rPr>
        <w:t xml:space="preserve">g RNA using an iScript™ cDNA synthesis kit (Bio-Rad, Hercules, CA) on a Veriti® thermal cycler (Life Technologies, Carlsbad, CA), resulting in a 20 </w:t>
      </w:r>
      <w:r w:rsidRPr="00731276">
        <w:rPr>
          <w:rFonts w:cs="Times New Roman"/>
          <w:color w:val="000000" w:themeColor="text1"/>
        </w:rPr>
        <w:t>μ</w:t>
      </w:r>
      <w:r w:rsidRPr="00731276">
        <w:rPr>
          <w:color w:val="000000" w:themeColor="text1"/>
        </w:rPr>
        <w:t xml:space="preserve">L reaction volume. Then, 5 </w:t>
      </w:r>
      <w:r w:rsidRPr="00731276">
        <w:rPr>
          <w:rFonts w:cs="Times New Roman"/>
          <w:color w:val="000000" w:themeColor="text1"/>
        </w:rPr>
        <w:t>μ</w:t>
      </w:r>
      <w:r w:rsidRPr="00731276">
        <w:rPr>
          <w:color w:val="000000" w:themeColor="text1"/>
        </w:rPr>
        <w:t>L of the newly synthesized cDNA product was pooled for preparation of a standard curve.</w:t>
      </w:r>
    </w:p>
    <w:p w:rsidR="0037484A" w:rsidRDefault="0037484A" w:rsidP="0037484A">
      <w:pPr>
        <w:rPr>
          <w:color w:val="000000" w:themeColor="text1"/>
        </w:rPr>
      </w:pPr>
      <w:r w:rsidRPr="00731276">
        <w:rPr>
          <w:color w:val="000000" w:themeColor="text1"/>
        </w:rPr>
        <w:tab/>
        <w:t>Reverse transcription quantitative PCR (RT-qPCR) was performed using the iTaq™ Universal SYBR® Green Supermix (Bio-Rad, Hercules, CA), on a Bio-Rad CFX96 system (Bio-Rad, Hercules, CA), following the manufacture’s protocol. To prevent amplification of genomic DNA, specific primers were designed by the NCBI primer design tool to span an intron-</w:t>
      </w:r>
      <w:r w:rsidRPr="00731276">
        <w:rPr>
          <w:color w:val="000000" w:themeColor="text1"/>
        </w:rPr>
        <w:lastRenderedPageBreak/>
        <w:t>exon boundary of genes (</w:t>
      </w:r>
      <w:hyperlink r:id="rId6" w:history="1">
        <w:r w:rsidRPr="00731276">
          <w:rPr>
            <w:rStyle w:val="Hyperlink"/>
            <w:color w:val="000000" w:themeColor="text1"/>
          </w:rPr>
          <w:t>http://www.ncbi.nlm.nih.gov/tools/primer-blast/index.cgi?LINK_LOC=BlastHome</w:t>
        </w:r>
      </w:hyperlink>
      <w:r w:rsidRPr="00731276">
        <w:rPr>
          <w:color w:val="000000" w:themeColor="text1"/>
        </w:rPr>
        <w:t xml:space="preserve">) </w:t>
      </w:r>
      <w:r w:rsidRPr="00731276">
        <w:rPr>
          <w:color w:val="000000" w:themeColor="text1"/>
        </w:rPr>
        <w:fldChar w:fldCharType="begin"/>
      </w:r>
      <w:r>
        <w:rPr>
          <w:color w:val="000000" w:themeColor="text1"/>
        </w:rPr>
        <w:instrText xml:space="preserve"> ADDIN EN.CITE &lt;EndNote&gt;&lt;Cite&gt;&lt;Author&gt;Altschul&lt;/Author&gt;&lt;Year&gt;1990&lt;/Year&gt;&lt;RecNum&gt;466&lt;/RecNum&gt;&lt;DisplayText&gt;(Altschul, Gish et al. 1990)&lt;/DisplayText&gt;&lt;record&gt;&lt;rec-number&gt;466&lt;/rec-number&gt;&lt;foreign-keys&gt;&lt;key app="EN" db-id="ssrftztvc2xf00eze2nva5edfwatde9v990f" timestamp="1436486926"&gt;466&lt;/key&gt;&lt;/foreign-keys&gt;&lt;ref-type name="Journal Article"&gt;17&lt;/ref-type&gt;&lt;contributors&gt;&lt;authors&gt;&lt;author&gt;Altschul, S. F.&lt;/author&gt;&lt;author&gt;Gish, W.&lt;/author&gt;&lt;author&gt;Miller, W.&lt;/author&gt;&lt;author&gt;Myers, E. W.&lt;/author&gt;&lt;author&gt;Lipman, D. J.&lt;/author&gt;&lt;/authors&gt;&lt;/contributors&gt;&lt;auth-address&gt;National Center for Biotechnology Information, National Library of Medicine, National Institutes of Health, Bethesda, MD 20894.&lt;/auth-address&gt;&lt;titles&gt;&lt;title&gt;Basic local alignment search tool&lt;/title&gt;&lt;secondary-title&gt;Journal of Molecular Biology&lt;/secondary-title&gt;&lt;/titles&gt;&lt;periodical&gt;&lt;full-title&gt;Journal of Molecular Biology&lt;/full-title&gt;&lt;abbr-1&gt;J. Mol. Biol.&lt;/abbr-1&gt;&lt;abbr-2&gt;J Mol Biol&lt;/abbr-2&gt;&lt;/periodical&gt;&lt;pages&gt;403-10&lt;/pages&gt;&lt;volume&gt;215&lt;/volume&gt;&lt;number&gt;3&lt;/number&gt;&lt;keywords&gt;&lt;keyword&gt;Algorithms&lt;/keyword&gt;&lt;keyword&gt;Amino Acid Sequence&lt;/keyword&gt;&lt;keyword&gt;*Base Sequence&lt;/keyword&gt;&lt;keyword&gt;Databases, Factual&lt;/keyword&gt;&lt;keyword&gt;*Mutation&lt;/keyword&gt;&lt;keyword&gt;Sensitivity and Specificity&lt;/keyword&gt;&lt;keyword&gt;Sequence Homology, Nucleic Acid&lt;/keyword&gt;&lt;keyword&gt;*Software&lt;/keyword&gt;&lt;/keywords&gt;&lt;dates&gt;&lt;year&gt;1990&lt;/year&gt;&lt;pub-dates&gt;&lt;date&gt;Oct 5&lt;/date&gt;&lt;/pub-dates&gt;&lt;/dates&gt;&lt;isbn&gt;0022-2836 (Print)&amp;#xD;0022-2836 (Linking)&lt;/isbn&gt;&lt;accession-num&gt;2231712&lt;/accession-num&gt;&lt;urls&gt;&lt;related-urls&gt;&lt;url&gt;http://www.ncbi.nlm.nih.gov/pubmed/2231712&lt;/url&gt;&lt;/related-urls&gt;&lt;/urls&gt;&lt;/record&gt;&lt;/Cite&gt;&lt;/EndNote&gt;</w:instrText>
      </w:r>
      <w:r w:rsidRPr="00731276">
        <w:rPr>
          <w:color w:val="000000" w:themeColor="text1"/>
        </w:rPr>
        <w:fldChar w:fldCharType="separate"/>
      </w:r>
      <w:r>
        <w:rPr>
          <w:noProof/>
          <w:color w:val="000000" w:themeColor="text1"/>
        </w:rPr>
        <w:t>(</w:t>
      </w:r>
      <w:hyperlink w:anchor="_ENREF_1" w:tooltip="Altschul, 1990 #466" w:history="1">
        <w:r>
          <w:rPr>
            <w:noProof/>
            <w:color w:val="000000" w:themeColor="text1"/>
          </w:rPr>
          <w:t>Altschul, Gish et al. 1990</w:t>
        </w:r>
      </w:hyperlink>
      <w:r>
        <w:rPr>
          <w:noProof/>
          <w:color w:val="000000" w:themeColor="text1"/>
        </w:rPr>
        <w:t>)</w:t>
      </w:r>
      <w:r w:rsidRPr="00731276">
        <w:rPr>
          <w:color w:val="000000" w:themeColor="text1"/>
        </w:rPr>
        <w:fldChar w:fldCharType="end"/>
      </w:r>
      <w:r w:rsidRPr="00731276">
        <w:rPr>
          <w:color w:val="000000" w:themeColor="text1"/>
        </w:rPr>
        <w:t xml:space="preserve">. Primers were manufactured by Integrated DNA Technologies (Coralville, IA) at 25 nmol scale. The genes and primer sequences determined by RT-qPCR are listed in </w:t>
      </w:r>
      <w:r w:rsidRPr="007B4427">
        <w:rPr>
          <w:b/>
          <w:color w:val="000000" w:themeColor="text1"/>
        </w:rPr>
        <w:t xml:space="preserve">Supplementary Table </w:t>
      </w:r>
      <w:r w:rsidRPr="00391B44">
        <w:rPr>
          <w:b/>
          <w:color w:val="000000" w:themeColor="text1"/>
        </w:rPr>
        <w:t>S1</w:t>
      </w:r>
      <w:r w:rsidRPr="00731276">
        <w:rPr>
          <w:color w:val="000000" w:themeColor="text1"/>
        </w:rPr>
        <w:t xml:space="preserve">. The controls consisted of </w:t>
      </w:r>
      <w:r w:rsidRPr="00731276">
        <w:rPr>
          <w:i/>
          <w:color w:val="000000" w:themeColor="text1"/>
        </w:rPr>
        <w:t>RNA18S5</w:t>
      </w:r>
      <w:r w:rsidRPr="00731276">
        <w:rPr>
          <w:color w:val="000000" w:themeColor="text1"/>
        </w:rPr>
        <w:t xml:space="preserve"> and </w:t>
      </w:r>
      <w:r w:rsidRPr="00731276">
        <w:rPr>
          <w:i/>
          <w:color w:val="000000" w:themeColor="text1"/>
        </w:rPr>
        <w:t>RPRL0</w:t>
      </w:r>
      <w:r w:rsidRPr="00731276">
        <w:rPr>
          <w:color w:val="000000" w:themeColor="text1"/>
        </w:rPr>
        <w:t xml:space="preserve"> genes that are stably expressed in PBMC </w:t>
      </w:r>
      <w:r w:rsidRPr="00731276">
        <w:rPr>
          <w:color w:val="000000" w:themeColor="text1"/>
        </w:rPr>
        <w:fldChar w:fldCharType="begin">
          <w:fldData xml:space="preserve">PEVuZE5vdGU+PENpdGU+PEF1dGhvcj5EaGVkYTwvQXV0aG9yPjxZZWFyPjIwMDQ8L1llYXI+PFJl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</w:fldData>
        </w:fldChar>
      </w:r>
      <w:r>
        <w:rPr>
          <w:color w:val="000000" w:themeColor="text1"/>
        </w:rPr>
        <w:instrText xml:space="preserve"> ADDIN EN.CITE </w:instrText>
      </w:r>
      <w:r>
        <w:rPr>
          <w:color w:val="000000" w:themeColor="text1"/>
        </w:rPr>
        <w:fldChar w:fldCharType="begin">
          <w:fldData xml:space="preserve">PEVuZE5vdGU+PENpdGU+PEF1dGhvcj5EaGVkYTwvQXV0aG9yPjxZZWFyPjIwMDQ8L1llYXI+PFJl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</w:fldData>
        </w:fldChar>
      </w:r>
      <w:r>
        <w:rPr>
          <w:color w:val="000000" w:themeColor="text1"/>
        </w:rPr>
        <w:instrText xml:space="preserve"> ADDIN EN.CITE.DATA </w:instrText>
      </w:r>
      <w:r>
        <w:rPr>
          <w:color w:val="000000" w:themeColor="text1"/>
        </w:rPr>
      </w:r>
      <w:r>
        <w:rPr>
          <w:color w:val="000000" w:themeColor="text1"/>
        </w:rPr>
        <w:fldChar w:fldCharType="end"/>
      </w:r>
      <w:r w:rsidRPr="00731276">
        <w:rPr>
          <w:color w:val="000000" w:themeColor="text1"/>
        </w:rPr>
      </w:r>
      <w:r w:rsidRPr="00731276">
        <w:rPr>
          <w:color w:val="000000" w:themeColor="text1"/>
        </w:rPr>
        <w:fldChar w:fldCharType="separate"/>
      </w:r>
      <w:r>
        <w:rPr>
          <w:noProof/>
          <w:color w:val="000000" w:themeColor="text1"/>
        </w:rPr>
        <w:t>(</w:t>
      </w:r>
      <w:hyperlink w:anchor="_ENREF_3" w:tooltip="Bas, 2004 #469" w:history="1">
        <w:r>
          <w:rPr>
            <w:noProof/>
            <w:color w:val="000000" w:themeColor="text1"/>
          </w:rPr>
          <w:t>Bas, Forsberg et al. 2004</w:t>
        </w:r>
      </w:hyperlink>
      <w:r>
        <w:rPr>
          <w:noProof/>
          <w:color w:val="000000" w:themeColor="text1"/>
        </w:rPr>
        <w:t xml:space="preserve">, </w:t>
      </w:r>
      <w:hyperlink w:anchor="_ENREF_7" w:tooltip="Dheda, 2004 #468" w:history="1">
        <w:r>
          <w:rPr>
            <w:noProof/>
            <w:color w:val="000000" w:themeColor="text1"/>
          </w:rPr>
          <w:t>Dheda, Huggett et al. 2004</w:t>
        </w:r>
      </w:hyperlink>
      <w:r>
        <w:rPr>
          <w:noProof/>
          <w:color w:val="000000" w:themeColor="text1"/>
        </w:rPr>
        <w:t>)</w:t>
      </w:r>
      <w:r w:rsidRPr="00731276">
        <w:rPr>
          <w:color w:val="000000" w:themeColor="text1"/>
        </w:rPr>
        <w:fldChar w:fldCharType="end"/>
      </w:r>
      <w:r w:rsidRPr="00731276">
        <w:rPr>
          <w:color w:val="000000" w:themeColor="text1"/>
        </w:rPr>
        <w:t xml:space="preserve">. The RT-qPCR reaction volume was 10 μL, consisting of 4 μL of 20-times diluted cDNA and 6 μL of master mix (5 μL of SYBR® Green Supermix; 0.5 μL of each 2.5 μM primer). Each RT-qPCR run included no cDNA and no reverse transcriptase as negative controls. A 6-point standard curve was prepared using the </w:t>
      </w:r>
      <w:r w:rsidRPr="00731276">
        <w:rPr>
          <w:rFonts w:cs="Times New Roman"/>
          <w:color w:val="000000" w:themeColor="text1"/>
        </w:rPr>
        <w:t>4-</w:t>
      </w:r>
      <w:r w:rsidRPr="00731276">
        <w:rPr>
          <w:color w:val="000000" w:themeColor="text1"/>
        </w:rPr>
        <w:t xml:space="preserve">fold serial dilution of the samples cDNA pool and the unknown samples were quantified by the relative standard curve method using Bio-Rad CFX manager 2.1 software (Bio-Rad, Hercules, CA) </w:t>
      </w:r>
      <w:r w:rsidRPr="00731276">
        <w:rPr>
          <w:color w:val="000000" w:themeColor="text1"/>
        </w:rPr>
        <w:fldChar w:fldCharType="begin"/>
      </w:r>
      <w:r>
        <w:rPr>
          <w:color w:val="000000" w:themeColor="text1"/>
        </w:rPr>
        <w:instrText xml:space="preserve"> ADDIN EN.CITE &lt;EndNote&gt;&lt;Cite&gt;&lt;Author&gt;Grala&lt;/Author&gt;&lt;Year&gt;2014&lt;/Year&gt;&lt;RecNum&gt;467&lt;/RecNum&gt;&lt;DisplayText&gt;(Grala, Roche et al. 2014)&lt;/DisplayText&gt;&lt;record&gt;&lt;rec-number&gt;467&lt;/rec-number&gt;&lt;foreign-keys&gt;&lt;key app="EN" db-id="ssrftztvc2xf00eze2nva5edfwatde9v990f" timestamp="1436488399"&gt;467&lt;/key&gt;&lt;/foreign-keys&gt;&lt;ref-type name="Journal Article"&gt;17&lt;/ref-type&gt;&lt;contributors&gt;&lt;authors&gt;&lt;author&gt;Grala, T. M.&lt;/author&gt;&lt;author&gt;Roche, J. R.&lt;/author&gt;&lt;author&gt;Kay, J. K.&lt;/author&gt;&lt;author&gt;Rius, A. G.&lt;/author&gt;&lt;author&gt;White, H. M.&lt;/author&gt;&lt;author&gt;Donkin, S. S.&lt;/author&gt;&lt;author&gt;Littlejohn, M. D.&lt;/author&gt;&lt;author&gt;Snell, R. G.&lt;/author&gt;&lt;author&gt;Phyn, C. V.&lt;/author&gt;&lt;/authors&gt;&lt;/contributors&gt;&lt;auth-address&gt;DairyNZ, Newstead, Hamilton 3286, New Zealand; University of Auckland, Auckland 1010, New Zealand. Electronic address: talia.grala@dairynz.co.nz.&amp;#xD;DairyNZ, Newstead, Hamilton 3286, New Zealand.&amp;#xD;Department of Dairy Science, University of Wisconsin-Madison, Madison 53706.&amp;#xD;Department of Animal Sciences, Purdue University, West Lafayette 47907, IN.&amp;#xD;University of Auckland, Auckland 1010, New Zealand.&lt;/auth-address&gt;&lt;titles&gt;&lt;title&gt;The expression of genes involved in hepatic metabolism is altered by temporary changes to milking frequency&lt;/title&gt;&lt;secondary-title&gt;Journal of Dairy Science&lt;/secondary-title&gt;&lt;/titles&gt;&lt;periodical&gt;&lt;full-title&gt;Journal of Dairy Science&lt;/full-title&gt;&lt;abbr-1&gt;J. Dairy Sci.&lt;/abbr-1&gt;&lt;abbr-2&gt;J Dairy Sci&lt;/abbr-2&gt;&lt;/periodical&gt;&lt;pages&gt;838-50&lt;/pages&gt;&lt;volume&gt;97&lt;/volume&gt;&lt;number&gt;2&lt;/number&gt;&lt;keywords&gt;&lt;keyword&gt;dairy cow&lt;/keyword&gt;&lt;keyword&gt;early lactation&lt;/keyword&gt;&lt;keyword&gt;energy balance&lt;/keyword&gt;&lt;keyword&gt;gene expression&lt;/keyword&gt;&lt;/keywords&gt;&lt;dates&gt;&lt;year&gt;2014&lt;/year&gt;&lt;pub-dates&gt;&lt;date&gt;Feb&lt;/date&gt;&lt;/pub-dates&gt;&lt;/dates&gt;&lt;isbn&gt;1525-3198 (Electronic)&amp;#xD;0022-0302 (Linking)&lt;/isbn&gt;&lt;accession-num&gt;24342696&lt;/accession-num&gt;&lt;urls&gt;&lt;related-urls&gt;&lt;url&gt;http://www.ncbi.nlm.nih.gov/pubmed/24342696&lt;/url&gt;&lt;/related-urls&gt;&lt;/urls&gt;&lt;/record&gt;&lt;/Cite&gt;&lt;/EndNote&gt;</w:instrText>
      </w:r>
      <w:r w:rsidRPr="00731276">
        <w:rPr>
          <w:color w:val="000000" w:themeColor="text1"/>
        </w:rPr>
        <w:fldChar w:fldCharType="separate"/>
      </w:r>
      <w:r>
        <w:rPr>
          <w:noProof/>
          <w:color w:val="000000" w:themeColor="text1"/>
        </w:rPr>
        <w:t>(</w:t>
      </w:r>
      <w:hyperlink w:anchor="_ENREF_11" w:tooltip="Grala, 2014 #467" w:history="1">
        <w:r>
          <w:rPr>
            <w:noProof/>
            <w:color w:val="000000" w:themeColor="text1"/>
          </w:rPr>
          <w:t>Grala, Roche et al. 2014</w:t>
        </w:r>
      </w:hyperlink>
      <w:r>
        <w:rPr>
          <w:noProof/>
          <w:color w:val="000000" w:themeColor="text1"/>
        </w:rPr>
        <w:t>)</w:t>
      </w:r>
      <w:r w:rsidRPr="00731276">
        <w:rPr>
          <w:color w:val="000000" w:themeColor="text1"/>
        </w:rPr>
        <w:fldChar w:fldCharType="end"/>
      </w:r>
      <w:r w:rsidRPr="00731276">
        <w:rPr>
          <w:color w:val="000000" w:themeColor="text1"/>
        </w:rPr>
        <w:t>.</w:t>
      </w:r>
    </w:p>
    <w:p w:rsidR="0037484A" w:rsidRDefault="0037484A" w:rsidP="0037484A">
      <w:pPr>
        <w:tabs>
          <w:tab w:val="left" w:pos="2750"/>
        </w:tabs>
      </w:pPr>
      <w:r>
        <w:tab/>
      </w:r>
    </w:p>
    <w:p w:rsidR="0037484A" w:rsidRPr="00F12AF6" w:rsidRDefault="0037484A" w:rsidP="0037484A">
      <w:pPr>
        <w:tabs>
          <w:tab w:val="left" w:pos="2750"/>
        </w:tabs>
        <w:sectPr w:rsidR="0037484A" w:rsidRPr="00F12AF6" w:rsidSect="00D96E11">
          <w:pgSz w:w="12240" w:h="15840"/>
          <w:pgMar w:top="1440" w:right="1440" w:bottom="1440" w:left="1440" w:header="720" w:footer="288" w:gutter="0"/>
          <w:cols w:space="576"/>
          <w:docGrid w:linePitch="360"/>
        </w:sectPr>
      </w:pPr>
      <w:r>
        <w:tab/>
      </w:r>
    </w:p>
    <w:p w:rsidR="0037484A" w:rsidRPr="0077223E" w:rsidRDefault="0037484A" w:rsidP="0037484A">
      <w:pPr>
        <w:pStyle w:val="Heading2"/>
        <w:rPr>
          <w:b w:val="0"/>
          <w:sz w:val="24"/>
        </w:rPr>
      </w:pPr>
      <w:r w:rsidRPr="00995AEF">
        <w:rPr>
          <w:sz w:val="24"/>
        </w:rPr>
        <w:lastRenderedPageBreak/>
        <w:t>Supplementary Table</w:t>
      </w:r>
      <w:r>
        <w:rPr>
          <w:sz w:val="24"/>
        </w:rPr>
        <w:t xml:space="preserve"> S1</w:t>
      </w:r>
      <w:r w:rsidRPr="00546879">
        <w:rPr>
          <w:sz w:val="24"/>
        </w:rPr>
        <w:t xml:space="preserve"> </w:t>
      </w:r>
      <w:r w:rsidRPr="0077223E">
        <w:rPr>
          <w:b w:val="0"/>
          <w:sz w:val="24"/>
        </w:rPr>
        <w:t>Primer sequences of target and reference PBMC genes.</w:t>
      </w:r>
    </w:p>
    <w:tbl>
      <w:tblPr>
        <w:tblW w:w="12280" w:type="dxa"/>
        <w:tblLook w:val="04A0" w:firstRow="1" w:lastRow="0" w:firstColumn="1" w:lastColumn="0" w:noHBand="0" w:noVBand="1"/>
      </w:tblPr>
      <w:tblGrid>
        <w:gridCol w:w="1556"/>
        <w:gridCol w:w="2212"/>
        <w:gridCol w:w="4256"/>
        <w:gridCol w:w="4256"/>
      </w:tblGrid>
      <w:tr w:rsidR="0037484A" w:rsidRPr="00731276" w:rsidTr="00D567AF">
        <w:trPr>
          <w:trHeight w:val="600"/>
        </w:trPr>
        <w:tc>
          <w:tcPr>
            <w:tcW w:w="1556" w:type="dxa"/>
            <w:tcBorders>
              <w:top w:val="single" w:sz="8" w:space="0" w:color="auto"/>
              <w:left w:val="nil"/>
              <w:bottom w:val="nil"/>
              <w:right w:val="nil"/>
            </w:tcBorders>
            <w:shd w:val="clear" w:color="auto" w:fill="auto"/>
            <w:noWrap/>
            <w:vAlign w:val="bottom"/>
            <w:hideMark/>
          </w:tcPr>
          <w:p w:rsidR="0037484A" w:rsidRPr="00731276" w:rsidRDefault="0037484A" w:rsidP="00D567AF">
            <w:pPr>
              <w:spacing w:before="0" w:beforeAutospacing="0" w:after="0" w:afterAutospacing="0"/>
              <w:jc w:val="center"/>
              <w:rPr>
                <w:rFonts w:eastAsia="Times New Roman" w:cs="Times New Roman"/>
                <w:b/>
                <w:bCs/>
                <w:color w:val="000000" w:themeColor="text1"/>
                <w:sz w:val="22"/>
              </w:rPr>
            </w:pPr>
            <w:r w:rsidRPr="00731276">
              <w:rPr>
                <w:rFonts w:eastAsia="Times New Roman" w:cs="Times New Roman"/>
                <w:b/>
                <w:bCs/>
                <w:color w:val="000000" w:themeColor="text1"/>
                <w:sz w:val="22"/>
              </w:rPr>
              <w:t>Name</w:t>
            </w:r>
          </w:p>
        </w:tc>
        <w:tc>
          <w:tcPr>
            <w:tcW w:w="2212" w:type="dxa"/>
            <w:tcBorders>
              <w:top w:val="single" w:sz="8" w:space="0" w:color="auto"/>
              <w:left w:val="nil"/>
              <w:bottom w:val="single" w:sz="8" w:space="0" w:color="auto"/>
              <w:right w:val="nil"/>
            </w:tcBorders>
            <w:shd w:val="clear" w:color="auto" w:fill="auto"/>
            <w:vAlign w:val="bottom"/>
            <w:hideMark/>
          </w:tcPr>
          <w:p w:rsidR="0037484A" w:rsidRPr="00731276" w:rsidRDefault="0037484A" w:rsidP="00D567AF">
            <w:pPr>
              <w:spacing w:before="0" w:beforeAutospacing="0" w:after="0" w:afterAutospacing="0"/>
              <w:jc w:val="center"/>
              <w:rPr>
                <w:rFonts w:eastAsia="Times New Roman" w:cs="Times New Roman"/>
                <w:b/>
                <w:bCs/>
                <w:color w:val="000000" w:themeColor="text1"/>
                <w:sz w:val="22"/>
              </w:rPr>
            </w:pPr>
            <w:r w:rsidRPr="00731276">
              <w:rPr>
                <w:rFonts w:eastAsia="Times New Roman" w:cs="Times New Roman"/>
                <w:b/>
                <w:bCs/>
                <w:color w:val="000000" w:themeColor="text1"/>
                <w:sz w:val="22"/>
              </w:rPr>
              <w:t>GenBank accession number</w:t>
            </w:r>
          </w:p>
        </w:tc>
        <w:tc>
          <w:tcPr>
            <w:tcW w:w="4256" w:type="dxa"/>
            <w:tcBorders>
              <w:top w:val="single" w:sz="8" w:space="0" w:color="auto"/>
              <w:left w:val="nil"/>
              <w:bottom w:val="nil"/>
              <w:right w:val="nil"/>
            </w:tcBorders>
            <w:shd w:val="clear" w:color="auto" w:fill="auto"/>
            <w:noWrap/>
            <w:vAlign w:val="bottom"/>
            <w:hideMark/>
          </w:tcPr>
          <w:p w:rsidR="0037484A" w:rsidRPr="00731276" w:rsidRDefault="0037484A" w:rsidP="00D567AF">
            <w:pPr>
              <w:spacing w:before="0" w:beforeAutospacing="0" w:after="0" w:afterAutospacing="0"/>
              <w:jc w:val="center"/>
              <w:rPr>
                <w:rFonts w:eastAsia="Times New Roman" w:cs="Times New Roman"/>
                <w:b/>
                <w:bCs/>
                <w:color w:val="000000" w:themeColor="text1"/>
                <w:sz w:val="22"/>
              </w:rPr>
            </w:pPr>
            <w:r w:rsidRPr="00731276">
              <w:rPr>
                <w:rFonts w:eastAsia="Times New Roman" w:cs="Times New Roman"/>
                <w:b/>
                <w:bCs/>
                <w:color w:val="000000" w:themeColor="text1"/>
                <w:sz w:val="22"/>
              </w:rPr>
              <w:t>Forward  (primer sequence 5′–3′)</w:t>
            </w:r>
          </w:p>
        </w:tc>
        <w:tc>
          <w:tcPr>
            <w:tcW w:w="4256" w:type="dxa"/>
            <w:tcBorders>
              <w:top w:val="single" w:sz="8" w:space="0" w:color="auto"/>
              <w:left w:val="nil"/>
              <w:bottom w:val="nil"/>
              <w:right w:val="nil"/>
            </w:tcBorders>
            <w:shd w:val="clear" w:color="auto" w:fill="auto"/>
            <w:noWrap/>
            <w:vAlign w:val="bottom"/>
            <w:hideMark/>
          </w:tcPr>
          <w:p w:rsidR="0037484A" w:rsidRPr="00731276" w:rsidRDefault="0037484A" w:rsidP="00D567AF">
            <w:pPr>
              <w:spacing w:before="0" w:beforeAutospacing="0" w:after="0" w:afterAutospacing="0"/>
              <w:jc w:val="center"/>
              <w:rPr>
                <w:rFonts w:eastAsia="Times New Roman" w:cs="Times New Roman"/>
                <w:b/>
                <w:bCs/>
                <w:color w:val="000000" w:themeColor="text1"/>
                <w:sz w:val="22"/>
              </w:rPr>
            </w:pPr>
            <w:r w:rsidRPr="00731276">
              <w:rPr>
                <w:rFonts w:eastAsia="Times New Roman" w:cs="Times New Roman"/>
                <w:b/>
                <w:bCs/>
                <w:color w:val="000000" w:themeColor="text1"/>
                <w:sz w:val="22"/>
              </w:rPr>
              <w:t>Reverse  (primer sequence 5′–3′)</w:t>
            </w:r>
          </w:p>
        </w:tc>
      </w:tr>
      <w:tr w:rsidR="0037484A" w:rsidRPr="00731276" w:rsidTr="00D567AF">
        <w:trPr>
          <w:trHeight w:val="300"/>
        </w:trPr>
        <w:tc>
          <w:tcPr>
            <w:tcW w:w="1556" w:type="dxa"/>
            <w:tcBorders>
              <w:top w:val="single" w:sz="8" w:space="0" w:color="auto"/>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i/>
                <w:color w:val="000000" w:themeColor="text1"/>
                <w:sz w:val="22"/>
              </w:rPr>
            </w:pPr>
            <w:r w:rsidRPr="00731276">
              <w:rPr>
                <w:rFonts w:eastAsia="Times New Roman" w:cs="Times New Roman"/>
                <w:i/>
                <w:color w:val="000000" w:themeColor="text1"/>
                <w:sz w:val="22"/>
              </w:rPr>
              <w:t>RNA18S5</w:t>
            </w:r>
          </w:p>
        </w:tc>
        <w:tc>
          <w:tcPr>
            <w:tcW w:w="2212"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 xml:space="preserve">NR_003286.2 </w:t>
            </w:r>
          </w:p>
        </w:tc>
        <w:tc>
          <w:tcPr>
            <w:tcW w:w="4256" w:type="dxa"/>
            <w:tcBorders>
              <w:top w:val="single" w:sz="8" w:space="0" w:color="auto"/>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CTG AGA AAC GGC TAC CAC ATC</w:t>
            </w:r>
          </w:p>
        </w:tc>
        <w:tc>
          <w:tcPr>
            <w:tcW w:w="4256" w:type="dxa"/>
            <w:tcBorders>
              <w:top w:val="single" w:sz="8" w:space="0" w:color="auto"/>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GCC TCG AAA GAG TCC TGT ATT G</w:t>
            </w:r>
          </w:p>
        </w:tc>
      </w:tr>
      <w:tr w:rsidR="0037484A" w:rsidRPr="00731276" w:rsidTr="00D567AF">
        <w:trPr>
          <w:trHeight w:val="300"/>
        </w:trPr>
        <w:tc>
          <w:tcPr>
            <w:tcW w:w="15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i/>
                <w:color w:val="000000" w:themeColor="text1"/>
                <w:sz w:val="22"/>
              </w:rPr>
            </w:pPr>
            <w:r w:rsidRPr="00731276">
              <w:rPr>
                <w:rFonts w:eastAsia="Times New Roman" w:cs="Times New Roman"/>
                <w:i/>
                <w:color w:val="000000" w:themeColor="text1"/>
                <w:sz w:val="22"/>
              </w:rPr>
              <w:t>RPLP0</w:t>
            </w:r>
          </w:p>
        </w:tc>
        <w:tc>
          <w:tcPr>
            <w:tcW w:w="2212"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NM_001002.3</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CTC GTG GAA GTG ACA TCG TCT</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GCT TGG AGC CCA CAT TGT CT</w:t>
            </w:r>
          </w:p>
        </w:tc>
      </w:tr>
      <w:tr w:rsidR="0037484A" w:rsidRPr="00731276" w:rsidTr="00D567AF">
        <w:trPr>
          <w:trHeight w:val="300"/>
        </w:trPr>
        <w:tc>
          <w:tcPr>
            <w:tcW w:w="15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i/>
                <w:color w:val="000000" w:themeColor="text1"/>
                <w:sz w:val="22"/>
              </w:rPr>
            </w:pPr>
            <w:r w:rsidRPr="00731276">
              <w:rPr>
                <w:rFonts w:eastAsia="Times New Roman" w:cs="Times New Roman"/>
                <w:i/>
                <w:color w:val="000000" w:themeColor="text1"/>
                <w:sz w:val="22"/>
              </w:rPr>
              <w:t>TLR4</w:t>
            </w:r>
          </w:p>
        </w:tc>
        <w:tc>
          <w:tcPr>
            <w:tcW w:w="2212"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NM_003266.3</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GTC CCT GAA CCC TAT GAA CTT T</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AAC CAG CCA GAC CTT GAA TAC</w:t>
            </w:r>
          </w:p>
        </w:tc>
      </w:tr>
      <w:tr w:rsidR="0037484A" w:rsidRPr="00731276" w:rsidTr="00D567AF">
        <w:trPr>
          <w:trHeight w:val="300"/>
        </w:trPr>
        <w:tc>
          <w:tcPr>
            <w:tcW w:w="15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i/>
                <w:color w:val="000000" w:themeColor="text1"/>
                <w:sz w:val="22"/>
              </w:rPr>
            </w:pPr>
            <w:r w:rsidRPr="00731276">
              <w:rPr>
                <w:rFonts w:eastAsia="Times New Roman" w:cs="Times New Roman"/>
                <w:i/>
                <w:color w:val="000000" w:themeColor="text1"/>
                <w:sz w:val="22"/>
              </w:rPr>
              <w:t>RELA</w:t>
            </w:r>
          </w:p>
        </w:tc>
        <w:tc>
          <w:tcPr>
            <w:tcW w:w="2212"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NM_001145138.1</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CCA GAC CAA CAA CAA CCC CT</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GGG GGC ACG ATT GTC AAA GA</w:t>
            </w:r>
          </w:p>
        </w:tc>
      </w:tr>
      <w:tr w:rsidR="0037484A" w:rsidRPr="00731276" w:rsidTr="00D567AF">
        <w:trPr>
          <w:trHeight w:val="300"/>
        </w:trPr>
        <w:tc>
          <w:tcPr>
            <w:tcW w:w="15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i/>
                <w:color w:val="000000" w:themeColor="text1"/>
                <w:sz w:val="22"/>
              </w:rPr>
            </w:pPr>
            <w:r w:rsidRPr="00731276">
              <w:rPr>
                <w:rFonts w:eastAsia="Times New Roman" w:cs="Times New Roman"/>
                <w:i/>
                <w:color w:val="000000" w:themeColor="text1"/>
                <w:sz w:val="22"/>
              </w:rPr>
              <w:t>NFKBIA</w:t>
            </w:r>
          </w:p>
        </w:tc>
        <w:tc>
          <w:tcPr>
            <w:tcW w:w="2212"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NM_020529.2</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GAG CTC CGA GAC TTT CGA GG</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TGT AGA CAC GTG TGG CCA TT</w:t>
            </w:r>
          </w:p>
        </w:tc>
      </w:tr>
      <w:tr w:rsidR="0037484A" w:rsidRPr="00731276" w:rsidTr="00D567AF">
        <w:trPr>
          <w:trHeight w:val="300"/>
        </w:trPr>
        <w:tc>
          <w:tcPr>
            <w:tcW w:w="15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i/>
                <w:color w:val="000000" w:themeColor="text1"/>
                <w:sz w:val="22"/>
              </w:rPr>
            </w:pPr>
            <w:r w:rsidRPr="00731276">
              <w:rPr>
                <w:rFonts w:eastAsia="Times New Roman" w:cs="Times New Roman"/>
                <w:i/>
                <w:color w:val="000000" w:themeColor="text1"/>
                <w:sz w:val="22"/>
              </w:rPr>
              <w:t>PTGS2</w:t>
            </w:r>
          </w:p>
        </w:tc>
        <w:tc>
          <w:tcPr>
            <w:tcW w:w="2212"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NM_000963.3</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AAC TGC TCA ACA CCG GAA T</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CCC TTG AAG TGG GTA AGT ATG TAG</w:t>
            </w:r>
          </w:p>
        </w:tc>
      </w:tr>
      <w:tr w:rsidR="0037484A" w:rsidRPr="00731276" w:rsidTr="00D567AF">
        <w:trPr>
          <w:trHeight w:val="300"/>
        </w:trPr>
        <w:tc>
          <w:tcPr>
            <w:tcW w:w="15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i/>
                <w:color w:val="000000" w:themeColor="text1"/>
                <w:sz w:val="22"/>
              </w:rPr>
            </w:pPr>
            <w:r w:rsidRPr="00731276">
              <w:rPr>
                <w:rFonts w:eastAsia="Times New Roman" w:cs="Times New Roman"/>
                <w:i/>
                <w:color w:val="000000" w:themeColor="text1"/>
                <w:sz w:val="22"/>
              </w:rPr>
              <w:t>NCF1</w:t>
            </w:r>
          </w:p>
        </w:tc>
        <w:tc>
          <w:tcPr>
            <w:tcW w:w="2212"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NM_000265.5</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CTG AGC CCA ACT ATG CAG GT</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TGA CGT CGT CTT TCC TGA TG</w:t>
            </w:r>
          </w:p>
        </w:tc>
      </w:tr>
      <w:tr w:rsidR="0037484A" w:rsidRPr="00731276" w:rsidTr="00D567AF">
        <w:trPr>
          <w:trHeight w:val="300"/>
        </w:trPr>
        <w:tc>
          <w:tcPr>
            <w:tcW w:w="15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i/>
                <w:color w:val="000000" w:themeColor="text1"/>
                <w:sz w:val="22"/>
              </w:rPr>
            </w:pPr>
            <w:r w:rsidRPr="00731276">
              <w:rPr>
                <w:rFonts w:eastAsia="Times New Roman" w:cs="Times New Roman"/>
                <w:i/>
                <w:color w:val="000000" w:themeColor="text1"/>
                <w:sz w:val="22"/>
              </w:rPr>
              <w:t>TNF</w:t>
            </w:r>
          </w:p>
        </w:tc>
        <w:tc>
          <w:tcPr>
            <w:tcW w:w="2212"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NM_000594.3</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CCT CTC TCT AAT CAG CCC TCT</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AGG GTT TGC TAC AAC ATG GG</w:t>
            </w:r>
          </w:p>
        </w:tc>
      </w:tr>
      <w:tr w:rsidR="0037484A" w:rsidRPr="00731276" w:rsidTr="00D567AF">
        <w:trPr>
          <w:trHeight w:val="300"/>
        </w:trPr>
        <w:tc>
          <w:tcPr>
            <w:tcW w:w="15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i/>
                <w:color w:val="000000" w:themeColor="text1"/>
                <w:sz w:val="22"/>
              </w:rPr>
            </w:pPr>
            <w:r w:rsidRPr="00731276">
              <w:rPr>
                <w:rFonts w:eastAsia="Times New Roman" w:cs="Times New Roman"/>
                <w:i/>
                <w:color w:val="000000" w:themeColor="text1"/>
                <w:sz w:val="22"/>
              </w:rPr>
              <w:t>IFNG</w:t>
            </w:r>
          </w:p>
        </w:tc>
        <w:tc>
          <w:tcPr>
            <w:tcW w:w="2212"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NM_000619.2</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GGC TTT TCA GCT CTG CAT CG</w:t>
            </w:r>
          </w:p>
        </w:tc>
        <w:tc>
          <w:tcPr>
            <w:tcW w:w="4256" w:type="dxa"/>
            <w:tcBorders>
              <w:top w:val="nil"/>
              <w:left w:val="nil"/>
              <w:bottom w:val="nil"/>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TCT GTC ACT CTC CTC TTT CCA</w:t>
            </w:r>
          </w:p>
        </w:tc>
      </w:tr>
      <w:tr w:rsidR="0037484A" w:rsidRPr="00731276" w:rsidTr="00D567AF">
        <w:trPr>
          <w:trHeight w:val="315"/>
        </w:trPr>
        <w:tc>
          <w:tcPr>
            <w:tcW w:w="1556" w:type="dxa"/>
            <w:tcBorders>
              <w:top w:val="nil"/>
              <w:left w:val="nil"/>
              <w:bottom w:val="single" w:sz="8" w:space="0" w:color="auto"/>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i/>
                <w:color w:val="000000" w:themeColor="text1"/>
                <w:sz w:val="22"/>
              </w:rPr>
            </w:pPr>
            <w:r w:rsidRPr="00731276">
              <w:rPr>
                <w:rFonts w:eastAsia="Times New Roman" w:cs="Times New Roman"/>
                <w:i/>
                <w:color w:val="000000" w:themeColor="text1"/>
                <w:sz w:val="22"/>
              </w:rPr>
              <w:t>TGFB1</w:t>
            </w:r>
          </w:p>
        </w:tc>
        <w:tc>
          <w:tcPr>
            <w:tcW w:w="2212" w:type="dxa"/>
            <w:tcBorders>
              <w:top w:val="nil"/>
              <w:left w:val="nil"/>
              <w:bottom w:val="single" w:sz="8" w:space="0" w:color="auto"/>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NM_000660.5</w:t>
            </w:r>
          </w:p>
        </w:tc>
        <w:tc>
          <w:tcPr>
            <w:tcW w:w="4256" w:type="dxa"/>
            <w:tcBorders>
              <w:top w:val="nil"/>
              <w:left w:val="nil"/>
              <w:bottom w:val="single" w:sz="8" w:space="0" w:color="auto"/>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CGA CTC GCC AGA GTG GTT AT</w:t>
            </w:r>
          </w:p>
        </w:tc>
        <w:tc>
          <w:tcPr>
            <w:tcW w:w="4256" w:type="dxa"/>
            <w:tcBorders>
              <w:top w:val="nil"/>
              <w:left w:val="nil"/>
              <w:bottom w:val="single" w:sz="8" w:space="0" w:color="auto"/>
              <w:right w:val="nil"/>
            </w:tcBorders>
            <w:shd w:val="clear" w:color="auto" w:fill="auto"/>
            <w:noWrap/>
            <w:vAlign w:val="bottom"/>
            <w:hideMark/>
          </w:tcPr>
          <w:p w:rsidR="0037484A" w:rsidRPr="00731276" w:rsidRDefault="0037484A" w:rsidP="00D567AF">
            <w:pPr>
              <w:spacing w:before="0" w:beforeAutospacing="0" w:after="0" w:afterAutospacing="0"/>
              <w:rPr>
                <w:rFonts w:eastAsia="Times New Roman" w:cs="Times New Roman"/>
                <w:color w:val="000000" w:themeColor="text1"/>
                <w:sz w:val="22"/>
              </w:rPr>
            </w:pPr>
            <w:r w:rsidRPr="00731276">
              <w:rPr>
                <w:rFonts w:eastAsia="Times New Roman" w:cs="Times New Roman"/>
                <w:color w:val="000000" w:themeColor="text1"/>
                <w:sz w:val="22"/>
              </w:rPr>
              <w:t>CGG TAG TGA ACC CGT TGA TGT</w:t>
            </w:r>
          </w:p>
        </w:tc>
      </w:tr>
    </w:tbl>
    <w:p w:rsidR="0037484A" w:rsidRDefault="0037484A" w:rsidP="0037484A">
      <w:pPr>
        <w:rPr>
          <w:rFonts w:eastAsiaTheme="majorEastAsia" w:cstheme="majorBidi"/>
          <w:b/>
          <w:szCs w:val="26"/>
        </w:rPr>
      </w:pPr>
      <w:r w:rsidRPr="00731276">
        <w:rPr>
          <w:i/>
          <w:color w:val="000000" w:themeColor="text1"/>
          <w:sz w:val="22"/>
        </w:rPr>
        <w:t>RNA18S5</w:t>
      </w:r>
      <w:r w:rsidRPr="00731276">
        <w:rPr>
          <w:color w:val="000000" w:themeColor="text1"/>
          <w:sz w:val="22"/>
        </w:rPr>
        <w:t xml:space="preserve">, encoding 18s rRNA; </w:t>
      </w:r>
      <w:r w:rsidRPr="00731276">
        <w:rPr>
          <w:i/>
          <w:color w:val="000000" w:themeColor="text1"/>
          <w:sz w:val="22"/>
        </w:rPr>
        <w:t>RPLP0</w:t>
      </w:r>
      <w:r w:rsidRPr="00731276">
        <w:rPr>
          <w:color w:val="000000" w:themeColor="text1"/>
          <w:sz w:val="22"/>
        </w:rPr>
        <w:t xml:space="preserve">, encoding ribosomal protein large P0; </w:t>
      </w:r>
      <w:r w:rsidRPr="00731276">
        <w:rPr>
          <w:i/>
          <w:color w:val="000000" w:themeColor="text1"/>
          <w:sz w:val="22"/>
        </w:rPr>
        <w:t>TLR4</w:t>
      </w:r>
      <w:r w:rsidRPr="00731276">
        <w:rPr>
          <w:color w:val="000000" w:themeColor="text1"/>
          <w:sz w:val="22"/>
        </w:rPr>
        <w:t xml:space="preserve">, encoding Toll-like receptor 4; </w:t>
      </w:r>
      <w:r w:rsidRPr="00731276">
        <w:rPr>
          <w:i/>
          <w:color w:val="000000" w:themeColor="text1"/>
          <w:sz w:val="22"/>
        </w:rPr>
        <w:t>RELA</w:t>
      </w:r>
      <w:r w:rsidRPr="00731276">
        <w:rPr>
          <w:color w:val="000000" w:themeColor="text1"/>
          <w:sz w:val="22"/>
        </w:rPr>
        <w:t xml:space="preserve">, encoding p65 subunit of nuclear factor kappa B; </w:t>
      </w:r>
      <w:r w:rsidRPr="00731276">
        <w:rPr>
          <w:i/>
          <w:color w:val="000000" w:themeColor="text1"/>
          <w:sz w:val="22"/>
        </w:rPr>
        <w:t>NFKBIA</w:t>
      </w:r>
      <w:r w:rsidRPr="00731276">
        <w:rPr>
          <w:color w:val="000000" w:themeColor="text1"/>
          <w:sz w:val="22"/>
        </w:rPr>
        <w:t xml:space="preserve">, encoding nuclear factor kappa B inhibitor alpha; </w:t>
      </w:r>
      <w:r w:rsidRPr="00731276">
        <w:rPr>
          <w:i/>
          <w:color w:val="000000" w:themeColor="text1"/>
          <w:sz w:val="22"/>
        </w:rPr>
        <w:t>PTGS2</w:t>
      </w:r>
      <w:r w:rsidRPr="00731276">
        <w:rPr>
          <w:color w:val="000000" w:themeColor="text1"/>
          <w:sz w:val="22"/>
        </w:rPr>
        <w:t xml:space="preserve">, encoding cyclooxygenase-2, or COX-2; </w:t>
      </w:r>
      <w:r w:rsidRPr="00731276">
        <w:rPr>
          <w:i/>
          <w:color w:val="000000" w:themeColor="text1"/>
          <w:sz w:val="22"/>
        </w:rPr>
        <w:t>NCF1</w:t>
      </w:r>
      <w:r w:rsidRPr="00731276">
        <w:rPr>
          <w:color w:val="000000" w:themeColor="text1"/>
          <w:sz w:val="22"/>
        </w:rPr>
        <w:t xml:space="preserve">, encoding the p47 subunit of nicotinamide adenine dinucleotide phosphate-oxidase, or NADPH oxidase; </w:t>
      </w:r>
      <w:r w:rsidRPr="00731276">
        <w:rPr>
          <w:i/>
          <w:color w:val="000000" w:themeColor="text1"/>
          <w:sz w:val="22"/>
        </w:rPr>
        <w:t>TNF</w:t>
      </w:r>
      <w:r w:rsidRPr="00731276">
        <w:rPr>
          <w:color w:val="000000" w:themeColor="text1"/>
          <w:sz w:val="22"/>
        </w:rPr>
        <w:t xml:space="preserve">, encoding tumor necrosis factors, or TNF; IFNG, encoding interferon-γ; </w:t>
      </w:r>
      <w:r w:rsidRPr="00731276">
        <w:rPr>
          <w:i/>
          <w:color w:val="000000" w:themeColor="text1"/>
          <w:sz w:val="22"/>
        </w:rPr>
        <w:t>TGFB1</w:t>
      </w:r>
      <w:r w:rsidRPr="00731276">
        <w:rPr>
          <w:color w:val="000000" w:themeColor="text1"/>
          <w:sz w:val="22"/>
        </w:rPr>
        <w:t>, encoding transforming growth factor beta 1, or TGFβ1.</w:t>
      </w:r>
      <w:r>
        <w:br w:type="page"/>
      </w:r>
    </w:p>
    <w:p w:rsidR="0037484A" w:rsidRDefault="0037484A" w:rsidP="0037484A">
      <w:pPr>
        <w:pStyle w:val="Heading2"/>
        <w:rPr>
          <w:b w:val="0"/>
          <w:sz w:val="24"/>
        </w:rPr>
      </w:pPr>
      <w:r w:rsidRPr="00995AEF">
        <w:rPr>
          <w:sz w:val="24"/>
        </w:rPr>
        <w:lastRenderedPageBreak/>
        <w:t xml:space="preserve">Supplementary Table </w:t>
      </w:r>
      <w:r>
        <w:rPr>
          <w:sz w:val="24"/>
        </w:rPr>
        <w:t>S2</w:t>
      </w:r>
      <w:r w:rsidRPr="00546879">
        <w:rPr>
          <w:sz w:val="24"/>
        </w:rPr>
        <w:t xml:space="preserve"> </w:t>
      </w:r>
      <w:r w:rsidRPr="0077223E">
        <w:rPr>
          <w:b w:val="0"/>
          <w:sz w:val="24"/>
        </w:rPr>
        <w:t xml:space="preserve">Pearson correlation coefficients between paired </w:t>
      </w:r>
      <w:r>
        <w:rPr>
          <w:b w:val="0"/>
          <w:sz w:val="24"/>
        </w:rPr>
        <w:t>bio</w:t>
      </w:r>
      <w:r w:rsidRPr="0077223E">
        <w:rPr>
          <w:b w:val="0"/>
          <w:sz w:val="24"/>
        </w:rPr>
        <w:t>markers of all participants at baseline</w:t>
      </w:r>
      <w:r>
        <w:rPr>
          <w:b w:val="0"/>
          <w:sz w:val="24"/>
          <w:vertAlign w:val="superscript"/>
        </w:rPr>
        <w:t>1</w:t>
      </w:r>
      <w:r w:rsidRPr="0077223E">
        <w:rPr>
          <w:b w:val="0"/>
          <w:sz w:val="24"/>
        </w:rPr>
        <w:t>.</w:t>
      </w:r>
    </w:p>
    <w:tbl>
      <w:tblPr>
        <w:tblW w:w="12620" w:type="dxa"/>
        <w:tblLook w:val="04A0" w:firstRow="1" w:lastRow="0" w:firstColumn="1" w:lastColumn="0" w:noHBand="0" w:noVBand="1"/>
      </w:tblPr>
      <w:tblGrid>
        <w:gridCol w:w="1620"/>
        <w:gridCol w:w="960"/>
        <w:gridCol w:w="980"/>
        <w:gridCol w:w="1020"/>
        <w:gridCol w:w="1240"/>
        <w:gridCol w:w="1100"/>
        <w:gridCol w:w="1023"/>
        <w:gridCol w:w="1000"/>
        <w:gridCol w:w="950"/>
        <w:gridCol w:w="1620"/>
        <w:gridCol w:w="1120"/>
      </w:tblGrid>
      <w:tr w:rsidR="0037484A" w:rsidRPr="00030734" w:rsidTr="00D567AF">
        <w:trPr>
          <w:trHeight w:val="720"/>
        </w:trPr>
        <w:tc>
          <w:tcPr>
            <w:tcW w:w="162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 </w:t>
            </w:r>
          </w:p>
        </w:tc>
        <w:tc>
          <w:tcPr>
            <w:tcW w:w="96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jc w:val="center"/>
              <w:rPr>
                <w:rFonts w:eastAsia="Times New Roman" w:cs="Times New Roman"/>
                <w:color w:val="000000"/>
                <w:sz w:val="22"/>
              </w:rPr>
            </w:pPr>
            <w:r w:rsidRPr="00030734">
              <w:rPr>
                <w:rFonts w:eastAsia="Times New Roman" w:cs="Times New Roman"/>
                <w:color w:val="000000"/>
                <w:sz w:val="22"/>
              </w:rPr>
              <w:t>BMI (kg/m</w:t>
            </w:r>
            <w:r w:rsidRPr="00030734">
              <w:rPr>
                <w:rFonts w:eastAsia="Times New Roman" w:cs="Times New Roman"/>
                <w:color w:val="000000"/>
                <w:sz w:val="22"/>
                <w:vertAlign w:val="superscript"/>
              </w:rPr>
              <w:t>2)</w:t>
            </w:r>
          </w:p>
        </w:tc>
        <w:tc>
          <w:tcPr>
            <w:tcW w:w="98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jc w:val="center"/>
              <w:rPr>
                <w:rFonts w:eastAsia="Times New Roman" w:cs="Times New Roman"/>
                <w:color w:val="000000"/>
                <w:sz w:val="22"/>
              </w:rPr>
            </w:pPr>
            <w:r w:rsidRPr="00030734">
              <w:rPr>
                <w:rFonts w:eastAsia="Times New Roman" w:cs="Times New Roman"/>
                <w:color w:val="000000"/>
                <w:sz w:val="22"/>
              </w:rPr>
              <w:t>IL-6 (pg/mL)</w:t>
            </w:r>
          </w:p>
        </w:tc>
        <w:tc>
          <w:tcPr>
            <w:tcW w:w="102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jc w:val="center"/>
              <w:rPr>
                <w:rFonts w:eastAsia="Times New Roman" w:cs="Times New Roman"/>
                <w:color w:val="000000"/>
                <w:sz w:val="22"/>
              </w:rPr>
            </w:pPr>
            <w:r w:rsidRPr="00030734">
              <w:rPr>
                <w:rFonts w:eastAsia="Times New Roman" w:cs="Times New Roman"/>
                <w:color w:val="000000"/>
                <w:sz w:val="22"/>
              </w:rPr>
              <w:t>hsCRP (mg/L)</w:t>
            </w:r>
          </w:p>
        </w:tc>
        <w:tc>
          <w:tcPr>
            <w:tcW w:w="124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jc w:val="center"/>
              <w:rPr>
                <w:rFonts w:eastAsia="Times New Roman" w:cs="Times New Roman"/>
                <w:color w:val="000000"/>
                <w:sz w:val="22"/>
              </w:rPr>
            </w:pPr>
            <w:r w:rsidRPr="00030734">
              <w:rPr>
                <w:rFonts w:eastAsia="Times New Roman" w:cs="Times New Roman"/>
                <w:color w:val="000000"/>
                <w:sz w:val="22"/>
              </w:rPr>
              <w:t>TNF-α (pg/mL)</w:t>
            </w:r>
          </w:p>
        </w:tc>
        <w:tc>
          <w:tcPr>
            <w:tcW w:w="110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jc w:val="center"/>
              <w:rPr>
                <w:rFonts w:eastAsia="Times New Roman" w:cs="Times New Roman"/>
                <w:color w:val="000000"/>
                <w:sz w:val="22"/>
              </w:rPr>
            </w:pPr>
            <w:r w:rsidRPr="00030734">
              <w:rPr>
                <w:rFonts w:eastAsia="Times New Roman" w:cs="Times New Roman"/>
                <w:color w:val="000000"/>
                <w:sz w:val="22"/>
              </w:rPr>
              <w:t>sTNF-RII (pg/mL)</w:t>
            </w:r>
          </w:p>
        </w:tc>
        <w:tc>
          <w:tcPr>
            <w:tcW w:w="102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jc w:val="center"/>
              <w:rPr>
                <w:rFonts w:eastAsia="Times New Roman" w:cs="Times New Roman"/>
                <w:color w:val="000000"/>
                <w:sz w:val="22"/>
              </w:rPr>
            </w:pPr>
            <w:r w:rsidRPr="00030734">
              <w:rPr>
                <w:rFonts w:eastAsia="Times New Roman" w:cs="Times New Roman"/>
                <w:color w:val="000000"/>
                <w:sz w:val="22"/>
              </w:rPr>
              <w:t>LPS (EU/mL)</w:t>
            </w:r>
          </w:p>
        </w:tc>
        <w:tc>
          <w:tcPr>
            <w:tcW w:w="100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jc w:val="center"/>
              <w:rPr>
                <w:rFonts w:eastAsia="Times New Roman" w:cs="Times New Roman"/>
                <w:color w:val="000000"/>
                <w:sz w:val="22"/>
              </w:rPr>
            </w:pPr>
            <w:r w:rsidRPr="00030734">
              <w:rPr>
                <w:rFonts w:eastAsia="Times New Roman" w:cs="Times New Roman"/>
                <w:color w:val="000000"/>
                <w:sz w:val="22"/>
              </w:rPr>
              <w:t>LBP (μg/mL)</w:t>
            </w:r>
          </w:p>
        </w:tc>
        <w:tc>
          <w:tcPr>
            <w:tcW w:w="94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jc w:val="center"/>
              <w:rPr>
                <w:rFonts w:eastAsia="Times New Roman" w:cs="Times New Roman"/>
                <w:color w:val="000000"/>
                <w:sz w:val="22"/>
              </w:rPr>
            </w:pPr>
            <w:r w:rsidRPr="00030734">
              <w:rPr>
                <w:rFonts w:eastAsia="Times New Roman" w:cs="Times New Roman"/>
                <w:color w:val="000000"/>
                <w:sz w:val="22"/>
              </w:rPr>
              <w:t>sCD14 (ng/mL)</w:t>
            </w:r>
          </w:p>
        </w:tc>
        <w:tc>
          <w:tcPr>
            <w:tcW w:w="162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jc w:val="center"/>
              <w:rPr>
                <w:rFonts w:eastAsia="Times New Roman" w:cs="Times New Roman"/>
                <w:color w:val="000000"/>
                <w:sz w:val="22"/>
              </w:rPr>
            </w:pPr>
            <w:r w:rsidRPr="00030734">
              <w:rPr>
                <w:rFonts w:eastAsia="Times New Roman" w:cs="Times New Roman"/>
                <w:color w:val="000000"/>
                <w:sz w:val="22"/>
              </w:rPr>
              <w:t>IgM EndoCAb (MMU/mL)</w:t>
            </w:r>
          </w:p>
        </w:tc>
        <w:tc>
          <w:tcPr>
            <w:tcW w:w="1120" w:type="dxa"/>
            <w:tcBorders>
              <w:top w:val="single" w:sz="8" w:space="0" w:color="auto"/>
              <w:left w:val="nil"/>
              <w:bottom w:val="single" w:sz="8" w:space="0" w:color="auto"/>
              <w:right w:val="nil"/>
            </w:tcBorders>
            <w:shd w:val="clear" w:color="auto" w:fill="auto"/>
            <w:vAlign w:val="center"/>
            <w:hideMark/>
          </w:tcPr>
          <w:p w:rsidR="0037484A" w:rsidRPr="00030734" w:rsidRDefault="0037484A" w:rsidP="00D567AF">
            <w:pPr>
              <w:spacing w:before="0" w:beforeAutospacing="0" w:after="0" w:afterAutospacing="0" w:line="240" w:lineRule="auto"/>
              <w:jc w:val="center"/>
              <w:rPr>
                <w:rFonts w:eastAsia="Times New Roman" w:cs="Times New Roman"/>
                <w:color w:val="000000"/>
                <w:sz w:val="22"/>
              </w:rPr>
            </w:pPr>
            <w:r w:rsidRPr="00030734">
              <w:rPr>
                <w:rFonts w:eastAsia="Times New Roman" w:cs="Times New Roman"/>
                <w:color w:val="000000"/>
                <w:sz w:val="22"/>
              </w:rPr>
              <w:t>AEA (nM)</w:t>
            </w:r>
          </w:p>
        </w:tc>
      </w:tr>
      <w:tr w:rsidR="0037484A" w:rsidRPr="00030734" w:rsidTr="00D567AF">
        <w:trPr>
          <w:trHeight w:val="444"/>
        </w:trPr>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IL-6 (pg/mL)</w:t>
            </w:r>
          </w:p>
        </w:tc>
        <w:tc>
          <w:tcPr>
            <w:tcW w:w="96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0.51**</w:t>
            </w:r>
          </w:p>
        </w:tc>
        <w:tc>
          <w:tcPr>
            <w:tcW w:w="98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p>
        </w:tc>
        <w:tc>
          <w:tcPr>
            <w:tcW w:w="102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124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110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102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100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94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162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112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r>
      <w:tr w:rsidR="0037484A" w:rsidRPr="00030734" w:rsidTr="00D567AF">
        <w:trPr>
          <w:trHeight w:val="444"/>
        </w:trPr>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hsCRP (mg/L)</w:t>
            </w:r>
          </w:p>
        </w:tc>
        <w:tc>
          <w:tcPr>
            <w:tcW w:w="96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0.54**</w:t>
            </w:r>
          </w:p>
        </w:tc>
        <w:tc>
          <w:tcPr>
            <w:tcW w:w="98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0.39**</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p>
        </w:tc>
        <w:tc>
          <w:tcPr>
            <w:tcW w:w="12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1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02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0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9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1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r>
      <w:tr w:rsidR="0037484A" w:rsidRPr="00030734" w:rsidTr="00D567AF">
        <w:trPr>
          <w:trHeight w:val="444"/>
        </w:trPr>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TNF-α (pg/mL)</w:t>
            </w:r>
          </w:p>
        </w:tc>
        <w:tc>
          <w:tcPr>
            <w:tcW w:w="96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0.28**</w:t>
            </w:r>
          </w:p>
        </w:tc>
        <w:tc>
          <w:tcPr>
            <w:tcW w:w="98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0.29**</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w:t>
            </w:r>
            <w:r>
              <w:rPr>
                <w:rFonts w:eastAsia="Times New Roman" w:cs="Times New Roman"/>
                <w:color w:val="000000"/>
                <w:sz w:val="22"/>
              </w:rPr>
              <w:t>0</w:t>
            </w:r>
          </w:p>
        </w:tc>
        <w:tc>
          <w:tcPr>
            <w:tcW w:w="12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p>
        </w:tc>
        <w:tc>
          <w:tcPr>
            <w:tcW w:w="11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02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0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9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1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r>
      <w:tr w:rsidR="0037484A" w:rsidRPr="00030734" w:rsidTr="00D567AF">
        <w:trPr>
          <w:trHeight w:val="660"/>
        </w:trPr>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sTNF-RII (pg/mL)</w:t>
            </w:r>
          </w:p>
        </w:tc>
        <w:tc>
          <w:tcPr>
            <w:tcW w:w="96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0.44**</w:t>
            </w:r>
          </w:p>
        </w:tc>
        <w:tc>
          <w:tcPr>
            <w:tcW w:w="98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0.31**</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0.30**</w:t>
            </w:r>
          </w:p>
        </w:tc>
        <w:tc>
          <w:tcPr>
            <w:tcW w:w="12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0.39**</w:t>
            </w:r>
          </w:p>
        </w:tc>
        <w:tc>
          <w:tcPr>
            <w:tcW w:w="11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p>
        </w:tc>
        <w:tc>
          <w:tcPr>
            <w:tcW w:w="102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0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9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1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r>
      <w:tr w:rsidR="0037484A" w:rsidRPr="00030734" w:rsidTr="00D567AF">
        <w:trPr>
          <w:trHeight w:val="444"/>
        </w:trPr>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LPS (EU/mL)</w:t>
            </w:r>
          </w:p>
        </w:tc>
        <w:tc>
          <w:tcPr>
            <w:tcW w:w="96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0.05</w:t>
            </w:r>
          </w:p>
        </w:tc>
        <w:tc>
          <w:tcPr>
            <w:tcW w:w="98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-0.02</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0.12</w:t>
            </w:r>
          </w:p>
        </w:tc>
        <w:tc>
          <w:tcPr>
            <w:tcW w:w="12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-0.01</w:t>
            </w:r>
          </w:p>
        </w:tc>
        <w:tc>
          <w:tcPr>
            <w:tcW w:w="11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0.06</w:t>
            </w:r>
          </w:p>
        </w:tc>
        <w:tc>
          <w:tcPr>
            <w:tcW w:w="102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p>
        </w:tc>
        <w:tc>
          <w:tcPr>
            <w:tcW w:w="100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94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162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c>
          <w:tcPr>
            <w:tcW w:w="1120" w:type="dxa"/>
            <w:tcBorders>
              <w:top w:val="nil"/>
              <w:left w:val="nil"/>
              <w:bottom w:val="nil"/>
              <w:right w:val="nil"/>
            </w:tcBorders>
            <w:shd w:val="clear" w:color="auto" w:fill="auto"/>
            <w:vAlign w:val="bottom"/>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r>
      <w:tr w:rsidR="0037484A" w:rsidRPr="00030734" w:rsidTr="00D567AF">
        <w:trPr>
          <w:trHeight w:val="444"/>
        </w:trPr>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LBP (μg/mL)</w:t>
            </w:r>
          </w:p>
        </w:tc>
        <w:tc>
          <w:tcPr>
            <w:tcW w:w="96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0.41**</w:t>
            </w:r>
          </w:p>
        </w:tc>
        <w:tc>
          <w:tcPr>
            <w:tcW w:w="98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0.36**</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0.54**</w:t>
            </w:r>
          </w:p>
        </w:tc>
        <w:tc>
          <w:tcPr>
            <w:tcW w:w="12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0.07</w:t>
            </w:r>
          </w:p>
        </w:tc>
        <w:tc>
          <w:tcPr>
            <w:tcW w:w="11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0.24**</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0.29**</w:t>
            </w:r>
          </w:p>
        </w:tc>
        <w:tc>
          <w:tcPr>
            <w:tcW w:w="10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p>
        </w:tc>
        <w:tc>
          <w:tcPr>
            <w:tcW w:w="9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1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r>
      <w:tr w:rsidR="0037484A" w:rsidRPr="00030734" w:rsidTr="00D567AF">
        <w:trPr>
          <w:trHeight w:val="648"/>
        </w:trPr>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sCD14 (ng/mL)</w:t>
            </w:r>
          </w:p>
        </w:tc>
        <w:tc>
          <w:tcPr>
            <w:tcW w:w="96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0.05</w:t>
            </w:r>
          </w:p>
        </w:tc>
        <w:tc>
          <w:tcPr>
            <w:tcW w:w="98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0.16</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0.18</w:t>
            </w:r>
          </w:p>
        </w:tc>
        <w:tc>
          <w:tcPr>
            <w:tcW w:w="12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-0.09</w:t>
            </w:r>
          </w:p>
        </w:tc>
        <w:tc>
          <w:tcPr>
            <w:tcW w:w="11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0.29**</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0.01</w:t>
            </w:r>
          </w:p>
        </w:tc>
        <w:tc>
          <w:tcPr>
            <w:tcW w:w="10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w:t>
            </w:r>
            <w:r>
              <w:rPr>
                <w:rFonts w:eastAsia="Times New Roman" w:cs="Times New Roman"/>
                <w:color w:val="000000"/>
                <w:sz w:val="22"/>
              </w:rPr>
              <w:t>0</w:t>
            </w:r>
          </w:p>
        </w:tc>
        <w:tc>
          <w:tcPr>
            <w:tcW w:w="9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p>
        </w:tc>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sz w:val="20"/>
                <w:szCs w:val="20"/>
              </w:rPr>
            </w:pPr>
          </w:p>
        </w:tc>
        <w:tc>
          <w:tcPr>
            <w:tcW w:w="11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r>
      <w:tr w:rsidR="0037484A" w:rsidRPr="00030734" w:rsidTr="00D567AF">
        <w:trPr>
          <w:trHeight w:val="588"/>
        </w:trPr>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IgM EndoCAb (MMU/mL)</w:t>
            </w:r>
          </w:p>
        </w:tc>
        <w:tc>
          <w:tcPr>
            <w:tcW w:w="96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-0.32**</w:t>
            </w:r>
          </w:p>
        </w:tc>
        <w:tc>
          <w:tcPr>
            <w:tcW w:w="98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-0.14</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-0.13</w:t>
            </w:r>
          </w:p>
        </w:tc>
        <w:tc>
          <w:tcPr>
            <w:tcW w:w="12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-0.07</w:t>
            </w:r>
          </w:p>
        </w:tc>
        <w:tc>
          <w:tcPr>
            <w:tcW w:w="11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-0.25**</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-0.22*</w:t>
            </w:r>
          </w:p>
        </w:tc>
        <w:tc>
          <w:tcPr>
            <w:tcW w:w="100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-0.34**</w:t>
            </w:r>
          </w:p>
        </w:tc>
        <w:tc>
          <w:tcPr>
            <w:tcW w:w="94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-0.09**</w:t>
            </w:r>
          </w:p>
        </w:tc>
        <w:tc>
          <w:tcPr>
            <w:tcW w:w="16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p>
        </w:tc>
        <w:tc>
          <w:tcPr>
            <w:tcW w:w="11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rPr>
                <w:rFonts w:eastAsia="Times New Roman" w:cs="Times New Roman"/>
                <w:sz w:val="20"/>
                <w:szCs w:val="20"/>
              </w:rPr>
            </w:pPr>
          </w:p>
        </w:tc>
      </w:tr>
      <w:tr w:rsidR="0037484A" w:rsidRPr="00030734" w:rsidTr="00D567AF">
        <w:trPr>
          <w:trHeight w:val="444"/>
        </w:trPr>
        <w:tc>
          <w:tcPr>
            <w:tcW w:w="1620" w:type="dxa"/>
            <w:tcBorders>
              <w:top w:val="nil"/>
              <w:left w:val="nil"/>
              <w:bottom w:val="nil"/>
              <w:right w:val="nil"/>
            </w:tcBorders>
            <w:shd w:val="clear" w:color="auto" w:fill="auto"/>
            <w:noWrap/>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AEA (nM)</w:t>
            </w:r>
          </w:p>
        </w:tc>
        <w:tc>
          <w:tcPr>
            <w:tcW w:w="960" w:type="dxa"/>
            <w:tcBorders>
              <w:top w:val="nil"/>
              <w:left w:val="nil"/>
              <w:bottom w:val="nil"/>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0.60**</w:t>
            </w:r>
          </w:p>
        </w:tc>
        <w:tc>
          <w:tcPr>
            <w:tcW w:w="980" w:type="dxa"/>
            <w:tcBorders>
              <w:top w:val="nil"/>
              <w:left w:val="nil"/>
              <w:bottom w:val="nil"/>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0.29**</w:t>
            </w:r>
          </w:p>
        </w:tc>
        <w:tc>
          <w:tcPr>
            <w:tcW w:w="1020" w:type="dxa"/>
            <w:tcBorders>
              <w:top w:val="nil"/>
              <w:left w:val="nil"/>
              <w:bottom w:val="nil"/>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0.46**</w:t>
            </w:r>
          </w:p>
        </w:tc>
        <w:tc>
          <w:tcPr>
            <w:tcW w:w="1240" w:type="dxa"/>
            <w:tcBorders>
              <w:top w:val="nil"/>
              <w:left w:val="nil"/>
              <w:bottom w:val="nil"/>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0.12</w:t>
            </w:r>
          </w:p>
        </w:tc>
        <w:tc>
          <w:tcPr>
            <w:tcW w:w="1100" w:type="dxa"/>
            <w:tcBorders>
              <w:top w:val="nil"/>
              <w:left w:val="nil"/>
              <w:bottom w:val="nil"/>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0.22*</w:t>
            </w:r>
          </w:p>
        </w:tc>
        <w:tc>
          <w:tcPr>
            <w:tcW w:w="1020" w:type="dxa"/>
            <w:tcBorders>
              <w:top w:val="nil"/>
              <w:left w:val="nil"/>
              <w:bottom w:val="nil"/>
              <w:right w:val="nil"/>
            </w:tcBorders>
            <w:shd w:val="clear" w:color="auto" w:fill="auto"/>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-0.03</w:t>
            </w:r>
          </w:p>
        </w:tc>
        <w:tc>
          <w:tcPr>
            <w:tcW w:w="1000" w:type="dxa"/>
            <w:tcBorders>
              <w:top w:val="nil"/>
              <w:left w:val="nil"/>
              <w:bottom w:val="nil"/>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0.31**</w:t>
            </w:r>
          </w:p>
        </w:tc>
        <w:tc>
          <w:tcPr>
            <w:tcW w:w="940" w:type="dxa"/>
            <w:tcBorders>
              <w:top w:val="nil"/>
              <w:left w:val="nil"/>
              <w:bottom w:val="nil"/>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0.10</w:t>
            </w:r>
          </w:p>
        </w:tc>
        <w:tc>
          <w:tcPr>
            <w:tcW w:w="1620" w:type="dxa"/>
            <w:tcBorders>
              <w:top w:val="nil"/>
              <w:left w:val="nil"/>
              <w:bottom w:val="nil"/>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-0.20*</w:t>
            </w:r>
          </w:p>
        </w:tc>
        <w:tc>
          <w:tcPr>
            <w:tcW w:w="1120" w:type="dxa"/>
            <w:tcBorders>
              <w:top w:val="nil"/>
              <w:left w:val="nil"/>
              <w:bottom w:val="nil"/>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p>
        </w:tc>
      </w:tr>
      <w:tr w:rsidR="0037484A" w:rsidRPr="00030734" w:rsidTr="00D567AF">
        <w:trPr>
          <w:trHeight w:val="288"/>
        </w:trPr>
        <w:tc>
          <w:tcPr>
            <w:tcW w:w="162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rPr>
                <w:rFonts w:eastAsia="Times New Roman" w:cs="Times New Roman"/>
                <w:color w:val="000000"/>
                <w:sz w:val="22"/>
              </w:rPr>
            </w:pPr>
            <w:r w:rsidRPr="00030734">
              <w:rPr>
                <w:rFonts w:eastAsia="Times New Roman" w:cs="Times New Roman"/>
                <w:color w:val="000000"/>
                <w:sz w:val="22"/>
              </w:rPr>
              <w:t>2-AG (nM)</w:t>
            </w:r>
          </w:p>
        </w:tc>
        <w:tc>
          <w:tcPr>
            <w:tcW w:w="96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0.25**</w:t>
            </w:r>
          </w:p>
        </w:tc>
        <w:tc>
          <w:tcPr>
            <w:tcW w:w="98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0.07</w:t>
            </w:r>
          </w:p>
        </w:tc>
        <w:tc>
          <w:tcPr>
            <w:tcW w:w="102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0.39**</w:t>
            </w:r>
          </w:p>
        </w:tc>
        <w:tc>
          <w:tcPr>
            <w:tcW w:w="124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0.21*</w:t>
            </w:r>
          </w:p>
        </w:tc>
        <w:tc>
          <w:tcPr>
            <w:tcW w:w="110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0.13</w:t>
            </w:r>
          </w:p>
        </w:tc>
        <w:tc>
          <w:tcPr>
            <w:tcW w:w="102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0.12</w:t>
            </w:r>
          </w:p>
        </w:tc>
        <w:tc>
          <w:tcPr>
            <w:tcW w:w="100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0.17</w:t>
            </w:r>
          </w:p>
        </w:tc>
        <w:tc>
          <w:tcPr>
            <w:tcW w:w="94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-0.14</w:t>
            </w:r>
          </w:p>
        </w:tc>
        <w:tc>
          <w:tcPr>
            <w:tcW w:w="162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-0.16</w:t>
            </w:r>
          </w:p>
        </w:tc>
        <w:tc>
          <w:tcPr>
            <w:tcW w:w="1120" w:type="dxa"/>
            <w:tcBorders>
              <w:top w:val="nil"/>
              <w:left w:val="nil"/>
              <w:bottom w:val="single" w:sz="8" w:space="0" w:color="auto"/>
              <w:right w:val="nil"/>
            </w:tcBorders>
            <w:shd w:val="clear" w:color="auto" w:fill="auto"/>
            <w:noWrap/>
            <w:vAlign w:val="center"/>
            <w:hideMark/>
          </w:tcPr>
          <w:p w:rsidR="0037484A" w:rsidRPr="00030734" w:rsidRDefault="0037484A" w:rsidP="00D567AF">
            <w:pPr>
              <w:spacing w:before="0" w:beforeAutospacing="0" w:after="0" w:afterAutospacing="0" w:line="240" w:lineRule="auto"/>
              <w:jc w:val="right"/>
              <w:rPr>
                <w:rFonts w:eastAsia="Times New Roman" w:cs="Times New Roman"/>
                <w:color w:val="000000"/>
                <w:sz w:val="22"/>
              </w:rPr>
            </w:pPr>
            <w:r w:rsidRPr="00030734">
              <w:rPr>
                <w:rFonts w:eastAsia="Times New Roman" w:cs="Times New Roman"/>
                <w:color w:val="000000"/>
                <w:sz w:val="22"/>
              </w:rPr>
              <w:t>0.28**</w:t>
            </w:r>
          </w:p>
        </w:tc>
      </w:tr>
    </w:tbl>
    <w:p w:rsidR="0037484A" w:rsidRDefault="0037484A" w:rsidP="0037484A">
      <w:pPr>
        <w:rPr>
          <w:rFonts w:eastAsia="Times New Roman" w:cs="Times New Roman"/>
          <w:color w:val="000000" w:themeColor="text1"/>
          <w:sz w:val="22"/>
        </w:rPr>
      </w:pPr>
      <w:r w:rsidRPr="00731276">
        <w:rPr>
          <w:rFonts w:eastAsia="Times New Roman" w:cs="Times New Roman"/>
          <w:color w:val="000000" w:themeColor="text1"/>
          <w:sz w:val="22"/>
          <w:vertAlign w:val="superscript"/>
        </w:rPr>
        <w:t xml:space="preserve"> 1</w:t>
      </w:r>
      <w:r w:rsidRPr="004D64F7">
        <w:rPr>
          <w:rFonts w:eastAsia="Times New Roman" w:cs="Times New Roman"/>
          <w:color w:val="000000" w:themeColor="text1"/>
          <w:sz w:val="22"/>
          <w:vertAlign w:val="superscript"/>
        </w:rPr>
        <w:t>*</w:t>
      </w:r>
      <w:r>
        <w:rPr>
          <w:rFonts w:eastAsia="Times New Roman" w:cs="Times New Roman"/>
          <w:color w:val="000000" w:themeColor="text1"/>
          <w:sz w:val="22"/>
        </w:rPr>
        <w:t xml:space="preserve"> </w:t>
      </w:r>
      <w:r w:rsidRPr="004D64F7">
        <w:rPr>
          <w:rFonts w:eastAsia="Times New Roman" w:cs="Times New Roman"/>
          <w:i/>
          <w:color w:val="000000" w:themeColor="text1"/>
          <w:sz w:val="22"/>
        </w:rPr>
        <w:t>P</w:t>
      </w:r>
      <w:r>
        <w:rPr>
          <w:rFonts w:eastAsia="Times New Roman" w:cs="Times New Roman"/>
          <w:color w:val="000000" w:themeColor="text1"/>
          <w:sz w:val="22"/>
        </w:rPr>
        <w:t xml:space="preserve"> &lt; 0.05; </w:t>
      </w:r>
      <w:r w:rsidRPr="004D64F7">
        <w:rPr>
          <w:rFonts w:eastAsia="Times New Roman" w:cs="Times New Roman"/>
          <w:color w:val="000000" w:themeColor="text1"/>
          <w:sz w:val="22"/>
          <w:vertAlign w:val="superscript"/>
        </w:rPr>
        <w:t>**</w:t>
      </w:r>
      <w:r>
        <w:rPr>
          <w:rFonts w:eastAsia="Times New Roman" w:cs="Times New Roman"/>
          <w:color w:val="000000" w:themeColor="text1"/>
          <w:sz w:val="22"/>
        </w:rPr>
        <w:t xml:space="preserve"> </w:t>
      </w:r>
      <w:r w:rsidRPr="004D64F7">
        <w:rPr>
          <w:rFonts w:eastAsia="Times New Roman" w:cs="Times New Roman"/>
          <w:i/>
          <w:color w:val="000000" w:themeColor="text1"/>
          <w:sz w:val="22"/>
        </w:rPr>
        <w:t>P</w:t>
      </w:r>
      <w:r>
        <w:rPr>
          <w:rFonts w:eastAsia="Times New Roman" w:cs="Times New Roman"/>
          <w:color w:val="000000" w:themeColor="text1"/>
          <w:sz w:val="22"/>
        </w:rPr>
        <w:t xml:space="preserve"> &lt; 0.01. </w:t>
      </w:r>
      <w:r w:rsidRPr="00731276">
        <w:rPr>
          <w:rFonts w:eastAsia="Times New Roman" w:cs="Times New Roman"/>
          <w:color w:val="000000" w:themeColor="text1"/>
          <w:sz w:val="22"/>
        </w:rPr>
        <w:t>IL-6, interleukin</w:t>
      </w:r>
      <w:r>
        <w:rPr>
          <w:rFonts w:eastAsia="Times New Roman" w:cs="Times New Roman"/>
          <w:color w:val="000000" w:themeColor="text1"/>
          <w:sz w:val="22"/>
        </w:rPr>
        <w:t>-</w:t>
      </w:r>
      <w:r w:rsidRPr="00731276">
        <w:rPr>
          <w:rFonts w:eastAsia="Times New Roman" w:cs="Times New Roman"/>
          <w:color w:val="000000" w:themeColor="text1"/>
          <w:sz w:val="22"/>
        </w:rPr>
        <w:t xml:space="preserve">6; </w:t>
      </w:r>
      <w:r>
        <w:rPr>
          <w:rFonts w:eastAsia="Times New Roman" w:cs="Times New Roman"/>
          <w:color w:val="000000" w:themeColor="text1"/>
          <w:sz w:val="22"/>
        </w:rPr>
        <w:t xml:space="preserve">LPS, </w:t>
      </w:r>
      <w:r w:rsidRPr="00731276">
        <w:rPr>
          <w:rFonts w:eastAsia="Times New Roman" w:cs="Times New Roman"/>
          <w:color w:val="000000" w:themeColor="text1"/>
          <w:sz w:val="22"/>
        </w:rPr>
        <w:t>lipopolysaccharide</w:t>
      </w:r>
      <w:r>
        <w:rPr>
          <w:rFonts w:eastAsia="Times New Roman" w:cs="Times New Roman"/>
          <w:color w:val="000000" w:themeColor="text1"/>
          <w:sz w:val="22"/>
        </w:rPr>
        <w:t xml:space="preserve">; </w:t>
      </w:r>
      <w:r w:rsidRPr="00731276">
        <w:rPr>
          <w:rFonts w:eastAsia="Times New Roman" w:cs="Times New Roman"/>
          <w:color w:val="000000" w:themeColor="text1"/>
          <w:sz w:val="22"/>
        </w:rPr>
        <w:t xml:space="preserve">LBP, </w:t>
      </w:r>
      <w:r>
        <w:rPr>
          <w:rFonts w:eastAsia="Times New Roman" w:cs="Times New Roman"/>
          <w:color w:val="000000" w:themeColor="text1"/>
          <w:sz w:val="22"/>
        </w:rPr>
        <w:t>LPS</w:t>
      </w:r>
      <w:r w:rsidRPr="00731276">
        <w:rPr>
          <w:rFonts w:eastAsia="Times New Roman" w:cs="Times New Roman"/>
          <w:color w:val="000000" w:themeColor="text1"/>
          <w:sz w:val="22"/>
        </w:rPr>
        <w:t>-binding protein; sCD14, soluble CD14; hsCRP, high-sensitivity C-reactive protein; TNF-α, tumor necrosis factor alpha; sTNF-RII, soluble tumor necrosis factor receptor II; IgM EndoCAb, immunoglo</w:t>
      </w:r>
      <w:r>
        <w:rPr>
          <w:rFonts w:eastAsia="Times New Roman" w:cs="Times New Roman"/>
          <w:color w:val="000000" w:themeColor="text1"/>
          <w:sz w:val="22"/>
        </w:rPr>
        <w:t>bulin M endotoxin-core antibody;</w:t>
      </w:r>
      <w:r w:rsidRPr="002C722B">
        <w:rPr>
          <w:rFonts w:eastAsia="Times New Roman" w:cs="Times New Roman"/>
          <w:color w:val="000000" w:themeColor="text1"/>
          <w:sz w:val="22"/>
        </w:rPr>
        <w:t xml:space="preserve"> </w:t>
      </w:r>
      <w:r>
        <w:rPr>
          <w:rFonts w:eastAsia="Times New Roman" w:cs="Times New Roman"/>
          <w:color w:val="000000" w:themeColor="text1"/>
          <w:sz w:val="22"/>
        </w:rPr>
        <w:t xml:space="preserve">AEA, anandamide; 2-AG, </w:t>
      </w:r>
      <w:r w:rsidRPr="005F48F4">
        <w:rPr>
          <w:rFonts w:eastAsia="Times New Roman" w:cs="Times New Roman"/>
          <w:color w:val="000000" w:themeColor="text1"/>
          <w:sz w:val="22"/>
        </w:rPr>
        <w:t>2-arachidonoylglycerol</w:t>
      </w:r>
      <w:r>
        <w:rPr>
          <w:rFonts w:eastAsia="Times New Roman" w:cs="Times New Roman"/>
          <w:color w:val="000000" w:themeColor="text1"/>
          <w:sz w:val="22"/>
        </w:rPr>
        <w:t>.</w:t>
      </w:r>
    </w:p>
    <w:p w:rsidR="0037484A" w:rsidRDefault="0037484A" w:rsidP="0037484A">
      <w:pPr>
        <w:sectPr w:rsidR="0037484A" w:rsidSect="00C343FF">
          <w:pgSz w:w="15840" w:h="12240" w:orient="landscape"/>
          <w:pgMar w:top="1440" w:right="1440" w:bottom="1440" w:left="1440" w:header="720" w:footer="288" w:gutter="0"/>
          <w:cols w:space="576"/>
          <w:docGrid w:linePitch="360"/>
        </w:sectPr>
      </w:pPr>
      <w:r>
        <w:rPr>
          <w:rFonts w:eastAsia="Times New Roman" w:cs="Times New Roman"/>
          <w:color w:val="000000" w:themeColor="text1"/>
          <w:sz w:val="22"/>
          <w:vertAlign w:val="superscript"/>
        </w:rPr>
        <w:t>2</w:t>
      </w:r>
      <w:r w:rsidRPr="00731276">
        <w:rPr>
          <w:rFonts w:eastAsia="Times New Roman" w:cs="Times New Roman"/>
          <w:color w:val="000000" w:themeColor="text1"/>
          <w:sz w:val="22"/>
        </w:rPr>
        <w:t>Pearson correlation coefficient.</w:t>
      </w:r>
      <w:r w:rsidRPr="008B14F0">
        <w:t xml:space="preserve"> </w:t>
      </w:r>
    </w:p>
    <w:p w:rsidR="0037484A" w:rsidRPr="0076406F" w:rsidRDefault="0037484A" w:rsidP="0037484A">
      <w:pPr>
        <w:rPr>
          <w:b/>
        </w:rPr>
      </w:pPr>
      <w:bookmarkStart w:id="0" w:name="OLE_LINK1"/>
      <w:r>
        <w:rPr>
          <w:b/>
        </w:rPr>
        <w:lastRenderedPageBreak/>
        <w:t>Supplementary Table</w:t>
      </w:r>
      <w:r w:rsidRPr="00A30C85">
        <w:rPr>
          <w:b/>
        </w:rPr>
        <w:t xml:space="preserve"> S</w:t>
      </w:r>
      <w:r w:rsidR="0008285C">
        <w:rPr>
          <w:b/>
        </w:rPr>
        <w:t>3</w:t>
      </w:r>
      <w:bookmarkStart w:id="1" w:name="_GoBack"/>
      <w:bookmarkEnd w:id="1"/>
      <w:r w:rsidRPr="0044544F">
        <w:t xml:space="preserve"> </w:t>
      </w:r>
      <w:bookmarkEnd w:id="0"/>
      <w:r w:rsidRPr="00A30C85">
        <w:t>Self-reported dietary intakes at baseline and near the end of intervention, determined by 3-day dietary</w:t>
      </w:r>
      <w:r>
        <w:t xml:space="preserve"> record (mean ± SEM)</w:t>
      </w:r>
      <w:r w:rsidRPr="00A30C85">
        <w:rPr>
          <w:vertAlign w:val="superscript"/>
        </w:rPr>
        <w:t>1</w:t>
      </w:r>
      <w:r w:rsidRPr="00A30C85">
        <w:t>.</w:t>
      </w:r>
    </w:p>
    <w:tbl>
      <w:tblPr>
        <w:tblW w:w="13340" w:type="dxa"/>
        <w:tblInd w:w="108" w:type="dxa"/>
        <w:tblLook w:val="04A0" w:firstRow="1" w:lastRow="0" w:firstColumn="1" w:lastColumn="0" w:noHBand="0" w:noVBand="1"/>
      </w:tblPr>
      <w:tblGrid>
        <w:gridCol w:w="1980"/>
        <w:gridCol w:w="1340"/>
        <w:gridCol w:w="1440"/>
        <w:gridCol w:w="1380"/>
        <w:gridCol w:w="1420"/>
        <w:gridCol w:w="1480"/>
        <w:gridCol w:w="1460"/>
        <w:gridCol w:w="1360"/>
        <w:gridCol w:w="1480"/>
      </w:tblGrid>
      <w:tr w:rsidR="0037484A" w:rsidRPr="00C3209E" w:rsidTr="00D567AF">
        <w:trPr>
          <w:trHeight w:val="315"/>
        </w:trPr>
        <w:tc>
          <w:tcPr>
            <w:tcW w:w="1980" w:type="dxa"/>
            <w:vMerge w:val="restart"/>
            <w:tcBorders>
              <w:top w:val="single" w:sz="8" w:space="0" w:color="auto"/>
              <w:left w:val="nil"/>
              <w:bottom w:val="single" w:sz="8" w:space="0" w:color="000000"/>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sidRPr="00C3209E">
              <w:rPr>
                <w:rFonts w:eastAsia="Times New Roman" w:cs="Times New Roman"/>
                <w:b/>
                <w:bCs/>
                <w:color w:val="000000"/>
                <w:sz w:val="22"/>
              </w:rPr>
              <w:t xml:space="preserve">Intakes </w:t>
            </w:r>
            <w:r w:rsidRPr="00C3209E">
              <w:rPr>
                <w:rFonts w:eastAsia="Times New Roman" w:cs="Times New Roman"/>
                <w:color w:val="000000"/>
                <w:sz w:val="22"/>
              </w:rPr>
              <w:t>(unit)</w:t>
            </w:r>
          </w:p>
        </w:tc>
        <w:tc>
          <w:tcPr>
            <w:tcW w:w="11360" w:type="dxa"/>
            <w:gridSpan w:val="8"/>
            <w:tcBorders>
              <w:top w:val="single" w:sz="8" w:space="0" w:color="auto"/>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b/>
                <w:bCs/>
                <w:color w:val="000000"/>
                <w:sz w:val="22"/>
              </w:rPr>
            </w:pPr>
            <w:r w:rsidRPr="00C3209E">
              <w:rPr>
                <w:rFonts w:eastAsia="Times New Roman" w:cs="Times New Roman"/>
                <w:b/>
                <w:bCs/>
                <w:color w:val="000000"/>
                <w:sz w:val="22"/>
              </w:rPr>
              <w:t>Group</w:t>
            </w:r>
          </w:p>
        </w:tc>
      </w:tr>
      <w:tr w:rsidR="0037484A" w:rsidRPr="00C3209E" w:rsidTr="00D567AF">
        <w:trPr>
          <w:trHeight w:val="315"/>
        </w:trPr>
        <w:tc>
          <w:tcPr>
            <w:tcW w:w="1980" w:type="dxa"/>
            <w:vMerge/>
            <w:tcBorders>
              <w:top w:val="single" w:sz="8" w:space="0" w:color="auto"/>
              <w:left w:val="nil"/>
              <w:bottom w:val="single" w:sz="8" w:space="0" w:color="000000"/>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p>
        </w:tc>
        <w:tc>
          <w:tcPr>
            <w:tcW w:w="2780" w:type="dxa"/>
            <w:gridSpan w:val="2"/>
            <w:tcBorders>
              <w:top w:val="single" w:sz="8" w:space="0" w:color="auto"/>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Pr>
                <w:rFonts w:eastAsia="Times New Roman" w:cs="Times New Roman"/>
                <w:color w:val="000000"/>
                <w:sz w:val="22"/>
              </w:rPr>
              <w:t>CN</w:t>
            </w:r>
            <w:r w:rsidRPr="00C3209E">
              <w:rPr>
                <w:rFonts w:eastAsia="Times New Roman" w:cs="Times New Roman"/>
                <w:color w:val="000000"/>
                <w:sz w:val="22"/>
              </w:rPr>
              <w:t xml:space="preserve"> (n = 29)</w:t>
            </w:r>
            <w:r>
              <w:rPr>
                <w:rFonts w:eastAsia="Times New Roman" w:cs="Times New Roman"/>
                <w:color w:val="000000"/>
                <w:sz w:val="22"/>
                <w:vertAlign w:val="superscript"/>
              </w:rPr>
              <w:t>2</w:t>
            </w:r>
          </w:p>
        </w:tc>
        <w:tc>
          <w:tcPr>
            <w:tcW w:w="2800" w:type="dxa"/>
            <w:gridSpan w:val="2"/>
            <w:tcBorders>
              <w:top w:val="single" w:sz="8" w:space="0" w:color="auto"/>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Pr>
                <w:rFonts w:eastAsia="Times New Roman" w:cs="Times New Roman"/>
                <w:color w:val="000000"/>
                <w:sz w:val="22"/>
              </w:rPr>
              <w:t>CO</w:t>
            </w:r>
            <w:r w:rsidRPr="00C3209E">
              <w:rPr>
                <w:rFonts w:eastAsia="Times New Roman" w:cs="Times New Roman"/>
                <w:color w:val="000000"/>
                <w:sz w:val="22"/>
              </w:rPr>
              <w:t xml:space="preserve"> (n = 30)</w:t>
            </w:r>
          </w:p>
        </w:tc>
        <w:tc>
          <w:tcPr>
            <w:tcW w:w="2940" w:type="dxa"/>
            <w:gridSpan w:val="2"/>
            <w:tcBorders>
              <w:top w:val="single" w:sz="8" w:space="0" w:color="auto"/>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Pr>
                <w:rFonts w:eastAsia="Times New Roman" w:cs="Times New Roman"/>
                <w:color w:val="000000"/>
                <w:sz w:val="22"/>
              </w:rPr>
              <w:t>YN</w:t>
            </w:r>
            <w:r w:rsidRPr="00C3209E">
              <w:rPr>
                <w:rFonts w:eastAsia="Times New Roman" w:cs="Times New Roman"/>
                <w:color w:val="000000"/>
                <w:sz w:val="22"/>
              </w:rPr>
              <w:t xml:space="preserve"> (n = 30)</w:t>
            </w:r>
          </w:p>
        </w:tc>
        <w:tc>
          <w:tcPr>
            <w:tcW w:w="2840" w:type="dxa"/>
            <w:gridSpan w:val="2"/>
            <w:tcBorders>
              <w:top w:val="single" w:sz="8" w:space="0" w:color="auto"/>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Pr>
                <w:rFonts w:eastAsia="Times New Roman" w:cs="Times New Roman"/>
                <w:color w:val="000000"/>
                <w:sz w:val="22"/>
              </w:rPr>
              <w:t>YO</w:t>
            </w:r>
            <w:r w:rsidRPr="00C3209E">
              <w:rPr>
                <w:rFonts w:eastAsia="Times New Roman" w:cs="Times New Roman"/>
                <w:color w:val="000000"/>
                <w:sz w:val="22"/>
              </w:rPr>
              <w:t xml:space="preserve"> (n = 30)</w:t>
            </w:r>
          </w:p>
        </w:tc>
      </w:tr>
      <w:tr w:rsidR="0037484A" w:rsidRPr="00C3209E" w:rsidTr="00D567AF">
        <w:trPr>
          <w:trHeight w:val="430"/>
        </w:trPr>
        <w:tc>
          <w:tcPr>
            <w:tcW w:w="1980" w:type="dxa"/>
            <w:vMerge/>
            <w:tcBorders>
              <w:top w:val="single" w:sz="8" w:space="0" w:color="auto"/>
              <w:left w:val="nil"/>
              <w:bottom w:val="single" w:sz="8" w:space="0" w:color="000000"/>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p>
        </w:tc>
        <w:tc>
          <w:tcPr>
            <w:tcW w:w="134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sidRPr="00C3209E">
              <w:rPr>
                <w:rFonts w:eastAsia="Times New Roman" w:cs="Times New Roman"/>
                <w:color w:val="000000"/>
                <w:sz w:val="22"/>
              </w:rPr>
              <w:t>B</w:t>
            </w:r>
            <w:r>
              <w:rPr>
                <w:rFonts w:eastAsia="Times New Roman" w:cs="Times New Roman"/>
                <w:color w:val="000000"/>
                <w:sz w:val="22"/>
              </w:rPr>
              <w:t>aseline</w:t>
            </w:r>
          </w:p>
        </w:tc>
        <w:tc>
          <w:tcPr>
            <w:tcW w:w="144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sidRPr="00C3209E">
              <w:rPr>
                <w:rFonts w:eastAsia="Times New Roman" w:cs="Times New Roman"/>
                <w:color w:val="000000"/>
                <w:sz w:val="22"/>
              </w:rPr>
              <w:t>End</w:t>
            </w:r>
          </w:p>
        </w:tc>
        <w:tc>
          <w:tcPr>
            <w:tcW w:w="138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sidRPr="00C3209E">
              <w:rPr>
                <w:rFonts w:eastAsia="Times New Roman" w:cs="Times New Roman"/>
                <w:color w:val="000000"/>
                <w:sz w:val="22"/>
              </w:rPr>
              <w:t>B</w:t>
            </w:r>
            <w:r>
              <w:rPr>
                <w:rFonts w:eastAsia="Times New Roman" w:cs="Times New Roman"/>
                <w:color w:val="000000"/>
                <w:sz w:val="22"/>
              </w:rPr>
              <w:t>aseline</w:t>
            </w:r>
          </w:p>
        </w:tc>
        <w:tc>
          <w:tcPr>
            <w:tcW w:w="142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sidRPr="00C3209E">
              <w:rPr>
                <w:rFonts w:eastAsia="Times New Roman" w:cs="Times New Roman"/>
                <w:color w:val="000000"/>
                <w:sz w:val="22"/>
              </w:rPr>
              <w:t>End</w:t>
            </w:r>
          </w:p>
        </w:tc>
        <w:tc>
          <w:tcPr>
            <w:tcW w:w="148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sidRPr="00C3209E">
              <w:rPr>
                <w:rFonts w:eastAsia="Times New Roman" w:cs="Times New Roman"/>
                <w:color w:val="000000"/>
                <w:sz w:val="22"/>
              </w:rPr>
              <w:t>B</w:t>
            </w:r>
            <w:r>
              <w:rPr>
                <w:rFonts w:eastAsia="Times New Roman" w:cs="Times New Roman"/>
                <w:color w:val="000000"/>
                <w:sz w:val="22"/>
              </w:rPr>
              <w:t>aseline</w:t>
            </w:r>
          </w:p>
        </w:tc>
        <w:tc>
          <w:tcPr>
            <w:tcW w:w="146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sidRPr="00C3209E">
              <w:rPr>
                <w:rFonts w:eastAsia="Times New Roman" w:cs="Times New Roman"/>
                <w:color w:val="000000"/>
                <w:sz w:val="22"/>
              </w:rPr>
              <w:t>End</w:t>
            </w:r>
          </w:p>
        </w:tc>
        <w:tc>
          <w:tcPr>
            <w:tcW w:w="136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sidRPr="00C3209E">
              <w:rPr>
                <w:rFonts w:eastAsia="Times New Roman" w:cs="Times New Roman"/>
                <w:color w:val="000000"/>
                <w:sz w:val="22"/>
              </w:rPr>
              <w:t>B</w:t>
            </w:r>
            <w:r>
              <w:rPr>
                <w:rFonts w:eastAsia="Times New Roman" w:cs="Times New Roman"/>
                <w:color w:val="000000"/>
                <w:sz w:val="22"/>
              </w:rPr>
              <w:t>aseline</w:t>
            </w:r>
          </w:p>
        </w:tc>
        <w:tc>
          <w:tcPr>
            <w:tcW w:w="148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center"/>
              <w:rPr>
                <w:rFonts w:eastAsia="Times New Roman" w:cs="Times New Roman"/>
                <w:color w:val="000000"/>
                <w:sz w:val="22"/>
              </w:rPr>
            </w:pPr>
            <w:r w:rsidRPr="00C3209E">
              <w:rPr>
                <w:rFonts w:eastAsia="Times New Roman" w:cs="Times New Roman"/>
                <w:color w:val="000000"/>
                <w:sz w:val="22"/>
              </w:rPr>
              <w:t>End</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Energy (kcal)</w:t>
            </w:r>
            <w:r>
              <w:rPr>
                <w:rFonts w:eastAsia="Times New Roman" w:cs="Times New Roman"/>
                <w:color w:val="000000"/>
                <w:sz w:val="22"/>
              </w:rPr>
              <w:t>*</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1657 ± 54</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1733 ± 48</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1869 ± 61</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1900 ± 67</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1666 ± 60</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1727 ± 60</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1893 ± 69</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1962 ± 63</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Total Fat (g)</w:t>
            </w:r>
            <w:r>
              <w:rPr>
                <w:rFonts w:eastAsia="Times New Roman" w:cs="Times New Roman"/>
                <w:color w:val="000000"/>
                <w:sz w:val="22"/>
              </w:rPr>
              <w:t>*</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67.4 ± 3.1</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58.8 ± 2.7 ↓</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75.2 ± 3.6</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67.6 ± 3.7</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62.8 ± 3.7</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59.7 ± 3.5</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77.5 ± 3.8</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71.8 ± 3.8</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Carbohydrate (g)</w:t>
            </w:r>
            <w:r>
              <w:rPr>
                <w:rFonts w:eastAsia="Times New Roman" w:cs="Times New Roman"/>
                <w:color w:val="000000"/>
                <w:sz w:val="22"/>
              </w:rPr>
              <w:t>*</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197.1 ± 7.8</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234.2 ± 7.5 ↑</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226.4 ± 8.4</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251.6 ± 9.2</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205.7 ± 6.4</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226.7 ± 6.7</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223.7 ± 9.6</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255.1 ± 8.1 ↑</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Total Protein (g)</w:t>
            </w:r>
            <w:r>
              <w:rPr>
                <w:rFonts w:eastAsia="Times New Roman" w:cs="Times New Roman"/>
                <w:color w:val="000000"/>
                <w:sz w:val="22"/>
              </w:rPr>
              <w:t>*</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71 ± 2.8</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70.2 ± 2.5</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78 ± 3.5</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72.9 ± 3.0</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72.8 ± 3.4</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70.9 ± 3.3</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78.6 ± 3.1</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76.4 ± 3.0</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Pr>
                <w:rFonts w:eastAsia="Times New Roman" w:cs="Times New Roman"/>
                <w:color w:val="000000"/>
                <w:sz w:val="22"/>
              </w:rPr>
              <w:t xml:space="preserve">Total </w:t>
            </w:r>
            <w:r w:rsidRPr="00C3209E">
              <w:rPr>
                <w:rFonts w:eastAsia="Times New Roman" w:cs="Times New Roman"/>
                <w:color w:val="000000"/>
                <w:sz w:val="22"/>
              </w:rPr>
              <w:t>Fat (%</w:t>
            </w:r>
            <w:r>
              <w:rPr>
                <w:rFonts w:eastAsia="Times New Roman" w:cs="Times New Roman"/>
                <w:color w:val="000000"/>
                <w:sz w:val="22"/>
              </w:rPr>
              <w:t xml:space="preserve"> </w:t>
            </w:r>
            <w:r>
              <w:rPr>
                <w:rFonts w:eastAsia="Times New Roman" w:cs="Times New Roman"/>
                <w:color w:val="000000"/>
                <w:sz w:val="22"/>
                <w:vertAlign w:val="superscript"/>
              </w:rPr>
              <w:t>3</w:t>
            </w:r>
            <w:r w:rsidRPr="00C3209E">
              <w:rPr>
                <w:rFonts w:eastAsia="Times New Roman" w:cs="Times New Roman"/>
                <w:color w:val="000000"/>
                <w:sz w:val="22"/>
              </w:rPr>
              <w:t>)</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35.7 ± 1.1</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29.3 ± 0.9 ↓</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34.8 ± 1.0</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30.4 ± 0.9 ↓</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31.8 ± 0.9</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28.8 ± 0.9 ↓</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35.4 ± 1.0</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31.3 ± 0.9 ↓</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Carbohydrate (%</w:t>
            </w:r>
            <w:r>
              <w:rPr>
                <w:rFonts w:eastAsia="Times New Roman" w:cs="Times New Roman"/>
                <w:color w:val="000000"/>
                <w:sz w:val="22"/>
              </w:rPr>
              <w:t xml:space="preserve"> </w:t>
            </w:r>
            <w:r>
              <w:rPr>
                <w:rFonts w:eastAsia="Times New Roman" w:cs="Times New Roman"/>
                <w:color w:val="000000"/>
                <w:sz w:val="22"/>
                <w:vertAlign w:val="superscript"/>
              </w:rPr>
              <w:t>3</w:t>
            </w:r>
            <w:r w:rsidRPr="00C3209E">
              <w:rPr>
                <w:rFonts w:eastAsia="Times New Roman" w:cs="Times New Roman"/>
                <w:color w:val="000000"/>
                <w:sz w:val="22"/>
              </w:rPr>
              <w:t>)</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46.0 ± 1.2</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52.2 ± 1.0 ↑</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48.0 ± 1.1</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51.7 ± 1.1 ↑</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49.8 ± 1.1</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52.3 ± 1.1</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46.0 ± 1.1</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50.6 ± 0.9 ↑</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Total Protein (%</w:t>
            </w:r>
            <w:r>
              <w:rPr>
                <w:rFonts w:eastAsia="Times New Roman" w:cs="Times New Roman"/>
                <w:color w:val="000000"/>
                <w:sz w:val="22"/>
              </w:rPr>
              <w:t xml:space="preserve"> </w:t>
            </w:r>
            <w:r>
              <w:rPr>
                <w:rFonts w:eastAsia="Times New Roman" w:cs="Times New Roman"/>
                <w:color w:val="000000"/>
                <w:sz w:val="22"/>
                <w:vertAlign w:val="superscript"/>
              </w:rPr>
              <w:t>3</w:t>
            </w:r>
            <w:r w:rsidRPr="00C3209E">
              <w:rPr>
                <w:rFonts w:eastAsia="Times New Roman" w:cs="Times New Roman"/>
                <w:color w:val="000000"/>
                <w:sz w:val="22"/>
              </w:rPr>
              <w:t>)</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17.3 ± 0.7</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18.1 ± 0.6</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16.7 ± 0.5</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17.1 ± 0.6</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17.7 ± 0.7</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17.8 ± 0.5</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17.3 ± 0.6</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17.1 ± 0.5</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Cholesterol (mg)</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268 ± 23</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223 ± 22</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249 ± 22</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240 ± 23</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258 ± 21</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256 ± 22</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332 ± 25</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255 ± 20 ↓</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SFA (g)</w:t>
            </w:r>
            <w:r>
              <w:rPr>
                <w:rFonts w:eastAsia="Times New Roman" w:cs="Times New Roman"/>
                <w:color w:val="000000"/>
                <w:sz w:val="22"/>
              </w:rPr>
              <w:t>*</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22.5 ± 1.2</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20.5 ± 1.1</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25.4 ± 1.7</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23.4 ± 1.7</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20.9 ± 1.5</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19.7 ± 1.4</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27.2 ± 1.4</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24.0 ± 1.3</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Vitamin D (</w:t>
            </w:r>
            <w:r w:rsidRPr="00C3209E">
              <w:rPr>
                <w:rFonts w:ascii="Calibri" w:eastAsia="Times New Roman" w:hAnsi="Calibri" w:cs="Times New Roman"/>
                <w:color w:val="000000"/>
                <w:sz w:val="22"/>
              </w:rPr>
              <w:t>μ</w:t>
            </w:r>
            <w:r w:rsidRPr="00C3209E">
              <w:rPr>
                <w:rFonts w:eastAsia="Times New Roman" w:cs="Times New Roman"/>
                <w:color w:val="000000"/>
                <w:sz w:val="22"/>
              </w:rPr>
              <w:t>g)</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5.4 ± 0.6</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10.9 ± 0.5 ↑</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4.5 ± 0.5</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9.3 ± 0.3 ↑</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4.2 ± 0.5</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9.9 ± 0.4 ↑</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4.4 ± 0.4</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10.1 ± 0.3 ↑</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Calcium (mg)</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819 ± 36</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926 ± 38 ↑</w:t>
            </w:r>
            <w:r w:rsidRPr="00DF3162">
              <w:rPr>
                <w:rFonts w:eastAsia="Times New Roman" w:cs="Times New Roman"/>
                <w:color w:val="000000"/>
                <w:sz w:val="22"/>
                <w:vertAlign w:val="superscript"/>
              </w:rPr>
              <w:t>#</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811 ± 45</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887 ± 49</w:t>
            </w:r>
            <w:r>
              <w:rPr>
                <w:rFonts w:eastAsia="Times New Roman" w:cs="Times New Roman"/>
                <w:color w:val="000000"/>
                <w:sz w:val="22"/>
                <w:vertAlign w:val="superscript"/>
              </w:rPr>
              <w:t>$</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713 ± 35</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1058 ± 38 ↑</w:t>
            </w:r>
            <w:r>
              <w:rPr>
                <w:rFonts w:eastAsia="Times New Roman" w:cs="Times New Roman"/>
                <w:color w:val="000000"/>
                <w:sz w:val="22"/>
                <w:vertAlign w:val="superscript"/>
              </w:rPr>
              <w:t>#</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835 ± 47</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1166 ± 38 ↑</w:t>
            </w:r>
            <w:r w:rsidRPr="00DF3162">
              <w:rPr>
                <w:rFonts w:eastAsia="Times New Roman" w:cs="Times New Roman"/>
                <w:color w:val="000000"/>
                <w:sz w:val="22"/>
                <w:vertAlign w:val="superscript"/>
              </w:rPr>
              <w:t>$</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Sodium (mg)</w:t>
            </w:r>
            <w:r>
              <w:rPr>
                <w:rFonts w:eastAsia="Times New Roman" w:cs="Times New Roman"/>
                <w:color w:val="000000"/>
                <w:sz w:val="22"/>
              </w:rPr>
              <w:t>*</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2751 ± 135</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2492 ± 96</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3350 ± 185</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2823 ± 131</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2989 ± 187</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2573 ± 140 ↓</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3116 ± 175</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2954 ± 175</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lastRenderedPageBreak/>
              <w:t>Potassium (mg)</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2492 ± 101</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2186 ± 80 ↓</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2476 ± 140</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2264 ± 96</w:t>
            </w:r>
            <w:r w:rsidRPr="00E23C2F">
              <w:rPr>
                <w:rFonts w:eastAsia="Times New Roman" w:cs="Times New Roman"/>
                <w:color w:val="000000"/>
                <w:sz w:val="22"/>
                <w:vertAlign w:val="superscript"/>
              </w:rPr>
              <w:t>$</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2433 ± 85</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2425 ± 89</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2473 ± 107</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2695 ± 101 ↑</w:t>
            </w:r>
            <w:r w:rsidRPr="00E23C2F">
              <w:rPr>
                <w:rFonts w:eastAsia="Times New Roman" w:cs="Times New Roman"/>
                <w:color w:val="000000"/>
                <w:sz w:val="22"/>
                <w:vertAlign w:val="superscript"/>
              </w:rPr>
              <w:t>$</w:t>
            </w:r>
          </w:p>
        </w:tc>
      </w:tr>
      <w:tr w:rsidR="0037484A" w:rsidRPr="00C3209E" w:rsidTr="00D567AF">
        <w:trPr>
          <w:trHeight w:val="300"/>
        </w:trPr>
        <w:tc>
          <w:tcPr>
            <w:tcW w:w="19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Total Sugars (g)</w:t>
            </w:r>
            <w:r>
              <w:rPr>
                <w:rFonts w:eastAsia="Times New Roman" w:cs="Times New Roman"/>
                <w:color w:val="000000"/>
                <w:sz w:val="22"/>
              </w:rPr>
              <w:t>*</w:t>
            </w:r>
          </w:p>
        </w:tc>
        <w:tc>
          <w:tcPr>
            <w:tcW w:w="13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71.7 ± 3.7</w:t>
            </w:r>
          </w:p>
        </w:tc>
        <w:tc>
          <w:tcPr>
            <w:tcW w:w="144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111.3 ± 3.3 ↑</w:t>
            </w:r>
          </w:p>
        </w:tc>
        <w:tc>
          <w:tcPr>
            <w:tcW w:w="13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87.2 ± 4.4</w:t>
            </w:r>
          </w:p>
        </w:tc>
        <w:tc>
          <w:tcPr>
            <w:tcW w:w="142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116.6 ± 4.4 ↑</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77.7 ± 3.7</w:t>
            </w:r>
          </w:p>
        </w:tc>
        <w:tc>
          <w:tcPr>
            <w:tcW w:w="14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104.6 ± 3.5 ↑</w:t>
            </w:r>
          </w:p>
        </w:tc>
        <w:tc>
          <w:tcPr>
            <w:tcW w:w="136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87.7 ± 5.0</w:t>
            </w:r>
          </w:p>
        </w:tc>
        <w:tc>
          <w:tcPr>
            <w:tcW w:w="1480" w:type="dxa"/>
            <w:tcBorders>
              <w:top w:val="nil"/>
              <w:left w:val="nil"/>
              <w:bottom w:val="nil"/>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115.1 ± 4.1 ↑</w:t>
            </w:r>
          </w:p>
        </w:tc>
      </w:tr>
      <w:tr w:rsidR="0037484A" w:rsidRPr="00C3209E" w:rsidTr="00D567AF">
        <w:trPr>
          <w:trHeight w:val="315"/>
        </w:trPr>
        <w:tc>
          <w:tcPr>
            <w:tcW w:w="198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rPr>
                <w:rFonts w:eastAsia="Times New Roman" w:cs="Times New Roman"/>
                <w:color w:val="000000"/>
                <w:sz w:val="22"/>
              </w:rPr>
            </w:pPr>
            <w:r w:rsidRPr="00C3209E">
              <w:rPr>
                <w:rFonts w:eastAsia="Times New Roman" w:cs="Times New Roman"/>
                <w:color w:val="000000"/>
                <w:sz w:val="22"/>
              </w:rPr>
              <w:t>Added Sugars (g)</w:t>
            </w:r>
            <w:r>
              <w:rPr>
                <w:rFonts w:eastAsia="Times New Roman" w:cs="Times New Roman"/>
                <w:color w:val="000000"/>
                <w:sz w:val="22"/>
              </w:rPr>
              <w:t>*</w:t>
            </w:r>
          </w:p>
        </w:tc>
        <w:tc>
          <w:tcPr>
            <w:tcW w:w="134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37.2 ± 3.3</w:t>
            </w:r>
          </w:p>
        </w:tc>
        <w:tc>
          <w:tcPr>
            <w:tcW w:w="144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70.3 ± 2.5 ↑</w:t>
            </w:r>
          </w:p>
        </w:tc>
        <w:tc>
          <w:tcPr>
            <w:tcW w:w="138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54.5 ± 4.1</w:t>
            </w:r>
          </w:p>
        </w:tc>
        <w:tc>
          <w:tcPr>
            <w:tcW w:w="142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83.4 ± 4.3 ↑</w:t>
            </w:r>
          </w:p>
        </w:tc>
        <w:tc>
          <w:tcPr>
            <w:tcW w:w="148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38.8 ± 3.2</w:t>
            </w:r>
          </w:p>
        </w:tc>
        <w:tc>
          <w:tcPr>
            <w:tcW w:w="146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71.2 ± 3.2 ↑</w:t>
            </w:r>
          </w:p>
        </w:tc>
        <w:tc>
          <w:tcPr>
            <w:tcW w:w="136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52.8 ± 5.2</w:t>
            </w:r>
          </w:p>
        </w:tc>
        <w:tc>
          <w:tcPr>
            <w:tcW w:w="1480" w:type="dxa"/>
            <w:tcBorders>
              <w:top w:val="nil"/>
              <w:left w:val="nil"/>
              <w:bottom w:val="single" w:sz="8" w:space="0" w:color="auto"/>
              <w:right w:val="nil"/>
            </w:tcBorders>
            <w:shd w:val="clear" w:color="auto" w:fill="auto"/>
            <w:vAlign w:val="center"/>
            <w:hideMark/>
          </w:tcPr>
          <w:p w:rsidR="0037484A" w:rsidRPr="00C3209E" w:rsidRDefault="0037484A" w:rsidP="00D567AF">
            <w:pPr>
              <w:spacing w:before="0" w:beforeAutospacing="0" w:after="0" w:afterAutospacing="0"/>
              <w:jc w:val="right"/>
              <w:rPr>
                <w:rFonts w:eastAsia="Times New Roman" w:cs="Times New Roman"/>
                <w:color w:val="000000"/>
                <w:sz w:val="22"/>
              </w:rPr>
            </w:pPr>
            <w:r w:rsidRPr="00C3209E">
              <w:rPr>
                <w:rFonts w:eastAsia="Times New Roman" w:cs="Times New Roman"/>
                <w:color w:val="000000"/>
                <w:sz w:val="22"/>
              </w:rPr>
              <w:t>81.6 ± 3.6 ↑</w:t>
            </w:r>
          </w:p>
        </w:tc>
      </w:tr>
    </w:tbl>
    <w:p w:rsidR="0037484A" w:rsidRDefault="0037484A" w:rsidP="0037484A">
      <w:pPr>
        <w:rPr>
          <w:color w:val="000000" w:themeColor="text1"/>
          <w:sz w:val="22"/>
        </w:rPr>
      </w:pPr>
      <w:r>
        <w:rPr>
          <w:rFonts w:cs="Times New Roman"/>
          <w:color w:val="000000" w:themeColor="text1"/>
          <w:sz w:val="22"/>
          <w:vertAlign w:val="superscript"/>
        </w:rPr>
        <w:t>1</w:t>
      </w:r>
      <w:r w:rsidRPr="00731276">
        <w:rPr>
          <w:rFonts w:cs="Times New Roman"/>
          <w:color w:val="000000" w:themeColor="text1"/>
          <w:sz w:val="22"/>
        </w:rPr>
        <w:t xml:space="preserve">Abbreviations: </w:t>
      </w:r>
      <w:r>
        <w:rPr>
          <w:rFonts w:cs="Times New Roman"/>
          <w:color w:val="000000" w:themeColor="text1"/>
          <w:sz w:val="22"/>
        </w:rPr>
        <w:t>CN</w:t>
      </w:r>
      <w:r w:rsidRPr="00731276">
        <w:rPr>
          <w:rFonts w:cs="Times New Roman"/>
          <w:color w:val="000000" w:themeColor="text1"/>
          <w:sz w:val="22"/>
        </w:rPr>
        <w:t xml:space="preserve">, control </w:t>
      </w:r>
      <w:r>
        <w:rPr>
          <w:rFonts w:cs="Times New Roman"/>
          <w:color w:val="000000" w:themeColor="text1"/>
          <w:sz w:val="22"/>
        </w:rPr>
        <w:t>non-obese</w:t>
      </w:r>
      <w:r w:rsidRPr="00731276">
        <w:rPr>
          <w:rFonts w:cs="Times New Roman"/>
          <w:color w:val="000000" w:themeColor="text1"/>
          <w:sz w:val="22"/>
        </w:rPr>
        <w:t xml:space="preserve">; </w:t>
      </w:r>
      <w:r>
        <w:rPr>
          <w:rFonts w:cs="Times New Roman"/>
          <w:color w:val="000000" w:themeColor="text1"/>
          <w:sz w:val="22"/>
        </w:rPr>
        <w:t>CO</w:t>
      </w:r>
      <w:r w:rsidRPr="00731276">
        <w:rPr>
          <w:rFonts w:cs="Times New Roman"/>
          <w:color w:val="000000" w:themeColor="text1"/>
          <w:sz w:val="22"/>
        </w:rPr>
        <w:t xml:space="preserve">, control obese; </w:t>
      </w:r>
      <w:r>
        <w:rPr>
          <w:rFonts w:cs="Times New Roman"/>
          <w:color w:val="000000" w:themeColor="text1"/>
          <w:sz w:val="22"/>
        </w:rPr>
        <w:t>YN</w:t>
      </w:r>
      <w:r w:rsidRPr="00731276">
        <w:rPr>
          <w:rFonts w:cs="Times New Roman"/>
          <w:color w:val="000000" w:themeColor="text1"/>
          <w:sz w:val="22"/>
        </w:rPr>
        <w:t xml:space="preserve">, yogurt </w:t>
      </w:r>
      <w:r>
        <w:rPr>
          <w:rFonts w:cs="Times New Roman"/>
          <w:color w:val="000000" w:themeColor="text1"/>
          <w:sz w:val="22"/>
        </w:rPr>
        <w:t>non-obese</w:t>
      </w:r>
      <w:r w:rsidRPr="00731276">
        <w:rPr>
          <w:rFonts w:cs="Times New Roman"/>
          <w:color w:val="000000" w:themeColor="text1"/>
          <w:sz w:val="22"/>
        </w:rPr>
        <w:t xml:space="preserve">; </w:t>
      </w:r>
      <w:r>
        <w:rPr>
          <w:rFonts w:cs="Times New Roman"/>
          <w:color w:val="000000" w:themeColor="text1"/>
          <w:sz w:val="22"/>
        </w:rPr>
        <w:t>YO</w:t>
      </w:r>
      <w:r w:rsidRPr="00731276">
        <w:rPr>
          <w:rFonts w:cs="Times New Roman"/>
          <w:color w:val="000000" w:themeColor="text1"/>
          <w:sz w:val="22"/>
        </w:rPr>
        <w:t xml:space="preserve">, yogurt obese; </w:t>
      </w:r>
      <w:r w:rsidRPr="00731276">
        <w:rPr>
          <w:color w:val="000000" w:themeColor="text1"/>
          <w:sz w:val="22"/>
        </w:rPr>
        <w:t>SFA, total saturated fatty acids.</w:t>
      </w:r>
    </w:p>
    <w:p w:rsidR="0037484A" w:rsidRPr="00731276" w:rsidRDefault="0037484A" w:rsidP="0037484A">
      <w:pPr>
        <w:rPr>
          <w:color w:val="000000" w:themeColor="text1"/>
          <w:sz w:val="22"/>
        </w:rPr>
      </w:pPr>
      <w:r>
        <w:rPr>
          <w:color w:val="000000" w:themeColor="text1"/>
          <w:sz w:val="22"/>
          <w:vertAlign w:val="superscript"/>
        </w:rPr>
        <w:t>2</w:t>
      </w:r>
      <w:r>
        <w:rPr>
          <w:color w:val="000000" w:themeColor="text1"/>
          <w:sz w:val="22"/>
        </w:rPr>
        <w:t>One subject was excluded in the CN group due to incomplete dietary record.</w:t>
      </w:r>
    </w:p>
    <w:p w:rsidR="0037484A" w:rsidRDefault="0037484A" w:rsidP="0037484A">
      <w:pPr>
        <w:rPr>
          <w:rFonts w:eastAsia="Times New Roman" w:cs="Times New Roman"/>
          <w:iCs/>
          <w:color w:val="000000" w:themeColor="text1"/>
          <w:sz w:val="22"/>
        </w:rPr>
      </w:pPr>
      <w:r>
        <w:rPr>
          <w:rFonts w:eastAsia="Times New Roman" w:cs="Times New Roman"/>
          <w:iCs/>
          <w:color w:val="000000" w:themeColor="text1"/>
          <w:sz w:val="22"/>
          <w:vertAlign w:val="superscript"/>
        </w:rPr>
        <w:t>3</w:t>
      </w:r>
      <w:r>
        <w:rPr>
          <w:rFonts w:eastAsia="Times New Roman" w:cs="Times New Roman"/>
          <w:iCs/>
          <w:color w:val="000000" w:themeColor="text1"/>
          <w:sz w:val="22"/>
        </w:rPr>
        <w:t>Percentage of calories from total fat, carbohydrate and protein, respectively.</w:t>
      </w:r>
    </w:p>
    <w:p w:rsidR="0037484A" w:rsidRDefault="0037484A" w:rsidP="0037484A">
      <w:pPr>
        <w:rPr>
          <w:rFonts w:eastAsia="Times New Roman" w:cs="Times New Roman"/>
          <w:iCs/>
          <w:color w:val="000000" w:themeColor="text1"/>
          <w:sz w:val="22"/>
        </w:rPr>
      </w:pPr>
      <w:r w:rsidRPr="00D6738A">
        <w:rPr>
          <w:color w:val="000000" w:themeColor="text1"/>
          <w:sz w:val="22"/>
        </w:rPr>
        <w:t>*</w:t>
      </w:r>
      <w:r>
        <w:rPr>
          <w:color w:val="000000" w:themeColor="text1"/>
          <w:sz w:val="22"/>
        </w:rPr>
        <w:t xml:space="preserve">At baseline, significant </w:t>
      </w:r>
      <w:r w:rsidRPr="00731276">
        <w:rPr>
          <w:rFonts w:eastAsia="Times New Roman" w:cs="Times New Roman"/>
          <w:iCs/>
          <w:color w:val="000000" w:themeColor="text1"/>
          <w:sz w:val="22"/>
        </w:rPr>
        <w:t xml:space="preserve">differences </w:t>
      </w:r>
      <w:r>
        <w:rPr>
          <w:rFonts w:eastAsia="Times New Roman" w:cs="Times New Roman"/>
          <w:iCs/>
          <w:color w:val="000000" w:themeColor="text1"/>
          <w:sz w:val="22"/>
        </w:rPr>
        <w:t xml:space="preserve">between obese and non-obese participants </w:t>
      </w:r>
      <w:r w:rsidRPr="00731276">
        <w:rPr>
          <w:rFonts w:eastAsia="Times New Roman" w:cs="Times New Roman"/>
          <w:iCs/>
          <w:color w:val="000000" w:themeColor="text1"/>
          <w:sz w:val="22"/>
        </w:rPr>
        <w:t>determined by in</w:t>
      </w:r>
      <w:r>
        <w:rPr>
          <w:rFonts w:eastAsia="Times New Roman" w:cs="Times New Roman"/>
          <w:iCs/>
          <w:color w:val="000000" w:themeColor="text1"/>
          <w:sz w:val="22"/>
        </w:rPr>
        <w:t xml:space="preserve">dependent T-test (PROC TTEST), </w:t>
      </w:r>
      <w:r w:rsidRPr="00113F6B">
        <w:rPr>
          <w:rFonts w:eastAsia="Times New Roman" w:cs="Times New Roman"/>
          <w:i/>
          <w:iCs/>
          <w:color w:val="000000" w:themeColor="text1"/>
          <w:sz w:val="22"/>
        </w:rPr>
        <w:t>P</w:t>
      </w:r>
      <w:r>
        <w:rPr>
          <w:rFonts w:eastAsia="Times New Roman" w:cs="Times New Roman"/>
          <w:iCs/>
          <w:color w:val="000000" w:themeColor="text1"/>
          <w:sz w:val="22"/>
        </w:rPr>
        <w:t xml:space="preserve"> &lt; 0.05. </w:t>
      </w:r>
    </w:p>
    <w:p w:rsidR="0037484A" w:rsidRDefault="0037484A" w:rsidP="0037484A">
      <w:pPr>
        <w:rPr>
          <w:color w:val="000000" w:themeColor="text1"/>
          <w:sz w:val="22"/>
        </w:rPr>
      </w:pPr>
      <w:r w:rsidRPr="0034310E">
        <w:rPr>
          <w:color w:val="000000" w:themeColor="text1"/>
          <w:sz w:val="22"/>
          <w:vertAlign w:val="superscript"/>
        </w:rPr>
        <w:t>#</w:t>
      </w:r>
      <w:r>
        <w:rPr>
          <w:color w:val="000000" w:themeColor="text1"/>
          <w:sz w:val="22"/>
        </w:rPr>
        <w:t>At the end of intervention, significant difference between CN and YN,</w:t>
      </w:r>
      <w:r w:rsidRPr="00E23C2F">
        <w:rPr>
          <w:color w:val="000000" w:themeColor="text1"/>
          <w:sz w:val="22"/>
        </w:rPr>
        <w:t xml:space="preserve"> </w:t>
      </w:r>
      <w:r w:rsidRPr="00731276">
        <w:rPr>
          <w:color w:val="000000" w:themeColor="text1"/>
          <w:sz w:val="22"/>
        </w:rPr>
        <w:t>determined by ANCOVA with baseline intakes as covariate (PROC GLM)</w:t>
      </w:r>
      <w:r>
        <w:rPr>
          <w:color w:val="000000" w:themeColor="text1"/>
          <w:sz w:val="22"/>
        </w:rPr>
        <w:t xml:space="preserve">, </w:t>
      </w:r>
      <w:r w:rsidRPr="00113F6B">
        <w:rPr>
          <w:rFonts w:eastAsia="Times New Roman" w:cs="Times New Roman"/>
          <w:i/>
          <w:iCs/>
          <w:color w:val="000000" w:themeColor="text1"/>
          <w:sz w:val="22"/>
        </w:rPr>
        <w:t>P</w:t>
      </w:r>
      <w:r>
        <w:rPr>
          <w:rFonts w:eastAsia="Times New Roman" w:cs="Times New Roman"/>
          <w:iCs/>
          <w:color w:val="000000" w:themeColor="text1"/>
          <w:sz w:val="22"/>
        </w:rPr>
        <w:t xml:space="preserve"> &lt; 0.05</w:t>
      </w:r>
      <w:r w:rsidRPr="00731276">
        <w:rPr>
          <w:color w:val="000000" w:themeColor="text1"/>
          <w:sz w:val="22"/>
        </w:rPr>
        <w:t>.</w:t>
      </w:r>
    </w:p>
    <w:p w:rsidR="0037484A" w:rsidRDefault="0037484A" w:rsidP="0037484A">
      <w:pPr>
        <w:rPr>
          <w:color w:val="000000" w:themeColor="text1"/>
          <w:sz w:val="22"/>
        </w:rPr>
      </w:pPr>
      <w:r w:rsidRPr="0034310E">
        <w:rPr>
          <w:color w:val="000000" w:themeColor="text1"/>
          <w:sz w:val="22"/>
          <w:vertAlign w:val="superscript"/>
        </w:rPr>
        <w:t>$</w:t>
      </w:r>
      <w:r>
        <w:rPr>
          <w:color w:val="000000" w:themeColor="text1"/>
          <w:sz w:val="22"/>
        </w:rPr>
        <w:t>At the end of intervention, significant difference between CO and YO,</w:t>
      </w:r>
      <w:r w:rsidRPr="00E23C2F">
        <w:rPr>
          <w:color w:val="000000" w:themeColor="text1"/>
          <w:sz w:val="22"/>
        </w:rPr>
        <w:t xml:space="preserve"> </w:t>
      </w:r>
      <w:r w:rsidRPr="00731276">
        <w:rPr>
          <w:color w:val="000000" w:themeColor="text1"/>
          <w:sz w:val="22"/>
        </w:rPr>
        <w:t>determined by ANCOVA with baseline intakes as covariate (PROC GLM)</w:t>
      </w:r>
      <w:r>
        <w:rPr>
          <w:color w:val="000000" w:themeColor="text1"/>
          <w:sz w:val="22"/>
        </w:rPr>
        <w:t xml:space="preserve">, </w:t>
      </w:r>
      <w:r w:rsidRPr="00113F6B">
        <w:rPr>
          <w:rFonts w:eastAsia="Times New Roman" w:cs="Times New Roman"/>
          <w:i/>
          <w:iCs/>
          <w:color w:val="000000" w:themeColor="text1"/>
          <w:sz w:val="22"/>
        </w:rPr>
        <w:t>P</w:t>
      </w:r>
      <w:r>
        <w:rPr>
          <w:rFonts w:eastAsia="Times New Roman" w:cs="Times New Roman"/>
          <w:iCs/>
          <w:color w:val="000000" w:themeColor="text1"/>
          <w:sz w:val="22"/>
        </w:rPr>
        <w:t xml:space="preserve"> &lt; 0.05</w:t>
      </w:r>
      <w:r w:rsidRPr="00731276">
        <w:rPr>
          <w:color w:val="000000" w:themeColor="text1"/>
          <w:sz w:val="22"/>
        </w:rPr>
        <w:t>.</w:t>
      </w:r>
    </w:p>
    <w:p w:rsidR="0037484A" w:rsidRPr="00731276" w:rsidRDefault="0037484A" w:rsidP="0037484A">
      <w:pPr>
        <w:rPr>
          <w:color w:val="000000" w:themeColor="text1"/>
          <w:sz w:val="22"/>
        </w:rPr>
      </w:pPr>
      <w:r w:rsidRPr="00731276">
        <w:rPr>
          <w:color w:val="000000" w:themeColor="text1"/>
          <w:sz w:val="22"/>
        </w:rPr>
        <w:t>↓ Significant decrease from baseline determined by paired T-test (PROC TTEST)</w:t>
      </w:r>
      <w:r>
        <w:rPr>
          <w:color w:val="000000" w:themeColor="text1"/>
          <w:sz w:val="22"/>
        </w:rPr>
        <w:t xml:space="preserve">, </w:t>
      </w:r>
      <w:r w:rsidRPr="00113F6B">
        <w:rPr>
          <w:rFonts w:eastAsia="Times New Roman" w:cs="Times New Roman"/>
          <w:i/>
          <w:iCs/>
          <w:color w:val="000000" w:themeColor="text1"/>
          <w:sz w:val="22"/>
        </w:rPr>
        <w:t>P</w:t>
      </w:r>
      <w:r>
        <w:rPr>
          <w:rFonts w:eastAsia="Times New Roman" w:cs="Times New Roman"/>
          <w:iCs/>
          <w:color w:val="000000" w:themeColor="text1"/>
          <w:sz w:val="22"/>
        </w:rPr>
        <w:t xml:space="preserve"> &lt; 0.05</w:t>
      </w:r>
      <w:r w:rsidRPr="00731276">
        <w:rPr>
          <w:color w:val="000000" w:themeColor="text1"/>
          <w:sz w:val="22"/>
        </w:rPr>
        <w:t>.</w:t>
      </w:r>
    </w:p>
    <w:p w:rsidR="0037484A" w:rsidRDefault="0037484A" w:rsidP="0037484A">
      <w:pPr>
        <w:rPr>
          <w:rFonts w:eastAsia="Times New Roman" w:cs="Times New Roman"/>
          <w:iCs/>
          <w:color w:val="000000" w:themeColor="text1"/>
          <w:sz w:val="22"/>
        </w:rPr>
      </w:pPr>
      <w:r w:rsidRPr="00731276">
        <w:rPr>
          <w:color w:val="000000" w:themeColor="text1"/>
          <w:sz w:val="22"/>
        </w:rPr>
        <w:t>↑ Significant increase from baseline determine</w:t>
      </w:r>
      <w:r>
        <w:rPr>
          <w:color w:val="000000" w:themeColor="text1"/>
          <w:sz w:val="22"/>
        </w:rPr>
        <w:t xml:space="preserve">d by paired T-test (PROC TTEST), </w:t>
      </w:r>
      <w:r w:rsidRPr="00113F6B">
        <w:rPr>
          <w:rFonts w:eastAsia="Times New Roman" w:cs="Times New Roman"/>
          <w:i/>
          <w:iCs/>
          <w:color w:val="000000" w:themeColor="text1"/>
          <w:sz w:val="22"/>
        </w:rPr>
        <w:t>P</w:t>
      </w:r>
      <w:r>
        <w:rPr>
          <w:rFonts w:eastAsia="Times New Roman" w:cs="Times New Roman"/>
          <w:iCs/>
          <w:color w:val="000000" w:themeColor="text1"/>
          <w:sz w:val="22"/>
        </w:rPr>
        <w:t xml:space="preserve"> &lt; 0.05.</w:t>
      </w:r>
    </w:p>
    <w:p w:rsidR="0037484A" w:rsidRDefault="0037484A" w:rsidP="0037484A">
      <w:pPr>
        <w:spacing w:before="0" w:beforeAutospacing="0" w:after="160" w:afterAutospacing="0" w:line="259" w:lineRule="auto"/>
        <w:rPr>
          <w:rFonts w:eastAsia="Times New Roman" w:cs="Times New Roman"/>
          <w:iCs/>
          <w:color w:val="000000" w:themeColor="text1"/>
          <w:sz w:val="22"/>
        </w:rPr>
        <w:sectPr w:rsidR="0037484A" w:rsidSect="00C343FF">
          <w:headerReference w:type="default" r:id="rId7"/>
          <w:footerReference w:type="default" r:id="rId8"/>
          <w:pgSz w:w="15840" w:h="12240" w:orient="landscape"/>
          <w:pgMar w:top="1440" w:right="1440" w:bottom="1440" w:left="1440" w:header="720" w:footer="288" w:gutter="0"/>
          <w:cols w:space="576"/>
          <w:docGrid w:linePitch="360"/>
        </w:sectPr>
      </w:pPr>
    </w:p>
    <w:p w:rsidR="0037484A" w:rsidRPr="00731276" w:rsidRDefault="0037484A" w:rsidP="0037484A">
      <w:pPr>
        <w:keepNext/>
        <w:jc w:val="center"/>
        <w:rPr>
          <w:color w:val="000000" w:themeColor="text1"/>
        </w:rPr>
      </w:pPr>
      <w:r w:rsidRPr="00F3363A">
        <w:rPr>
          <w:noProof/>
          <w:lang w:eastAsia="en-US"/>
        </w:rPr>
        <w:lastRenderedPageBreak/>
        <w:drawing>
          <wp:inline distT="0" distB="0" distL="0" distR="0" wp14:anchorId="792DC9CB" wp14:editId="6CA37717">
            <wp:extent cx="4172911"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5301" cy="3202233"/>
                    </a:xfrm>
                    <a:prstGeom prst="rect">
                      <a:avLst/>
                    </a:prstGeom>
                    <a:noFill/>
                    <a:ln>
                      <a:noFill/>
                    </a:ln>
                  </pic:spPr>
                </pic:pic>
              </a:graphicData>
            </a:graphic>
          </wp:inline>
        </w:drawing>
      </w:r>
    </w:p>
    <w:p w:rsidR="0037484A" w:rsidRDefault="0037484A" w:rsidP="0037484A">
      <w:pPr>
        <w:pStyle w:val="Heading2"/>
        <w:spacing w:line="480" w:lineRule="auto"/>
        <w:rPr>
          <w:rFonts w:eastAsia="Times New Roman" w:cs="Times New Roman"/>
          <w:iCs/>
          <w:color w:val="000000" w:themeColor="text1"/>
          <w:sz w:val="22"/>
        </w:rPr>
      </w:pPr>
      <w:r>
        <w:rPr>
          <w:sz w:val="24"/>
        </w:rPr>
        <w:t xml:space="preserve">Supplementary </w:t>
      </w:r>
      <w:r w:rsidRPr="009561EB">
        <w:rPr>
          <w:sz w:val="24"/>
          <w:szCs w:val="24"/>
        </w:rPr>
        <w:t>F</w:t>
      </w:r>
      <w:r>
        <w:rPr>
          <w:sz w:val="24"/>
          <w:szCs w:val="24"/>
        </w:rPr>
        <w:t>igure</w:t>
      </w:r>
      <w:r w:rsidRPr="009561EB">
        <w:rPr>
          <w:sz w:val="24"/>
          <w:szCs w:val="24"/>
        </w:rPr>
        <w:t xml:space="preserve"> </w:t>
      </w:r>
      <w:r>
        <w:rPr>
          <w:sz w:val="24"/>
          <w:szCs w:val="24"/>
        </w:rPr>
        <w:t>S1</w:t>
      </w:r>
      <w:r w:rsidRPr="009561EB">
        <w:rPr>
          <w:b w:val="0"/>
          <w:sz w:val="24"/>
          <w:szCs w:val="24"/>
        </w:rPr>
        <w:t xml:space="preserve"> Baseline fasting PBMC relative gene expression, normalized to 18s rRNA and RPLP0. </w:t>
      </w:r>
      <w:r w:rsidRPr="009561EB">
        <w:rPr>
          <w:b w:val="0"/>
          <w:color w:val="000000" w:themeColor="text1"/>
          <w:sz w:val="24"/>
          <w:szCs w:val="24"/>
        </w:rPr>
        <w:t xml:space="preserve">The relative expression of target genes between groups was compared by independent T-test. No significant differences between </w:t>
      </w:r>
      <w:r>
        <w:rPr>
          <w:b w:val="0"/>
          <w:color w:val="000000" w:themeColor="text1"/>
          <w:sz w:val="24"/>
          <w:szCs w:val="24"/>
        </w:rPr>
        <w:t>YO</w:t>
      </w:r>
      <w:r w:rsidRPr="009561EB">
        <w:rPr>
          <w:b w:val="0"/>
          <w:color w:val="000000" w:themeColor="text1"/>
          <w:sz w:val="24"/>
          <w:szCs w:val="24"/>
        </w:rPr>
        <w:t xml:space="preserve"> or </w:t>
      </w:r>
      <w:r>
        <w:rPr>
          <w:b w:val="0"/>
          <w:color w:val="000000" w:themeColor="text1"/>
          <w:sz w:val="24"/>
          <w:szCs w:val="24"/>
        </w:rPr>
        <w:t>CO</w:t>
      </w:r>
      <w:r w:rsidRPr="009561EB">
        <w:rPr>
          <w:b w:val="0"/>
          <w:color w:val="000000" w:themeColor="text1"/>
          <w:sz w:val="24"/>
          <w:szCs w:val="24"/>
        </w:rPr>
        <w:t xml:space="preserve"> gene expression was detected. </w:t>
      </w:r>
      <w:r w:rsidRPr="009561EB">
        <w:rPr>
          <w:b w:val="0"/>
          <w:i/>
          <w:color w:val="000000" w:themeColor="text1"/>
          <w:sz w:val="24"/>
          <w:szCs w:val="24"/>
        </w:rPr>
        <w:t>TLR4</w:t>
      </w:r>
      <w:r w:rsidRPr="009561EB">
        <w:rPr>
          <w:b w:val="0"/>
          <w:color w:val="000000" w:themeColor="text1"/>
          <w:sz w:val="24"/>
          <w:szCs w:val="24"/>
        </w:rPr>
        <w:t xml:space="preserve">, encoding Toll-like receptor 4; </w:t>
      </w:r>
      <w:r w:rsidRPr="009561EB">
        <w:rPr>
          <w:b w:val="0"/>
          <w:i/>
          <w:color w:val="000000" w:themeColor="text1"/>
          <w:sz w:val="24"/>
          <w:szCs w:val="24"/>
        </w:rPr>
        <w:t>RELA</w:t>
      </w:r>
      <w:r w:rsidRPr="009561EB">
        <w:rPr>
          <w:b w:val="0"/>
          <w:color w:val="000000" w:themeColor="text1"/>
          <w:sz w:val="24"/>
          <w:szCs w:val="24"/>
        </w:rPr>
        <w:t xml:space="preserve">, encoding p65 subunit of nuclear factor kappa B; </w:t>
      </w:r>
      <w:r w:rsidRPr="009561EB">
        <w:rPr>
          <w:b w:val="0"/>
          <w:i/>
          <w:color w:val="000000" w:themeColor="text1"/>
          <w:sz w:val="24"/>
          <w:szCs w:val="24"/>
        </w:rPr>
        <w:t>NFKBIA</w:t>
      </w:r>
      <w:r w:rsidRPr="009561EB">
        <w:rPr>
          <w:b w:val="0"/>
          <w:color w:val="000000" w:themeColor="text1"/>
          <w:sz w:val="24"/>
          <w:szCs w:val="24"/>
        </w:rPr>
        <w:t xml:space="preserve">, encoding nuclear factor kappa B inhibitor alpha; </w:t>
      </w:r>
      <w:r w:rsidRPr="009561EB">
        <w:rPr>
          <w:b w:val="0"/>
          <w:i/>
          <w:color w:val="000000" w:themeColor="text1"/>
          <w:sz w:val="24"/>
          <w:szCs w:val="24"/>
        </w:rPr>
        <w:t>PTGS2</w:t>
      </w:r>
      <w:r w:rsidRPr="009561EB">
        <w:rPr>
          <w:b w:val="0"/>
          <w:color w:val="000000" w:themeColor="text1"/>
          <w:sz w:val="24"/>
          <w:szCs w:val="24"/>
        </w:rPr>
        <w:t xml:space="preserve">, encoding cyclooxygenase-2, or COX-2; </w:t>
      </w:r>
      <w:r w:rsidRPr="009561EB">
        <w:rPr>
          <w:b w:val="0"/>
          <w:i/>
          <w:color w:val="000000" w:themeColor="text1"/>
          <w:sz w:val="24"/>
          <w:szCs w:val="24"/>
        </w:rPr>
        <w:t>NCF1</w:t>
      </w:r>
      <w:r w:rsidRPr="009561EB">
        <w:rPr>
          <w:b w:val="0"/>
          <w:color w:val="000000" w:themeColor="text1"/>
          <w:sz w:val="24"/>
          <w:szCs w:val="24"/>
        </w:rPr>
        <w:t xml:space="preserve">, encoding the p47 subunit of nicotinamide adenine dinucleotide phosphate-oxidase, or NADPH oxidase; </w:t>
      </w:r>
      <w:r w:rsidRPr="009561EB">
        <w:rPr>
          <w:b w:val="0"/>
          <w:i/>
          <w:color w:val="000000" w:themeColor="text1"/>
          <w:sz w:val="24"/>
          <w:szCs w:val="24"/>
        </w:rPr>
        <w:t>TNF</w:t>
      </w:r>
      <w:r w:rsidRPr="009561EB">
        <w:rPr>
          <w:b w:val="0"/>
          <w:color w:val="000000" w:themeColor="text1"/>
          <w:sz w:val="24"/>
          <w:szCs w:val="24"/>
        </w:rPr>
        <w:t xml:space="preserve">, encoding tumor necrosis factors, or TNF; IFNG, encoding interferon-γ; </w:t>
      </w:r>
      <w:r w:rsidRPr="009561EB">
        <w:rPr>
          <w:b w:val="0"/>
          <w:i/>
          <w:color w:val="000000" w:themeColor="text1"/>
          <w:sz w:val="24"/>
          <w:szCs w:val="24"/>
        </w:rPr>
        <w:t>TGFB1</w:t>
      </w:r>
      <w:r w:rsidRPr="009561EB">
        <w:rPr>
          <w:b w:val="0"/>
          <w:color w:val="000000" w:themeColor="text1"/>
          <w:sz w:val="24"/>
          <w:szCs w:val="24"/>
        </w:rPr>
        <w:t>, encoding transforming growth factor beta 1, or TGFβ1.</w:t>
      </w:r>
    </w:p>
    <w:p w:rsidR="007F663F" w:rsidRDefault="007F663F"/>
    <w:sectPr w:rsidR="007F663F" w:rsidSect="00D22C0C">
      <w:headerReference w:type="default" r:id="rId10"/>
      <w:footerReference w:type="default" r:id="rId11"/>
      <w:pgSz w:w="12240" w:h="15840"/>
      <w:pgMar w:top="1440" w:right="1440" w:bottom="1440" w:left="1440" w:header="720" w:footer="288"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D9" w:rsidRDefault="00961DD9">
      <w:pPr>
        <w:spacing w:before="0" w:after="0" w:line="240" w:lineRule="auto"/>
      </w:pPr>
      <w:r>
        <w:separator/>
      </w:r>
    </w:p>
  </w:endnote>
  <w:endnote w:type="continuationSeparator" w:id="0">
    <w:p w:rsidR="00961DD9" w:rsidRDefault="00961D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E5" w:rsidRDefault="00961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E5" w:rsidRDefault="00961DD9" w:rsidP="00776179">
    <w:pPr>
      <w:pStyle w:val="Footer"/>
    </w:pPr>
  </w:p>
  <w:p w:rsidR="00783AE5" w:rsidRDefault="00961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D9" w:rsidRDefault="00961DD9">
      <w:pPr>
        <w:spacing w:before="0" w:after="0" w:line="240" w:lineRule="auto"/>
      </w:pPr>
      <w:r>
        <w:separator/>
      </w:r>
    </w:p>
  </w:footnote>
  <w:footnote w:type="continuationSeparator" w:id="0">
    <w:p w:rsidR="00961DD9" w:rsidRDefault="00961D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745067"/>
      <w:docPartObj>
        <w:docPartGallery w:val="Page Numbers (Top of Page)"/>
        <w:docPartUnique/>
      </w:docPartObj>
    </w:sdtPr>
    <w:sdtEndPr>
      <w:rPr>
        <w:noProof/>
      </w:rPr>
    </w:sdtEndPr>
    <w:sdtContent>
      <w:p w:rsidR="00783AE5" w:rsidRDefault="0037484A">
        <w:pPr>
          <w:pStyle w:val="Header"/>
          <w:jc w:val="right"/>
        </w:pPr>
        <w:r>
          <w:fldChar w:fldCharType="begin"/>
        </w:r>
        <w:r>
          <w:instrText xml:space="preserve"> PAGE   \* MERGEFORMAT </w:instrText>
        </w:r>
        <w:r>
          <w:fldChar w:fldCharType="separate"/>
        </w:r>
        <w:r w:rsidR="0008285C">
          <w:rPr>
            <w:noProof/>
          </w:rPr>
          <w:t>7</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190980"/>
      <w:docPartObj>
        <w:docPartGallery w:val="Page Numbers (Top of Page)"/>
        <w:docPartUnique/>
      </w:docPartObj>
    </w:sdtPr>
    <w:sdtEndPr>
      <w:rPr>
        <w:noProof/>
      </w:rPr>
    </w:sdtEndPr>
    <w:sdtContent>
      <w:p w:rsidR="00783AE5" w:rsidRDefault="0037484A">
        <w:pPr>
          <w:pStyle w:val="Header"/>
          <w:jc w:val="right"/>
        </w:pPr>
        <w:r>
          <w:fldChar w:fldCharType="begin"/>
        </w:r>
        <w:r>
          <w:instrText xml:space="preserve"> PAGE   \* MERGEFORMAT </w:instrText>
        </w:r>
        <w:r>
          <w:fldChar w:fldCharType="separate"/>
        </w:r>
        <w:r w:rsidR="0008285C">
          <w:rPr>
            <w:noProof/>
          </w:rPr>
          <w:t>9</w:t>
        </w:r>
        <w:r>
          <w:rPr>
            <w:noProof/>
          </w:rPr>
          <w:fldChar w:fldCharType="end"/>
        </w:r>
      </w:p>
    </w:sdtContent>
  </w:sdt>
  <w:p w:rsidR="00783AE5" w:rsidRPr="00B43869" w:rsidRDefault="00961DD9" w:rsidP="00410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01"/>
    <w:rsid w:val="0008285C"/>
    <w:rsid w:val="0037484A"/>
    <w:rsid w:val="007F663F"/>
    <w:rsid w:val="00941C51"/>
    <w:rsid w:val="00961DD9"/>
    <w:rsid w:val="009B7F01"/>
    <w:rsid w:val="00A11EE9"/>
    <w:rsid w:val="00A502F7"/>
    <w:rsid w:val="00CF2038"/>
    <w:rsid w:val="00FA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BD95"/>
  <w15:chartTrackingRefBased/>
  <w15:docId w15:val="{BF7D786D-9464-4890-A61E-353AC41B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84A"/>
    <w:pPr>
      <w:spacing w:before="100" w:beforeAutospacing="1" w:after="100" w:afterAutospacing="1" w:line="480" w:lineRule="auto"/>
    </w:pPr>
    <w:rPr>
      <w:rFonts w:ascii="Times New Roman" w:eastAsiaTheme="minorEastAsia" w:hAnsi="Times New Roman"/>
      <w:sz w:val="24"/>
      <w:lang w:eastAsia="zh-CN"/>
    </w:rPr>
  </w:style>
  <w:style w:type="paragraph" w:styleId="Heading2">
    <w:name w:val="heading 2"/>
    <w:basedOn w:val="Normal"/>
    <w:next w:val="Normal"/>
    <w:link w:val="Heading2Char"/>
    <w:uiPriority w:val="9"/>
    <w:unhideWhenUsed/>
    <w:qFormat/>
    <w:rsid w:val="0037484A"/>
    <w:pPr>
      <w:keepNext/>
      <w:keepLines/>
      <w:spacing w:before="240" w:beforeAutospacing="0" w:after="240" w:afterAutospacing="0" w:line="259"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7484A"/>
    <w:pPr>
      <w:keepNext/>
      <w:keepLines/>
      <w:spacing w:before="240" w:beforeAutospacing="0" w:after="240" w:afterAutospacing="0" w:line="259" w:lineRule="auto"/>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941C51"/>
    <w:rPr>
      <w:rFonts w:ascii="Arial" w:hAnsi="Arial"/>
      <w:sz w:val="24"/>
    </w:rPr>
  </w:style>
  <w:style w:type="character" w:customStyle="1" w:styleId="Heading2Char">
    <w:name w:val="Heading 2 Char"/>
    <w:basedOn w:val="DefaultParagraphFont"/>
    <w:link w:val="Heading2"/>
    <w:uiPriority w:val="9"/>
    <w:rsid w:val="0037484A"/>
    <w:rPr>
      <w:rFonts w:ascii="Times New Roman" w:eastAsiaTheme="majorEastAsia" w:hAnsi="Times New Roman" w:cstheme="majorBidi"/>
      <w:b/>
      <w:sz w:val="32"/>
      <w:szCs w:val="26"/>
      <w:lang w:eastAsia="zh-CN"/>
    </w:rPr>
  </w:style>
  <w:style w:type="character" w:customStyle="1" w:styleId="Heading3Char">
    <w:name w:val="Heading 3 Char"/>
    <w:basedOn w:val="DefaultParagraphFont"/>
    <w:link w:val="Heading3"/>
    <w:uiPriority w:val="9"/>
    <w:rsid w:val="0037484A"/>
    <w:rPr>
      <w:rFonts w:ascii="Times New Roman" w:eastAsiaTheme="majorEastAsia" w:hAnsi="Times New Roman" w:cstheme="majorBidi"/>
      <w:b/>
      <w:sz w:val="28"/>
      <w:szCs w:val="24"/>
      <w:lang w:eastAsia="zh-CN"/>
    </w:rPr>
  </w:style>
  <w:style w:type="character" w:styleId="Hyperlink">
    <w:name w:val="Hyperlink"/>
    <w:basedOn w:val="DefaultParagraphFont"/>
    <w:uiPriority w:val="99"/>
    <w:unhideWhenUsed/>
    <w:rsid w:val="0037484A"/>
    <w:rPr>
      <w:color w:val="0563C1" w:themeColor="hyperlink"/>
      <w:u w:val="single"/>
    </w:rPr>
  </w:style>
  <w:style w:type="paragraph" w:styleId="Header">
    <w:name w:val="header"/>
    <w:basedOn w:val="Normal"/>
    <w:link w:val="HeaderChar"/>
    <w:uiPriority w:val="99"/>
    <w:unhideWhenUsed/>
    <w:rsid w:val="003748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484A"/>
    <w:rPr>
      <w:rFonts w:ascii="Times New Roman" w:eastAsiaTheme="minorEastAsia" w:hAnsi="Times New Roman"/>
      <w:sz w:val="24"/>
      <w:lang w:eastAsia="zh-CN"/>
    </w:rPr>
  </w:style>
  <w:style w:type="paragraph" w:styleId="Footer">
    <w:name w:val="footer"/>
    <w:basedOn w:val="Normal"/>
    <w:link w:val="FooterChar"/>
    <w:uiPriority w:val="99"/>
    <w:unhideWhenUsed/>
    <w:rsid w:val="003748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484A"/>
    <w:rPr>
      <w:rFonts w:ascii="Times New Roman" w:eastAsiaTheme="minorEastAsia" w:hAnsi="Times New Roman"/>
      <w:sz w:val="24"/>
      <w:lang w:eastAsia="zh-CN"/>
    </w:rPr>
  </w:style>
  <w:style w:type="paragraph" w:styleId="BalloonText">
    <w:name w:val="Balloon Text"/>
    <w:basedOn w:val="Normal"/>
    <w:link w:val="BalloonTextChar"/>
    <w:uiPriority w:val="99"/>
    <w:semiHidden/>
    <w:unhideWhenUsed/>
    <w:rsid w:val="000828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5C"/>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tools/primer-blast/index.cgi?LINK_LOC=BlastHom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Bolling</dc:creator>
  <cp:keywords/>
  <dc:description/>
  <cp:lastModifiedBy>Bradley Bolling</cp:lastModifiedBy>
  <cp:revision>4</cp:revision>
  <dcterms:created xsi:type="dcterms:W3CDTF">2017-09-22T15:46:00Z</dcterms:created>
  <dcterms:modified xsi:type="dcterms:W3CDTF">2017-09-25T17:28:00Z</dcterms:modified>
</cp:coreProperties>
</file>