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B4" w:rsidRPr="00C82F43" w:rsidRDefault="008F60B4" w:rsidP="008F60B4">
      <w:pPr>
        <w:spacing w:after="0" w:line="360" w:lineRule="auto"/>
        <w:rPr>
          <w:rFonts w:ascii="Times New Roman" w:hAnsi="Times New Roman"/>
          <w:b/>
          <w:sz w:val="28"/>
        </w:rPr>
      </w:pPr>
      <w:bookmarkStart w:id="0" w:name="_GoBack"/>
      <w:r w:rsidRPr="00C82F43">
        <w:rPr>
          <w:rFonts w:ascii="Times New Roman" w:hAnsi="Times New Roman"/>
          <w:b/>
          <w:sz w:val="28"/>
        </w:rPr>
        <w:t>Supplementary Material</w:t>
      </w:r>
      <w:r w:rsidR="00F82FC0" w:rsidRPr="00C82F43">
        <w:rPr>
          <w:rFonts w:ascii="Times New Roman" w:hAnsi="Times New Roman"/>
          <w:b/>
          <w:sz w:val="28"/>
        </w:rPr>
        <w:t xml:space="preserve"> A</w:t>
      </w:r>
      <w:r w:rsidRPr="00C82F43">
        <w:rPr>
          <w:rFonts w:ascii="Times New Roman" w:hAnsi="Times New Roman"/>
          <w:b/>
          <w:sz w:val="28"/>
        </w:rPr>
        <w:t>: Research protocol for the systematic review and meta- analysis of Ca digestibility and utilisation in growing and finishing pigs</w:t>
      </w:r>
    </w:p>
    <w:p w:rsidR="008F60B4" w:rsidRPr="00C82F43" w:rsidRDefault="008F60B4" w:rsidP="008F60B4">
      <w:pPr>
        <w:pStyle w:val="ListParagraph"/>
        <w:numPr>
          <w:ilvl w:val="0"/>
          <w:numId w:val="1"/>
        </w:numPr>
        <w:spacing w:after="0" w:line="360" w:lineRule="auto"/>
        <w:rPr>
          <w:rFonts w:ascii="Times New Roman" w:hAnsi="Times New Roman"/>
          <w:b/>
          <w:sz w:val="24"/>
        </w:rPr>
      </w:pPr>
      <w:r w:rsidRPr="00C82F43">
        <w:rPr>
          <w:rFonts w:ascii="Times New Roman" w:hAnsi="Times New Roman"/>
          <w:b/>
          <w:sz w:val="24"/>
        </w:rPr>
        <w:t>Review question(s):</w:t>
      </w:r>
    </w:p>
    <w:p w:rsidR="008F60B4" w:rsidRPr="00C82F43" w:rsidRDefault="008F60B4" w:rsidP="008F60B4">
      <w:pPr>
        <w:pStyle w:val="ListParagraph"/>
        <w:spacing w:after="0" w:line="360" w:lineRule="auto"/>
        <w:rPr>
          <w:rFonts w:ascii="Times New Roman" w:hAnsi="Times New Roman"/>
          <w:sz w:val="24"/>
        </w:rPr>
      </w:pPr>
      <w:r w:rsidRPr="00C82F43">
        <w:rPr>
          <w:rFonts w:ascii="Times New Roman" w:hAnsi="Times New Roman"/>
          <w:b/>
          <w:sz w:val="24"/>
        </w:rPr>
        <w:t>Primary questions</w:t>
      </w:r>
    </w:p>
    <w:p w:rsidR="008F60B4" w:rsidRPr="00C82F43" w:rsidRDefault="008F60B4" w:rsidP="008F60B4">
      <w:pPr>
        <w:pStyle w:val="ListParagraph"/>
        <w:numPr>
          <w:ilvl w:val="0"/>
          <w:numId w:val="2"/>
        </w:numPr>
        <w:spacing w:after="0" w:line="360" w:lineRule="auto"/>
        <w:rPr>
          <w:rFonts w:ascii="Times New Roman" w:hAnsi="Times New Roman"/>
          <w:sz w:val="24"/>
        </w:rPr>
      </w:pPr>
      <w:r w:rsidRPr="00C82F43">
        <w:rPr>
          <w:rFonts w:ascii="Times New Roman" w:hAnsi="Times New Roman"/>
          <w:sz w:val="24"/>
        </w:rPr>
        <w:t xml:space="preserve">How are Ca digestibility and utilisation affected by the dietary characteristics, such as </w:t>
      </w:r>
      <w:proofErr w:type="spellStart"/>
      <w:r w:rsidRPr="00C82F43">
        <w:rPr>
          <w:rFonts w:ascii="Times New Roman" w:hAnsi="Times New Roman"/>
          <w:sz w:val="24"/>
        </w:rPr>
        <w:t>phytate</w:t>
      </w:r>
      <w:proofErr w:type="spellEnd"/>
      <w:r w:rsidRPr="00C82F43">
        <w:rPr>
          <w:rFonts w:ascii="Times New Roman" w:hAnsi="Times New Roman"/>
          <w:sz w:val="24"/>
        </w:rPr>
        <w:t>-P, non-</w:t>
      </w:r>
      <w:proofErr w:type="spellStart"/>
      <w:r w:rsidRPr="00C82F43">
        <w:rPr>
          <w:rFonts w:ascii="Times New Roman" w:hAnsi="Times New Roman"/>
          <w:sz w:val="24"/>
        </w:rPr>
        <w:t>phytate</w:t>
      </w:r>
      <w:proofErr w:type="spellEnd"/>
      <w:r w:rsidRPr="00C82F43">
        <w:rPr>
          <w:rFonts w:ascii="Times New Roman" w:hAnsi="Times New Roman"/>
          <w:sz w:val="24"/>
        </w:rPr>
        <w:t xml:space="preserve">-P, exogenous </w:t>
      </w:r>
      <w:proofErr w:type="spellStart"/>
      <w:r w:rsidRPr="00C82F43">
        <w:rPr>
          <w:rFonts w:ascii="Times New Roman" w:hAnsi="Times New Roman"/>
          <w:sz w:val="24"/>
        </w:rPr>
        <w:t>phytase</w:t>
      </w:r>
      <w:proofErr w:type="spellEnd"/>
      <w:r w:rsidRPr="00C82F43">
        <w:rPr>
          <w:rFonts w:ascii="Times New Roman" w:hAnsi="Times New Roman"/>
          <w:sz w:val="24"/>
        </w:rPr>
        <w:t xml:space="preserve"> and Vitamin D?</w:t>
      </w:r>
    </w:p>
    <w:p w:rsidR="008F60B4" w:rsidRPr="00C82F43" w:rsidRDefault="008F60B4" w:rsidP="008F60B4">
      <w:pPr>
        <w:pStyle w:val="ListParagraph"/>
        <w:numPr>
          <w:ilvl w:val="0"/>
          <w:numId w:val="2"/>
        </w:numPr>
        <w:spacing w:after="0" w:line="360" w:lineRule="auto"/>
        <w:rPr>
          <w:rFonts w:ascii="Times New Roman" w:hAnsi="Times New Roman"/>
          <w:sz w:val="24"/>
        </w:rPr>
      </w:pPr>
      <w:r w:rsidRPr="00C82F43">
        <w:rPr>
          <w:rFonts w:ascii="Times New Roman" w:hAnsi="Times New Roman"/>
          <w:sz w:val="24"/>
        </w:rPr>
        <w:t>How are Ca digestibility and utilisation affected by the animal related characteristics, such as genotype and gender?</w:t>
      </w:r>
    </w:p>
    <w:p w:rsidR="008F60B4" w:rsidRPr="00C82F43" w:rsidRDefault="008F60B4" w:rsidP="008F60B4">
      <w:pPr>
        <w:spacing w:after="0" w:line="360" w:lineRule="auto"/>
        <w:ind w:left="720"/>
        <w:rPr>
          <w:rFonts w:ascii="Times New Roman" w:hAnsi="Times New Roman"/>
          <w:b/>
          <w:sz w:val="24"/>
        </w:rPr>
      </w:pPr>
      <w:r w:rsidRPr="00C82F43">
        <w:rPr>
          <w:rFonts w:ascii="Times New Roman" w:hAnsi="Times New Roman"/>
          <w:b/>
          <w:sz w:val="24"/>
        </w:rPr>
        <w:t>Secondary questions</w:t>
      </w:r>
    </w:p>
    <w:p w:rsidR="008F60B4" w:rsidRPr="00C82F43" w:rsidRDefault="008F60B4" w:rsidP="008F60B4">
      <w:pPr>
        <w:pStyle w:val="ListParagraph"/>
        <w:numPr>
          <w:ilvl w:val="0"/>
          <w:numId w:val="3"/>
        </w:numPr>
        <w:spacing w:after="0" w:line="360" w:lineRule="auto"/>
        <w:rPr>
          <w:rFonts w:ascii="Times New Roman" w:hAnsi="Times New Roman"/>
          <w:sz w:val="24"/>
        </w:rPr>
      </w:pPr>
      <w:r w:rsidRPr="00C82F43">
        <w:rPr>
          <w:rFonts w:ascii="Times New Roman" w:hAnsi="Times New Roman"/>
          <w:sz w:val="24"/>
        </w:rPr>
        <w:t>What is the response of Ca digestibility and utilisation to varying dietary Ca intake levels?</w:t>
      </w:r>
    </w:p>
    <w:p w:rsidR="008F60B4" w:rsidRPr="00C82F43" w:rsidRDefault="008F60B4" w:rsidP="008F60B4">
      <w:pPr>
        <w:pStyle w:val="ListParagraph"/>
        <w:numPr>
          <w:ilvl w:val="0"/>
          <w:numId w:val="3"/>
        </w:numPr>
        <w:spacing w:after="0" w:line="360" w:lineRule="auto"/>
        <w:rPr>
          <w:rFonts w:ascii="Times New Roman" w:hAnsi="Times New Roman"/>
          <w:sz w:val="24"/>
        </w:rPr>
      </w:pPr>
      <w:r w:rsidRPr="00C82F43">
        <w:rPr>
          <w:rFonts w:ascii="Times New Roman" w:hAnsi="Times New Roman"/>
          <w:sz w:val="24"/>
        </w:rPr>
        <w:t>What are the Ca requirements for maintenance in growing and finishing pigs? Is it possible to derive estimates for endogenous loss of Ca and its efficiency of utilisation?</w:t>
      </w:r>
    </w:p>
    <w:p w:rsidR="008F60B4" w:rsidRPr="00C82F43" w:rsidRDefault="008F60B4" w:rsidP="008F60B4">
      <w:pPr>
        <w:pStyle w:val="ListParagraph"/>
        <w:numPr>
          <w:ilvl w:val="0"/>
          <w:numId w:val="3"/>
        </w:numPr>
        <w:spacing w:after="0" w:line="360" w:lineRule="auto"/>
        <w:rPr>
          <w:rFonts w:ascii="Times New Roman" w:hAnsi="Times New Roman"/>
          <w:sz w:val="24"/>
        </w:rPr>
      </w:pPr>
      <w:r w:rsidRPr="00C82F43">
        <w:rPr>
          <w:rFonts w:ascii="Times New Roman" w:hAnsi="Times New Roman"/>
          <w:sz w:val="24"/>
        </w:rPr>
        <w:t>What is the effect of increasing Ca levels on pig performance?</w:t>
      </w:r>
    </w:p>
    <w:p w:rsidR="008F60B4" w:rsidRPr="00C82F43" w:rsidRDefault="008F60B4" w:rsidP="008F60B4">
      <w:pPr>
        <w:pStyle w:val="ListParagraph"/>
        <w:numPr>
          <w:ilvl w:val="0"/>
          <w:numId w:val="1"/>
        </w:numPr>
        <w:spacing w:after="0" w:line="360" w:lineRule="auto"/>
        <w:rPr>
          <w:rFonts w:ascii="Times New Roman" w:hAnsi="Times New Roman"/>
          <w:b/>
          <w:sz w:val="24"/>
        </w:rPr>
      </w:pPr>
      <w:r w:rsidRPr="00C82F43">
        <w:rPr>
          <w:rFonts w:ascii="Times New Roman" w:hAnsi="Times New Roman"/>
          <w:b/>
          <w:sz w:val="24"/>
        </w:rPr>
        <w:t>Searches:</w:t>
      </w:r>
    </w:p>
    <w:p w:rsidR="008F60B4" w:rsidRPr="00C82F43" w:rsidRDefault="008F60B4" w:rsidP="008F60B4">
      <w:pPr>
        <w:pStyle w:val="ListParagraph"/>
        <w:spacing w:after="0" w:line="360" w:lineRule="auto"/>
        <w:rPr>
          <w:rFonts w:ascii="Times New Roman" w:hAnsi="Times New Roman"/>
          <w:sz w:val="24"/>
        </w:rPr>
      </w:pPr>
      <w:r w:rsidRPr="00C82F43">
        <w:rPr>
          <w:rFonts w:ascii="Times New Roman" w:hAnsi="Times New Roman"/>
          <w:b/>
          <w:sz w:val="24"/>
        </w:rPr>
        <w:t>Peer reviewed journals:</w:t>
      </w:r>
      <w:r w:rsidRPr="00C82F43">
        <w:rPr>
          <w:rFonts w:ascii="Times New Roman" w:hAnsi="Times New Roman"/>
          <w:sz w:val="24"/>
        </w:rPr>
        <w:t xml:space="preserve"> following electronic databases will be searched for peer-reviewed journals: The Web of Science and Scopus</w:t>
      </w:r>
    </w:p>
    <w:p w:rsidR="008F60B4" w:rsidRPr="00C82F43" w:rsidRDefault="008F60B4" w:rsidP="008F60B4">
      <w:pPr>
        <w:pStyle w:val="ListParagraph"/>
        <w:spacing w:after="0" w:line="360" w:lineRule="auto"/>
        <w:rPr>
          <w:rFonts w:ascii="Times New Roman" w:hAnsi="Times New Roman"/>
          <w:sz w:val="24"/>
        </w:rPr>
      </w:pPr>
      <w:r w:rsidRPr="00C82F43">
        <w:rPr>
          <w:rFonts w:ascii="Times New Roman" w:hAnsi="Times New Roman"/>
          <w:b/>
          <w:sz w:val="24"/>
        </w:rPr>
        <w:t xml:space="preserve">Grey literature: </w:t>
      </w:r>
      <w:r w:rsidRPr="00C82F43">
        <w:rPr>
          <w:rFonts w:ascii="Times New Roman" w:hAnsi="Times New Roman"/>
          <w:sz w:val="24"/>
        </w:rPr>
        <w:t>1) Google Scholar and Science.gov will be utilised to find any relevant data; first 250 hits for each search engine will be considered. 2) Materials issued by public bodies (e.g. EFSA, USDA) will be reviewed. 3) Key lead authors will be contacted via emails</w:t>
      </w:r>
    </w:p>
    <w:p w:rsidR="008F60B4" w:rsidRPr="00C82F43" w:rsidRDefault="008F60B4" w:rsidP="008F60B4">
      <w:pPr>
        <w:pStyle w:val="ListParagraph"/>
        <w:numPr>
          <w:ilvl w:val="0"/>
          <w:numId w:val="1"/>
        </w:numPr>
        <w:spacing w:after="0" w:line="360" w:lineRule="auto"/>
        <w:rPr>
          <w:rFonts w:ascii="Times New Roman" w:hAnsi="Times New Roman"/>
          <w:b/>
          <w:sz w:val="24"/>
        </w:rPr>
      </w:pPr>
      <w:r w:rsidRPr="00C82F43">
        <w:rPr>
          <w:rFonts w:ascii="Times New Roman" w:hAnsi="Times New Roman"/>
          <w:b/>
          <w:sz w:val="24"/>
        </w:rPr>
        <w:t>Keyword searches for the Web of Science/Scopus databases:</w:t>
      </w:r>
    </w:p>
    <w:p w:rsidR="008F60B4" w:rsidRPr="00C82F43" w:rsidRDefault="008F60B4" w:rsidP="008F60B4">
      <w:pPr>
        <w:pStyle w:val="ListParagraph"/>
        <w:numPr>
          <w:ilvl w:val="0"/>
          <w:numId w:val="4"/>
        </w:numPr>
        <w:spacing w:line="360" w:lineRule="auto"/>
        <w:rPr>
          <w:rFonts w:ascii="Times New Roman" w:hAnsi="Times New Roman"/>
          <w:sz w:val="24"/>
          <w:szCs w:val="24"/>
        </w:rPr>
      </w:pPr>
      <w:r w:rsidRPr="00C82F43">
        <w:rPr>
          <w:rFonts w:ascii="Times New Roman" w:hAnsi="Times New Roman"/>
          <w:sz w:val="24"/>
          <w:szCs w:val="24"/>
        </w:rPr>
        <w:t xml:space="preserve">Calcium AND digest* OR utilisation OR utilization OR </w:t>
      </w:r>
      <w:proofErr w:type="spellStart"/>
      <w:r w:rsidRPr="00C82F43">
        <w:rPr>
          <w:rFonts w:ascii="Times New Roman" w:hAnsi="Times New Roman"/>
          <w:sz w:val="24"/>
          <w:szCs w:val="24"/>
        </w:rPr>
        <w:t>absor</w:t>
      </w:r>
      <w:proofErr w:type="spellEnd"/>
      <w:r w:rsidRPr="00C82F43">
        <w:rPr>
          <w:rFonts w:ascii="Times New Roman" w:hAnsi="Times New Roman"/>
          <w:sz w:val="24"/>
          <w:szCs w:val="24"/>
        </w:rPr>
        <w:t xml:space="preserve">* OR </w:t>
      </w:r>
      <w:proofErr w:type="spellStart"/>
      <w:r w:rsidRPr="00C82F43">
        <w:rPr>
          <w:rFonts w:ascii="Times New Roman" w:hAnsi="Times New Roman"/>
          <w:sz w:val="24"/>
          <w:szCs w:val="24"/>
        </w:rPr>
        <w:t>metabol</w:t>
      </w:r>
      <w:proofErr w:type="spellEnd"/>
      <w:r w:rsidRPr="00C82F43">
        <w:rPr>
          <w:rFonts w:ascii="Times New Roman" w:hAnsi="Times New Roman"/>
          <w:sz w:val="24"/>
          <w:szCs w:val="24"/>
        </w:rPr>
        <w:t>* OR require* OR level* OR concentration* AND (pig NOT guinea pig) OR swine</w:t>
      </w:r>
    </w:p>
    <w:p w:rsidR="008F60B4" w:rsidRPr="00C82F43" w:rsidRDefault="008F60B4" w:rsidP="008F60B4">
      <w:pPr>
        <w:pStyle w:val="ListParagraph"/>
        <w:numPr>
          <w:ilvl w:val="0"/>
          <w:numId w:val="4"/>
        </w:numPr>
        <w:spacing w:after="0" w:line="360" w:lineRule="auto"/>
        <w:rPr>
          <w:rFonts w:ascii="Times New Roman" w:hAnsi="Times New Roman"/>
          <w:sz w:val="24"/>
          <w:szCs w:val="24"/>
        </w:rPr>
      </w:pPr>
      <w:r w:rsidRPr="00C82F43">
        <w:rPr>
          <w:rFonts w:ascii="Times New Roman" w:hAnsi="Times New Roman"/>
          <w:sz w:val="24"/>
          <w:szCs w:val="24"/>
        </w:rPr>
        <w:t>Calcium AND ratio OR percent*OR rate OR proportion AND (pig NOT guinea pig) OR swine</w:t>
      </w:r>
    </w:p>
    <w:p w:rsidR="008F60B4" w:rsidRPr="00C82F43" w:rsidRDefault="008F60B4" w:rsidP="008F60B4">
      <w:pPr>
        <w:pStyle w:val="ListParagraph"/>
        <w:numPr>
          <w:ilvl w:val="0"/>
          <w:numId w:val="4"/>
        </w:numPr>
        <w:spacing w:line="360" w:lineRule="auto"/>
        <w:rPr>
          <w:rFonts w:ascii="Times New Roman" w:hAnsi="Times New Roman"/>
          <w:sz w:val="24"/>
          <w:szCs w:val="24"/>
        </w:rPr>
      </w:pPr>
      <w:r w:rsidRPr="00C82F43">
        <w:rPr>
          <w:rFonts w:ascii="Times New Roman" w:hAnsi="Times New Roman"/>
          <w:sz w:val="24"/>
          <w:szCs w:val="24"/>
        </w:rPr>
        <w:t xml:space="preserve">Calcium AND </w:t>
      </w:r>
      <w:proofErr w:type="spellStart"/>
      <w:r w:rsidRPr="00C82F43">
        <w:rPr>
          <w:rFonts w:ascii="Times New Roman" w:hAnsi="Times New Roman"/>
          <w:sz w:val="24"/>
          <w:szCs w:val="24"/>
        </w:rPr>
        <w:t>Phosp</w:t>
      </w:r>
      <w:proofErr w:type="spellEnd"/>
      <w:r w:rsidRPr="00C82F43">
        <w:rPr>
          <w:rFonts w:ascii="Times New Roman" w:hAnsi="Times New Roman"/>
          <w:sz w:val="24"/>
          <w:szCs w:val="24"/>
        </w:rPr>
        <w:t xml:space="preserve">* AND digest* OR utilisation OR utilization OR </w:t>
      </w:r>
      <w:proofErr w:type="spellStart"/>
      <w:r w:rsidRPr="00C82F43">
        <w:rPr>
          <w:rFonts w:ascii="Times New Roman" w:hAnsi="Times New Roman"/>
          <w:sz w:val="24"/>
          <w:szCs w:val="24"/>
        </w:rPr>
        <w:t>absor</w:t>
      </w:r>
      <w:proofErr w:type="spellEnd"/>
      <w:r w:rsidRPr="00C82F43">
        <w:rPr>
          <w:rFonts w:ascii="Times New Roman" w:hAnsi="Times New Roman"/>
          <w:sz w:val="24"/>
          <w:szCs w:val="24"/>
        </w:rPr>
        <w:t xml:space="preserve">* OR </w:t>
      </w:r>
      <w:proofErr w:type="spellStart"/>
      <w:r w:rsidRPr="00C82F43">
        <w:rPr>
          <w:rFonts w:ascii="Times New Roman" w:hAnsi="Times New Roman"/>
          <w:sz w:val="24"/>
          <w:szCs w:val="24"/>
        </w:rPr>
        <w:t>metabol</w:t>
      </w:r>
      <w:proofErr w:type="spellEnd"/>
      <w:r w:rsidRPr="00C82F43">
        <w:rPr>
          <w:rFonts w:ascii="Times New Roman" w:hAnsi="Times New Roman"/>
          <w:sz w:val="24"/>
          <w:szCs w:val="24"/>
        </w:rPr>
        <w:t>* OR require* OR level* OR concentration* AND (pig NOT guinea pig) OR swine</w:t>
      </w:r>
    </w:p>
    <w:p w:rsidR="008F60B4" w:rsidRPr="00C82F43" w:rsidRDefault="008F60B4" w:rsidP="008F60B4">
      <w:pPr>
        <w:pStyle w:val="ListParagraph"/>
        <w:numPr>
          <w:ilvl w:val="0"/>
          <w:numId w:val="4"/>
        </w:numPr>
        <w:spacing w:after="0" w:line="360" w:lineRule="auto"/>
        <w:rPr>
          <w:rFonts w:ascii="Times New Roman" w:hAnsi="Times New Roman"/>
          <w:sz w:val="24"/>
          <w:szCs w:val="24"/>
        </w:rPr>
      </w:pPr>
      <w:r w:rsidRPr="00C82F43">
        <w:rPr>
          <w:rFonts w:ascii="Times New Roman" w:hAnsi="Times New Roman"/>
          <w:sz w:val="24"/>
          <w:szCs w:val="24"/>
        </w:rPr>
        <w:t xml:space="preserve">Calcium AND </w:t>
      </w:r>
      <w:proofErr w:type="spellStart"/>
      <w:r w:rsidRPr="00C82F43">
        <w:rPr>
          <w:rFonts w:ascii="Times New Roman" w:hAnsi="Times New Roman"/>
          <w:sz w:val="24"/>
          <w:szCs w:val="24"/>
        </w:rPr>
        <w:t>Phosp</w:t>
      </w:r>
      <w:proofErr w:type="spellEnd"/>
      <w:r w:rsidRPr="00C82F43">
        <w:rPr>
          <w:rFonts w:ascii="Times New Roman" w:hAnsi="Times New Roman"/>
          <w:sz w:val="24"/>
          <w:szCs w:val="24"/>
        </w:rPr>
        <w:t>* AND ratio OR percent*OR rate OR proportion AND (pig NOT guinea pig) OR swine</w:t>
      </w:r>
    </w:p>
    <w:p w:rsidR="008F60B4" w:rsidRPr="00C82F43" w:rsidRDefault="008F60B4" w:rsidP="008F60B4">
      <w:pPr>
        <w:numPr>
          <w:ilvl w:val="0"/>
          <w:numId w:val="4"/>
        </w:numPr>
        <w:spacing w:line="360" w:lineRule="auto"/>
        <w:contextualSpacing/>
        <w:rPr>
          <w:rFonts w:ascii="Times New Roman" w:hAnsi="Times New Roman"/>
          <w:sz w:val="24"/>
          <w:szCs w:val="24"/>
        </w:rPr>
      </w:pPr>
      <w:r w:rsidRPr="00C82F43">
        <w:rPr>
          <w:rFonts w:ascii="Times New Roman" w:hAnsi="Times New Roman"/>
          <w:sz w:val="24"/>
          <w:szCs w:val="24"/>
        </w:rPr>
        <w:lastRenderedPageBreak/>
        <w:t xml:space="preserve">Calcium AND Vitamin D AND digest* OR utilisation OR utilization OR </w:t>
      </w:r>
      <w:proofErr w:type="spellStart"/>
      <w:r w:rsidRPr="00C82F43">
        <w:rPr>
          <w:rFonts w:ascii="Times New Roman" w:hAnsi="Times New Roman"/>
          <w:sz w:val="24"/>
          <w:szCs w:val="24"/>
        </w:rPr>
        <w:t>absor</w:t>
      </w:r>
      <w:proofErr w:type="spellEnd"/>
      <w:r w:rsidRPr="00C82F43">
        <w:rPr>
          <w:rFonts w:ascii="Times New Roman" w:hAnsi="Times New Roman"/>
          <w:sz w:val="24"/>
          <w:szCs w:val="24"/>
        </w:rPr>
        <w:t xml:space="preserve">* OR </w:t>
      </w:r>
      <w:proofErr w:type="spellStart"/>
      <w:r w:rsidRPr="00C82F43">
        <w:rPr>
          <w:rFonts w:ascii="Times New Roman" w:hAnsi="Times New Roman"/>
          <w:sz w:val="24"/>
          <w:szCs w:val="24"/>
        </w:rPr>
        <w:t>metabol</w:t>
      </w:r>
      <w:proofErr w:type="spellEnd"/>
      <w:r w:rsidRPr="00C82F43">
        <w:rPr>
          <w:rFonts w:ascii="Times New Roman" w:hAnsi="Times New Roman"/>
          <w:sz w:val="24"/>
          <w:szCs w:val="24"/>
        </w:rPr>
        <w:t>* OR require* OR level* OR concentration* AND (pig NOT guinea pig) OR swine</w:t>
      </w:r>
    </w:p>
    <w:p w:rsidR="008F60B4" w:rsidRPr="00C82F43" w:rsidRDefault="008F60B4" w:rsidP="008F60B4">
      <w:pPr>
        <w:pStyle w:val="ListParagraph"/>
        <w:numPr>
          <w:ilvl w:val="0"/>
          <w:numId w:val="4"/>
        </w:numPr>
        <w:spacing w:after="0" w:line="360" w:lineRule="auto"/>
        <w:rPr>
          <w:rFonts w:ascii="Times New Roman" w:hAnsi="Times New Roman"/>
          <w:sz w:val="24"/>
          <w:szCs w:val="24"/>
        </w:rPr>
      </w:pPr>
      <w:r w:rsidRPr="00C82F43">
        <w:rPr>
          <w:rFonts w:ascii="Times New Roman" w:hAnsi="Times New Roman"/>
          <w:sz w:val="24"/>
        </w:rPr>
        <w:t xml:space="preserve">Calcium AND Vitamin D </w:t>
      </w:r>
      <w:r w:rsidRPr="00C82F43">
        <w:rPr>
          <w:rFonts w:ascii="Times New Roman" w:hAnsi="Times New Roman"/>
          <w:sz w:val="24"/>
          <w:szCs w:val="24"/>
        </w:rPr>
        <w:t>AND ratio OR percent*OR rate OR proportion AND (pig NOT guinea pig) OR swine</w:t>
      </w:r>
    </w:p>
    <w:p w:rsidR="008F60B4" w:rsidRPr="00C82F43" w:rsidRDefault="008F60B4" w:rsidP="008F60B4">
      <w:pPr>
        <w:numPr>
          <w:ilvl w:val="0"/>
          <w:numId w:val="4"/>
        </w:numPr>
        <w:spacing w:line="360" w:lineRule="auto"/>
        <w:contextualSpacing/>
        <w:rPr>
          <w:rFonts w:ascii="Times New Roman" w:hAnsi="Times New Roman"/>
          <w:sz w:val="24"/>
          <w:szCs w:val="24"/>
        </w:rPr>
      </w:pPr>
      <w:r w:rsidRPr="00C82F43">
        <w:rPr>
          <w:rFonts w:ascii="Times New Roman" w:hAnsi="Times New Roman"/>
          <w:sz w:val="24"/>
        </w:rPr>
        <w:t xml:space="preserve">Calcium AND </w:t>
      </w:r>
      <w:proofErr w:type="spellStart"/>
      <w:r w:rsidRPr="00C82F43">
        <w:rPr>
          <w:rFonts w:ascii="Times New Roman" w:hAnsi="Times New Roman"/>
          <w:sz w:val="24"/>
        </w:rPr>
        <w:t>Phytase</w:t>
      </w:r>
      <w:proofErr w:type="spellEnd"/>
      <w:r w:rsidRPr="00C82F43">
        <w:rPr>
          <w:rFonts w:ascii="Times New Roman" w:hAnsi="Times New Roman"/>
          <w:sz w:val="24"/>
        </w:rPr>
        <w:t xml:space="preserve"> </w:t>
      </w:r>
      <w:r w:rsidRPr="00C82F43">
        <w:rPr>
          <w:rFonts w:ascii="Times New Roman" w:hAnsi="Times New Roman"/>
          <w:sz w:val="24"/>
          <w:szCs w:val="24"/>
        </w:rPr>
        <w:t xml:space="preserve">AND digest* OR utilisation OR utilization OR </w:t>
      </w:r>
      <w:proofErr w:type="spellStart"/>
      <w:r w:rsidRPr="00C82F43">
        <w:rPr>
          <w:rFonts w:ascii="Times New Roman" w:hAnsi="Times New Roman"/>
          <w:sz w:val="24"/>
          <w:szCs w:val="24"/>
        </w:rPr>
        <w:t>absor</w:t>
      </w:r>
      <w:proofErr w:type="spellEnd"/>
      <w:r w:rsidRPr="00C82F43">
        <w:rPr>
          <w:rFonts w:ascii="Times New Roman" w:hAnsi="Times New Roman"/>
          <w:sz w:val="24"/>
          <w:szCs w:val="24"/>
        </w:rPr>
        <w:t xml:space="preserve">* OR </w:t>
      </w:r>
      <w:proofErr w:type="spellStart"/>
      <w:r w:rsidRPr="00C82F43">
        <w:rPr>
          <w:rFonts w:ascii="Times New Roman" w:hAnsi="Times New Roman"/>
          <w:sz w:val="24"/>
          <w:szCs w:val="24"/>
        </w:rPr>
        <w:t>metabol</w:t>
      </w:r>
      <w:proofErr w:type="spellEnd"/>
      <w:r w:rsidRPr="00C82F43">
        <w:rPr>
          <w:rFonts w:ascii="Times New Roman" w:hAnsi="Times New Roman"/>
          <w:sz w:val="24"/>
          <w:szCs w:val="24"/>
        </w:rPr>
        <w:t>* OR require* OR level* OR concentration* AND (pig NOT guinea pig) OR swine</w:t>
      </w:r>
    </w:p>
    <w:p w:rsidR="008F60B4" w:rsidRPr="00C82F43" w:rsidRDefault="008F60B4" w:rsidP="008F60B4">
      <w:pPr>
        <w:pStyle w:val="ListParagraph"/>
        <w:numPr>
          <w:ilvl w:val="0"/>
          <w:numId w:val="4"/>
        </w:numPr>
        <w:spacing w:after="0" w:line="360" w:lineRule="auto"/>
        <w:rPr>
          <w:rFonts w:ascii="Times New Roman" w:hAnsi="Times New Roman"/>
          <w:sz w:val="24"/>
          <w:szCs w:val="24"/>
        </w:rPr>
      </w:pPr>
      <w:r w:rsidRPr="00C82F43">
        <w:rPr>
          <w:rFonts w:ascii="Times New Roman" w:hAnsi="Times New Roman"/>
          <w:sz w:val="24"/>
        </w:rPr>
        <w:t xml:space="preserve">Calcium AND </w:t>
      </w:r>
      <w:proofErr w:type="spellStart"/>
      <w:r w:rsidRPr="00C82F43">
        <w:rPr>
          <w:rFonts w:ascii="Times New Roman" w:hAnsi="Times New Roman"/>
          <w:sz w:val="24"/>
        </w:rPr>
        <w:t>Phytase</w:t>
      </w:r>
      <w:proofErr w:type="spellEnd"/>
      <w:r w:rsidRPr="00C82F43">
        <w:rPr>
          <w:rFonts w:ascii="Times New Roman" w:hAnsi="Times New Roman"/>
          <w:sz w:val="24"/>
        </w:rPr>
        <w:t xml:space="preserve"> </w:t>
      </w:r>
      <w:r w:rsidRPr="00C82F43">
        <w:rPr>
          <w:rFonts w:ascii="Times New Roman" w:hAnsi="Times New Roman"/>
          <w:sz w:val="24"/>
          <w:szCs w:val="24"/>
        </w:rPr>
        <w:t>AND ratio OR percent*OR rate OR proportion AND (pig NOT guinea pig) OR swine</w:t>
      </w:r>
    </w:p>
    <w:p w:rsidR="008F60B4" w:rsidRPr="00C82F43" w:rsidRDefault="008F60B4" w:rsidP="008F60B4">
      <w:pPr>
        <w:spacing w:after="0" w:line="360" w:lineRule="auto"/>
        <w:ind w:left="720"/>
        <w:rPr>
          <w:rFonts w:ascii="Times New Roman" w:hAnsi="Times New Roman"/>
          <w:sz w:val="24"/>
          <w:szCs w:val="24"/>
        </w:rPr>
      </w:pPr>
      <w:r w:rsidRPr="00C82F43">
        <w:rPr>
          <w:rFonts w:ascii="Times New Roman" w:hAnsi="Times New Roman"/>
          <w:sz w:val="24"/>
          <w:szCs w:val="24"/>
        </w:rPr>
        <w:t>Timespan of searches: 1990 – present day</w:t>
      </w:r>
    </w:p>
    <w:p w:rsidR="008F60B4" w:rsidRPr="00C82F43" w:rsidRDefault="008F60B4" w:rsidP="008F60B4">
      <w:pPr>
        <w:pStyle w:val="ListParagraph"/>
        <w:numPr>
          <w:ilvl w:val="0"/>
          <w:numId w:val="1"/>
        </w:numPr>
        <w:spacing w:after="0" w:line="360" w:lineRule="auto"/>
        <w:rPr>
          <w:rFonts w:ascii="Times New Roman" w:hAnsi="Times New Roman"/>
          <w:b/>
          <w:sz w:val="24"/>
          <w:szCs w:val="24"/>
        </w:rPr>
      </w:pPr>
      <w:r w:rsidRPr="00C82F43">
        <w:rPr>
          <w:rFonts w:ascii="Times New Roman" w:hAnsi="Times New Roman"/>
          <w:b/>
          <w:sz w:val="24"/>
          <w:szCs w:val="24"/>
        </w:rPr>
        <w:t xml:space="preserve">Types of study to be included: </w:t>
      </w:r>
      <w:r w:rsidRPr="00C82F43">
        <w:rPr>
          <w:rFonts w:ascii="Times New Roman" w:hAnsi="Times New Roman"/>
          <w:sz w:val="24"/>
          <w:szCs w:val="24"/>
        </w:rPr>
        <w:t>any in-vivo experimental study design presenting relevant data for Ca and P intakes, Ca and P outputs from faeces and urine, Ca and P absorption/retention values on relevant population outlined in part 7 of this research protocol (if a paper reports mineral intake values and mineral outputs from faeces and urine, mineral absorption and retention will be calculated by the reviewer, if necessary)</w:t>
      </w:r>
    </w:p>
    <w:p w:rsidR="008F60B4" w:rsidRPr="00C82F43" w:rsidRDefault="008F60B4" w:rsidP="008F60B4">
      <w:pPr>
        <w:pStyle w:val="ListParagraph"/>
        <w:numPr>
          <w:ilvl w:val="0"/>
          <w:numId w:val="1"/>
        </w:numPr>
        <w:spacing w:after="0" w:line="360" w:lineRule="auto"/>
        <w:rPr>
          <w:rFonts w:ascii="Times New Roman" w:hAnsi="Times New Roman"/>
          <w:b/>
          <w:sz w:val="24"/>
          <w:szCs w:val="24"/>
        </w:rPr>
      </w:pPr>
      <w:r w:rsidRPr="00C82F43">
        <w:rPr>
          <w:rFonts w:ascii="Times New Roman" w:hAnsi="Times New Roman"/>
          <w:b/>
          <w:sz w:val="24"/>
          <w:szCs w:val="24"/>
        </w:rPr>
        <w:t xml:space="preserve">Condition/domain being studied: </w:t>
      </w:r>
      <w:r w:rsidRPr="00C82F43">
        <w:rPr>
          <w:rFonts w:ascii="Times New Roman" w:hAnsi="Times New Roman"/>
          <w:sz w:val="24"/>
          <w:szCs w:val="24"/>
        </w:rPr>
        <w:t xml:space="preserve">growing and finishing pigs fed different dietary levels of Ca and P (with and without exogenous </w:t>
      </w:r>
      <w:proofErr w:type="spellStart"/>
      <w:r w:rsidRPr="00C82F43">
        <w:rPr>
          <w:rFonts w:ascii="Times New Roman" w:hAnsi="Times New Roman"/>
          <w:sz w:val="24"/>
          <w:szCs w:val="24"/>
        </w:rPr>
        <w:t>phytase</w:t>
      </w:r>
      <w:proofErr w:type="spellEnd"/>
      <w:r w:rsidRPr="00C82F43">
        <w:rPr>
          <w:rFonts w:ascii="Times New Roman" w:hAnsi="Times New Roman"/>
          <w:sz w:val="24"/>
          <w:szCs w:val="24"/>
        </w:rPr>
        <w:t xml:space="preserve"> supplementation); growing and finishing pigs fed different dietary Ca: P ratios (weanling pigs will be also considered if there is insufficient data available for growing and finishing pigs)</w:t>
      </w:r>
    </w:p>
    <w:p w:rsidR="008F60B4" w:rsidRPr="00C82F43" w:rsidRDefault="008F60B4" w:rsidP="008F60B4">
      <w:pPr>
        <w:pStyle w:val="ListParagraph"/>
        <w:numPr>
          <w:ilvl w:val="0"/>
          <w:numId w:val="1"/>
        </w:numPr>
        <w:spacing w:after="0" w:line="360" w:lineRule="auto"/>
        <w:rPr>
          <w:rFonts w:ascii="Times New Roman" w:hAnsi="Times New Roman"/>
          <w:b/>
          <w:sz w:val="24"/>
          <w:szCs w:val="24"/>
        </w:rPr>
      </w:pPr>
      <w:r w:rsidRPr="00C82F43">
        <w:rPr>
          <w:rFonts w:ascii="Times New Roman" w:hAnsi="Times New Roman"/>
          <w:b/>
          <w:sz w:val="24"/>
          <w:szCs w:val="24"/>
        </w:rPr>
        <w:t>Participants/population:</w:t>
      </w:r>
    </w:p>
    <w:p w:rsidR="008F60B4" w:rsidRPr="00C82F43" w:rsidRDefault="008F60B4" w:rsidP="008F60B4">
      <w:pPr>
        <w:spacing w:after="0" w:line="360" w:lineRule="auto"/>
        <w:ind w:left="720"/>
        <w:rPr>
          <w:rFonts w:ascii="Times New Roman" w:hAnsi="Times New Roman"/>
          <w:sz w:val="24"/>
          <w:szCs w:val="24"/>
        </w:rPr>
      </w:pPr>
      <w:r w:rsidRPr="00C82F43">
        <w:rPr>
          <w:rFonts w:ascii="Times New Roman" w:hAnsi="Times New Roman"/>
          <w:b/>
          <w:sz w:val="24"/>
          <w:szCs w:val="24"/>
        </w:rPr>
        <w:t xml:space="preserve">Inclusion: </w:t>
      </w:r>
      <w:r w:rsidRPr="00C82F43">
        <w:rPr>
          <w:rFonts w:ascii="Times New Roman" w:hAnsi="Times New Roman"/>
          <w:sz w:val="24"/>
          <w:szCs w:val="24"/>
        </w:rPr>
        <w:t>growing (pigs that overcame stress associated with weaning) and finishing pigs (Initial BW range: 50-100kg)</w:t>
      </w:r>
    </w:p>
    <w:p w:rsidR="008F60B4" w:rsidRPr="00C82F43" w:rsidRDefault="008F60B4" w:rsidP="008F60B4">
      <w:pPr>
        <w:spacing w:after="0" w:line="360" w:lineRule="auto"/>
        <w:ind w:left="720"/>
        <w:rPr>
          <w:rFonts w:ascii="Times New Roman" w:hAnsi="Times New Roman"/>
          <w:sz w:val="24"/>
          <w:szCs w:val="24"/>
        </w:rPr>
      </w:pPr>
      <w:r w:rsidRPr="00C82F43">
        <w:rPr>
          <w:rFonts w:ascii="Times New Roman" w:hAnsi="Times New Roman"/>
          <w:b/>
          <w:sz w:val="24"/>
          <w:szCs w:val="24"/>
        </w:rPr>
        <w:t>Exclusion:</w:t>
      </w:r>
      <w:r w:rsidRPr="00C82F43">
        <w:rPr>
          <w:rFonts w:ascii="Times New Roman" w:hAnsi="Times New Roman"/>
          <w:sz w:val="24"/>
          <w:szCs w:val="24"/>
        </w:rPr>
        <w:t xml:space="preserve"> breeding sows, gestating sows, farrowing sows, new-born piglets, weanling piglets, weaned piglets that have not overcame stress associated with weaning</w:t>
      </w: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p w:rsidR="008F60B4" w:rsidRPr="00C82F43" w:rsidRDefault="008F60B4" w:rsidP="008F60B4">
      <w:pPr>
        <w:spacing w:after="0" w:line="360" w:lineRule="auto"/>
        <w:ind w:left="720"/>
        <w:rPr>
          <w:rFonts w:ascii="Times New Roman" w:hAnsi="Times New Roman"/>
          <w:sz w:val="24"/>
          <w:szCs w:val="24"/>
        </w:rPr>
      </w:pPr>
    </w:p>
    <w:tbl>
      <w:tblPr>
        <w:tblW w:w="9638" w:type="dxa"/>
        <w:tblLook w:val="04A0" w:firstRow="1" w:lastRow="0" w:firstColumn="1" w:lastColumn="0" w:noHBand="0" w:noVBand="1"/>
      </w:tblPr>
      <w:tblGrid>
        <w:gridCol w:w="1804"/>
        <w:gridCol w:w="4084"/>
        <w:gridCol w:w="3750"/>
      </w:tblGrid>
      <w:tr w:rsidR="00C82F43" w:rsidRPr="00C82F43" w:rsidTr="008F60B4">
        <w:trPr>
          <w:trHeight w:val="399"/>
        </w:trPr>
        <w:tc>
          <w:tcPr>
            <w:tcW w:w="1523" w:type="dxa"/>
            <w:tcBorders>
              <w:top w:val="single" w:sz="4" w:space="0" w:color="auto"/>
              <w:left w:val="nil"/>
              <w:bottom w:val="single" w:sz="4" w:space="0" w:color="auto"/>
              <w:right w:val="nil"/>
            </w:tcBorders>
            <w:noWrap/>
            <w:vAlign w:val="center"/>
            <w:hideMark/>
          </w:tcPr>
          <w:p w:rsidR="008F60B4" w:rsidRPr="00C82F43" w:rsidRDefault="008F60B4">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lastRenderedPageBreak/>
              <w:t>Component</w:t>
            </w:r>
          </w:p>
        </w:tc>
        <w:tc>
          <w:tcPr>
            <w:tcW w:w="4084" w:type="dxa"/>
            <w:tcBorders>
              <w:top w:val="single" w:sz="4" w:space="0" w:color="auto"/>
              <w:left w:val="nil"/>
              <w:bottom w:val="single" w:sz="4" w:space="0" w:color="auto"/>
              <w:right w:val="nil"/>
            </w:tcBorders>
            <w:noWrap/>
            <w:vAlign w:val="center"/>
            <w:hideMark/>
          </w:tcPr>
          <w:p w:rsidR="008F60B4" w:rsidRPr="00C82F43" w:rsidRDefault="008F60B4">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Inclusion</w:t>
            </w:r>
          </w:p>
        </w:tc>
        <w:tc>
          <w:tcPr>
            <w:tcW w:w="4031" w:type="dxa"/>
            <w:tcBorders>
              <w:top w:val="single" w:sz="4" w:space="0" w:color="auto"/>
              <w:left w:val="nil"/>
              <w:bottom w:val="single" w:sz="4" w:space="0" w:color="auto"/>
              <w:right w:val="nil"/>
            </w:tcBorders>
            <w:vAlign w:val="center"/>
            <w:hideMark/>
          </w:tcPr>
          <w:p w:rsidR="008F60B4" w:rsidRPr="00C82F43" w:rsidRDefault="008F60B4">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Exclusion</w:t>
            </w:r>
          </w:p>
        </w:tc>
      </w:tr>
      <w:tr w:rsidR="00C82F43" w:rsidRPr="00C82F43" w:rsidTr="008F60B4">
        <w:trPr>
          <w:trHeight w:val="680"/>
        </w:trPr>
        <w:tc>
          <w:tcPr>
            <w:tcW w:w="1523" w:type="dxa"/>
            <w:noWrap/>
            <w:hideMark/>
          </w:tcPr>
          <w:p w:rsidR="008F60B4" w:rsidRPr="00C82F43" w:rsidRDefault="008F60B4">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Study design:</w:t>
            </w:r>
          </w:p>
        </w:tc>
        <w:tc>
          <w:tcPr>
            <w:tcW w:w="4084" w:type="dxa"/>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quantitative, in-vivo: mineral balance studies</w:t>
            </w:r>
          </w:p>
        </w:tc>
        <w:tc>
          <w:tcPr>
            <w:tcW w:w="4031" w:type="dxa"/>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descriptive, qualitative, in-silico, in-vitro</w:t>
            </w:r>
          </w:p>
        </w:tc>
      </w:tr>
      <w:tr w:rsidR="00C82F43" w:rsidRPr="00C82F43" w:rsidTr="008F60B4">
        <w:trPr>
          <w:trHeight w:val="680"/>
        </w:trPr>
        <w:tc>
          <w:tcPr>
            <w:tcW w:w="1523" w:type="dxa"/>
            <w:noWrap/>
            <w:hideMark/>
          </w:tcPr>
          <w:p w:rsidR="008F60B4" w:rsidRPr="00C82F43" w:rsidRDefault="008F60B4">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Population:</w:t>
            </w:r>
          </w:p>
        </w:tc>
        <w:tc>
          <w:tcPr>
            <w:tcW w:w="4084" w:type="dxa"/>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growing and finishing pigs</w:t>
            </w:r>
          </w:p>
        </w:tc>
        <w:tc>
          <w:tcPr>
            <w:tcW w:w="4031" w:type="dxa"/>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new-born piglets, weanling piglets</w:t>
            </w:r>
          </w:p>
        </w:tc>
      </w:tr>
      <w:tr w:rsidR="00C82F43" w:rsidRPr="00C82F43" w:rsidTr="008F60B4">
        <w:trPr>
          <w:trHeight w:val="680"/>
        </w:trPr>
        <w:tc>
          <w:tcPr>
            <w:tcW w:w="1523" w:type="dxa"/>
            <w:noWrap/>
            <w:hideMark/>
          </w:tcPr>
          <w:p w:rsidR="008F60B4" w:rsidRPr="00C82F43" w:rsidRDefault="008F60B4">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 xml:space="preserve">Subpopulation: </w:t>
            </w:r>
          </w:p>
        </w:tc>
        <w:tc>
          <w:tcPr>
            <w:tcW w:w="4084" w:type="dxa"/>
            <w:noWrap/>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barrow (castrated male), boar (entire male), gilt</w:t>
            </w:r>
          </w:p>
        </w:tc>
        <w:tc>
          <w:tcPr>
            <w:tcW w:w="4031" w:type="dxa"/>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breeding sow, gestating sow, farrowing sow</w:t>
            </w:r>
          </w:p>
        </w:tc>
      </w:tr>
      <w:tr w:rsidR="00C82F43" w:rsidRPr="00C82F43" w:rsidTr="008F60B4">
        <w:trPr>
          <w:trHeight w:val="680"/>
        </w:trPr>
        <w:tc>
          <w:tcPr>
            <w:tcW w:w="1523" w:type="dxa"/>
            <w:noWrap/>
            <w:hideMark/>
          </w:tcPr>
          <w:p w:rsidR="008F60B4" w:rsidRPr="00C82F43" w:rsidRDefault="008F60B4">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Treatment:</w:t>
            </w:r>
          </w:p>
        </w:tc>
        <w:tc>
          <w:tcPr>
            <w:tcW w:w="4084" w:type="dxa"/>
            <w:noWrap/>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varying levels of dietary Ca and P (with and without exogenous </w:t>
            </w:r>
            <w:proofErr w:type="spellStart"/>
            <w:r w:rsidRPr="00C82F43">
              <w:rPr>
                <w:rFonts w:ascii="Times New Roman" w:eastAsia="Times New Roman" w:hAnsi="Times New Roman"/>
                <w:sz w:val="24"/>
                <w:szCs w:val="24"/>
                <w:lang w:eastAsia="en-GB"/>
              </w:rPr>
              <w:t>phytase</w:t>
            </w:r>
            <w:proofErr w:type="spellEnd"/>
            <w:r w:rsidRPr="00C82F43">
              <w:rPr>
                <w:rFonts w:ascii="Times New Roman" w:eastAsia="Times New Roman" w:hAnsi="Times New Roman"/>
                <w:sz w:val="24"/>
                <w:szCs w:val="24"/>
                <w:lang w:eastAsia="en-GB"/>
              </w:rPr>
              <w:t xml:space="preserve"> supplementation </w:t>
            </w:r>
          </w:p>
        </w:tc>
        <w:tc>
          <w:tcPr>
            <w:tcW w:w="4031" w:type="dxa"/>
            <w:hideMark/>
          </w:tcPr>
          <w:p w:rsidR="008F60B4" w:rsidRPr="00C82F43" w:rsidRDefault="008F60B4">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r>
      <w:tr w:rsidR="00C82F43" w:rsidRPr="00C82F43" w:rsidTr="008F60B4">
        <w:trPr>
          <w:trHeight w:val="680"/>
        </w:trPr>
        <w:tc>
          <w:tcPr>
            <w:tcW w:w="1523" w:type="dxa"/>
            <w:tcBorders>
              <w:top w:val="nil"/>
              <w:left w:val="nil"/>
              <w:bottom w:val="single" w:sz="8" w:space="0" w:color="auto"/>
              <w:right w:val="nil"/>
            </w:tcBorders>
            <w:noWrap/>
            <w:hideMark/>
          </w:tcPr>
          <w:p w:rsidR="008F60B4" w:rsidRPr="00C82F43" w:rsidRDefault="008F60B4">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Primary outcomes:</w:t>
            </w:r>
          </w:p>
        </w:tc>
        <w:tc>
          <w:tcPr>
            <w:tcW w:w="4084" w:type="dxa"/>
            <w:tcBorders>
              <w:top w:val="nil"/>
              <w:left w:val="nil"/>
              <w:bottom w:val="single" w:sz="8" w:space="0" w:color="auto"/>
              <w:right w:val="nil"/>
            </w:tcBorders>
            <w:noWrap/>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Ca absorption and Ca retention</w:t>
            </w:r>
          </w:p>
        </w:tc>
        <w:tc>
          <w:tcPr>
            <w:tcW w:w="4031" w:type="dxa"/>
            <w:tcBorders>
              <w:top w:val="nil"/>
              <w:left w:val="nil"/>
              <w:bottom w:val="single" w:sz="8" w:space="0" w:color="auto"/>
              <w:right w:val="nil"/>
            </w:tcBorders>
            <w:hideMark/>
          </w:tcPr>
          <w:p w:rsidR="008F60B4" w:rsidRPr="00C82F43" w:rsidRDefault="008F60B4">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other available measures of mineral digestibility</w:t>
            </w:r>
          </w:p>
        </w:tc>
      </w:tr>
    </w:tbl>
    <w:p w:rsidR="008F60B4" w:rsidRPr="00C82F43" w:rsidRDefault="008F60B4" w:rsidP="008F60B4">
      <w:pPr>
        <w:pStyle w:val="ListParagraph"/>
        <w:numPr>
          <w:ilvl w:val="0"/>
          <w:numId w:val="1"/>
        </w:numPr>
        <w:spacing w:after="0" w:line="360" w:lineRule="auto"/>
        <w:rPr>
          <w:rFonts w:ascii="Times New Roman" w:eastAsia="Calibri" w:hAnsi="Times New Roman"/>
          <w:b/>
          <w:sz w:val="24"/>
          <w:szCs w:val="24"/>
        </w:rPr>
      </w:pPr>
      <w:r w:rsidRPr="00C82F43">
        <w:rPr>
          <w:rFonts w:ascii="Times New Roman" w:hAnsi="Times New Roman"/>
          <w:b/>
          <w:sz w:val="24"/>
          <w:szCs w:val="24"/>
        </w:rPr>
        <w:t xml:space="preserve">Intervention(s), exposure(s): </w:t>
      </w:r>
      <w:r w:rsidRPr="00C82F43">
        <w:rPr>
          <w:rFonts w:ascii="Times New Roman" w:hAnsi="Times New Roman"/>
          <w:sz w:val="24"/>
          <w:szCs w:val="24"/>
        </w:rPr>
        <w:t xml:space="preserve">different dietary Ca levels in the diets of growing and finishing pigs (for different dietary P levels) with and without exogenous </w:t>
      </w:r>
      <w:proofErr w:type="spellStart"/>
      <w:r w:rsidRPr="00C82F43">
        <w:rPr>
          <w:rFonts w:ascii="Times New Roman" w:hAnsi="Times New Roman"/>
          <w:sz w:val="24"/>
          <w:szCs w:val="24"/>
        </w:rPr>
        <w:t>phytase</w:t>
      </w:r>
      <w:proofErr w:type="spellEnd"/>
      <w:r w:rsidRPr="00C82F43">
        <w:rPr>
          <w:rFonts w:ascii="Times New Roman" w:hAnsi="Times New Roman"/>
          <w:sz w:val="24"/>
          <w:szCs w:val="24"/>
        </w:rPr>
        <w:t xml:space="preserve"> supplementation</w:t>
      </w:r>
    </w:p>
    <w:p w:rsidR="008F60B4" w:rsidRPr="00C82F43" w:rsidRDefault="008F60B4" w:rsidP="008F60B4">
      <w:pPr>
        <w:pStyle w:val="ListParagraph"/>
        <w:numPr>
          <w:ilvl w:val="0"/>
          <w:numId w:val="1"/>
        </w:numPr>
        <w:spacing w:after="0" w:line="360" w:lineRule="auto"/>
        <w:rPr>
          <w:rFonts w:ascii="Times New Roman" w:hAnsi="Times New Roman"/>
          <w:b/>
          <w:sz w:val="24"/>
          <w:szCs w:val="24"/>
        </w:rPr>
      </w:pPr>
      <w:r w:rsidRPr="00C82F43">
        <w:rPr>
          <w:rFonts w:ascii="Times New Roman" w:hAnsi="Times New Roman"/>
          <w:b/>
          <w:sz w:val="24"/>
          <w:szCs w:val="24"/>
        </w:rPr>
        <w:t>Outcomes:</w:t>
      </w:r>
    </w:p>
    <w:p w:rsidR="008F60B4" w:rsidRPr="00C82F43" w:rsidRDefault="008F60B4" w:rsidP="008F60B4">
      <w:pPr>
        <w:spacing w:after="0" w:line="360" w:lineRule="auto"/>
        <w:ind w:left="720"/>
        <w:rPr>
          <w:rFonts w:ascii="Times New Roman" w:hAnsi="Times New Roman"/>
          <w:sz w:val="24"/>
          <w:szCs w:val="24"/>
        </w:rPr>
      </w:pPr>
      <w:r w:rsidRPr="00C82F43">
        <w:rPr>
          <w:rFonts w:ascii="Times New Roman" w:hAnsi="Times New Roman"/>
          <w:b/>
          <w:sz w:val="24"/>
          <w:szCs w:val="24"/>
        </w:rPr>
        <w:t xml:space="preserve">Primary outcomes: </w:t>
      </w:r>
      <w:r w:rsidRPr="00C82F43">
        <w:rPr>
          <w:rFonts w:ascii="Times New Roman" w:hAnsi="Times New Roman"/>
          <w:sz w:val="24"/>
          <w:szCs w:val="24"/>
        </w:rPr>
        <w:t>Ca absorption and Ca retention (mean, confidence intervals, standard errors) at varying dietary Ca intakes</w:t>
      </w:r>
    </w:p>
    <w:p w:rsidR="008F60B4" w:rsidRPr="00C82F43" w:rsidRDefault="008F60B4" w:rsidP="008F60B4">
      <w:pPr>
        <w:spacing w:after="0" w:line="360" w:lineRule="auto"/>
        <w:ind w:left="720"/>
        <w:rPr>
          <w:rFonts w:ascii="Times New Roman" w:hAnsi="Times New Roman"/>
          <w:sz w:val="24"/>
          <w:szCs w:val="24"/>
        </w:rPr>
      </w:pPr>
      <w:r w:rsidRPr="00C82F43">
        <w:rPr>
          <w:rFonts w:ascii="Times New Roman" w:hAnsi="Times New Roman"/>
          <w:b/>
          <w:sz w:val="24"/>
          <w:szCs w:val="24"/>
        </w:rPr>
        <w:t>Secondary outcomes:</w:t>
      </w:r>
      <w:r w:rsidRPr="00C82F43">
        <w:rPr>
          <w:rFonts w:ascii="Times New Roman" w:hAnsi="Times New Roman"/>
          <w:sz w:val="24"/>
          <w:szCs w:val="24"/>
        </w:rPr>
        <w:t xml:space="preserve"> Growth performance (Average Daily Gain, bone mineralisation, bone breaking strength) at varying dietary Ca intakes (mean, confidence intervals, standard errors)</w:t>
      </w:r>
    </w:p>
    <w:p w:rsidR="008F60B4" w:rsidRPr="00C82F43" w:rsidRDefault="008F60B4" w:rsidP="008F60B4">
      <w:pPr>
        <w:pStyle w:val="ListParagraph"/>
        <w:numPr>
          <w:ilvl w:val="0"/>
          <w:numId w:val="1"/>
        </w:numPr>
        <w:spacing w:after="0" w:line="360" w:lineRule="auto"/>
        <w:rPr>
          <w:rFonts w:ascii="Times New Roman" w:hAnsi="Times New Roman"/>
          <w:b/>
          <w:sz w:val="24"/>
          <w:szCs w:val="24"/>
        </w:rPr>
      </w:pPr>
      <w:r w:rsidRPr="00C82F43">
        <w:rPr>
          <w:rFonts w:ascii="Times New Roman" w:hAnsi="Times New Roman"/>
          <w:b/>
          <w:sz w:val="24"/>
          <w:szCs w:val="24"/>
        </w:rPr>
        <w:t xml:space="preserve">Data extraction: </w:t>
      </w:r>
      <w:r w:rsidRPr="00C82F43">
        <w:rPr>
          <w:rFonts w:ascii="Times New Roman" w:hAnsi="Times New Roman"/>
          <w:sz w:val="24"/>
          <w:szCs w:val="24"/>
        </w:rPr>
        <w:t xml:space="preserve">First keyword searches will be performed and results of these searches will be exported into unfiltered reference library; duplicates will be removed. Next title and abstracts will be examined according to the inclusion/exclusion criteria listed in part 6 of this research protocol. Afterwards kappa assessments will be calculated and possible relevant papers will be moved to a separate, filtered reference library. These articles will be examined in full to determine whether or not they can be selected for further data analysis. References of papers included for further data analysis will also be scanned to find any relevant studies. The following data will be extracted into a purpose – built database: 1) First author, 2) year of publication, 3) location of publication, 4) dietary Ca and P concentrations, 5) dietary Vitamin D, 6) dietary exogenous </w:t>
      </w:r>
      <w:proofErr w:type="spellStart"/>
      <w:r w:rsidRPr="00C82F43">
        <w:rPr>
          <w:rFonts w:ascii="Times New Roman" w:hAnsi="Times New Roman"/>
          <w:sz w:val="24"/>
          <w:szCs w:val="24"/>
        </w:rPr>
        <w:t>phytase</w:t>
      </w:r>
      <w:proofErr w:type="spellEnd"/>
      <w:r w:rsidRPr="00C82F43">
        <w:rPr>
          <w:rFonts w:ascii="Times New Roman" w:hAnsi="Times New Roman"/>
          <w:sz w:val="24"/>
          <w:szCs w:val="24"/>
        </w:rPr>
        <w:t xml:space="preserve">, 7) Ca and P intakes, 8) Ca outputs from faeces and urine, 9) Ca absorption and retention, 10) exogenous </w:t>
      </w:r>
      <w:proofErr w:type="spellStart"/>
      <w:r w:rsidRPr="00C82F43">
        <w:rPr>
          <w:rFonts w:ascii="Times New Roman" w:hAnsi="Times New Roman"/>
          <w:sz w:val="24"/>
          <w:szCs w:val="24"/>
        </w:rPr>
        <w:t>phytase</w:t>
      </w:r>
      <w:proofErr w:type="spellEnd"/>
      <w:r w:rsidRPr="00C82F43">
        <w:rPr>
          <w:rFonts w:ascii="Times New Roman" w:hAnsi="Times New Roman"/>
          <w:sz w:val="24"/>
          <w:szCs w:val="24"/>
        </w:rPr>
        <w:t xml:space="preserve"> type (if used), 11) main source of dietary protein, 12) main source of energy, 13) pig breed, 14) pig sex, 15) sample sizes per treatment, 16) measure of variability (e.g. standard error associated with main Ca absorption and retention), 17) diet type, 18) growth performance (average daily gain, bone mineralisation, bone breaking strength), 19) other factors considered in the study</w:t>
      </w:r>
    </w:p>
    <w:p w:rsidR="008F60B4" w:rsidRPr="00C82F43" w:rsidRDefault="008F60B4" w:rsidP="008F60B4">
      <w:pPr>
        <w:pStyle w:val="ListParagraph"/>
        <w:numPr>
          <w:ilvl w:val="0"/>
          <w:numId w:val="1"/>
        </w:numPr>
        <w:spacing w:after="0" w:line="360" w:lineRule="auto"/>
        <w:rPr>
          <w:rFonts w:ascii="Times New Roman" w:hAnsi="Times New Roman"/>
          <w:b/>
          <w:sz w:val="24"/>
          <w:szCs w:val="24"/>
        </w:rPr>
      </w:pPr>
      <w:r w:rsidRPr="00C82F43">
        <w:rPr>
          <w:rFonts w:ascii="Times New Roman" w:hAnsi="Times New Roman"/>
          <w:b/>
          <w:sz w:val="24"/>
          <w:szCs w:val="24"/>
        </w:rPr>
        <w:t>Risk of bias (quality) assessment</w:t>
      </w:r>
      <w:r w:rsidRPr="00C82F43">
        <w:rPr>
          <w:rFonts w:ascii="Times New Roman" w:hAnsi="Times New Roman"/>
          <w:sz w:val="24"/>
          <w:szCs w:val="24"/>
        </w:rPr>
        <w:t>:</w:t>
      </w:r>
      <w:r w:rsidRPr="00C82F43">
        <w:rPr>
          <w:rFonts w:ascii="Times New Roman" w:hAnsi="Times New Roman"/>
          <w:b/>
          <w:sz w:val="24"/>
          <w:szCs w:val="24"/>
        </w:rPr>
        <w:t xml:space="preserve"> </w:t>
      </w:r>
      <w:r w:rsidRPr="00C82F43">
        <w:rPr>
          <w:rFonts w:ascii="Times New Roman" w:hAnsi="Times New Roman"/>
          <w:sz w:val="24"/>
          <w:szCs w:val="24"/>
        </w:rPr>
        <w:t>A</w:t>
      </w:r>
      <w:r w:rsidRPr="00C82F43">
        <w:rPr>
          <w:rFonts w:ascii="Times New Roman" w:hAnsi="Times New Roman"/>
          <w:b/>
          <w:sz w:val="24"/>
          <w:szCs w:val="24"/>
        </w:rPr>
        <w:t xml:space="preserve"> s</w:t>
      </w:r>
      <w:r w:rsidRPr="00C82F43">
        <w:rPr>
          <w:rFonts w:ascii="Times New Roman" w:hAnsi="Times New Roman"/>
          <w:sz w:val="24"/>
          <w:szCs w:val="24"/>
        </w:rPr>
        <w:t xml:space="preserve">econd reviewer will be invited to go through a subsample of articles from the initial list produced by the relevant literature search and kappa assessment will be performed. A kappa rating of 0.6 or higher is recommended to pass the assessment. Afterwards, the selected studies will be assessed on the following criteria: 1) selection bias – is there any allocation concealment; 2) attrition bias – how did the study deal with the incomplete data and dropouts (e.g. pigs that have not survived the full length of the experiment); 3) reporting bias – are there any occurrences of any selective outcome reporting? Special care must be taken who the studies examine the effects of exogenous </w:t>
      </w:r>
      <w:proofErr w:type="spellStart"/>
      <w:r w:rsidRPr="00C82F43">
        <w:rPr>
          <w:rFonts w:ascii="Times New Roman" w:hAnsi="Times New Roman"/>
          <w:sz w:val="24"/>
          <w:szCs w:val="24"/>
        </w:rPr>
        <w:t>phytase</w:t>
      </w:r>
      <w:proofErr w:type="spellEnd"/>
      <w:r w:rsidRPr="00C82F43">
        <w:rPr>
          <w:rFonts w:ascii="Times New Roman" w:hAnsi="Times New Roman"/>
          <w:sz w:val="24"/>
          <w:szCs w:val="24"/>
        </w:rPr>
        <w:t xml:space="preserve"> supplementation for possible conflict of interest. Critical appraisal of the data will be then performed to determine the overall quality of the published data. Data reported in the included studies will be checked for omissions and internal consistency.</w:t>
      </w:r>
    </w:p>
    <w:p w:rsidR="001457F2" w:rsidRPr="00C82F43" w:rsidRDefault="008F60B4" w:rsidP="001457F2">
      <w:pPr>
        <w:pStyle w:val="ListParagraph"/>
        <w:numPr>
          <w:ilvl w:val="0"/>
          <w:numId w:val="1"/>
        </w:numPr>
        <w:spacing w:after="0" w:line="360" w:lineRule="auto"/>
        <w:rPr>
          <w:rFonts w:ascii="Times New Roman" w:hAnsi="Times New Roman"/>
          <w:b/>
          <w:sz w:val="24"/>
          <w:szCs w:val="24"/>
        </w:rPr>
      </w:pPr>
      <w:r w:rsidRPr="00C82F43">
        <w:rPr>
          <w:rFonts w:ascii="Times New Roman" w:hAnsi="Times New Roman"/>
          <w:b/>
          <w:sz w:val="24"/>
          <w:szCs w:val="24"/>
        </w:rPr>
        <w:t xml:space="preserve">Strategy for data synthesis and analysis: </w:t>
      </w:r>
      <w:r w:rsidRPr="00C82F43">
        <w:rPr>
          <w:rFonts w:ascii="Times New Roman" w:hAnsi="Times New Roman"/>
          <w:sz w:val="24"/>
          <w:szCs w:val="24"/>
        </w:rPr>
        <w:t xml:space="preserve">1) testing for heterogeneity will be performed to ensure that the assumption that all studies come from the same population is reasonable; if this assumption is rejected, due to the nature of the data considered for the purposes of this systematic review (input-output), mixed effect regression will be used to analyse the data; 2) data will be weighed by the measure of variability reported per treatment </w:t>
      </w:r>
    </w:p>
    <w:p w:rsidR="001457F2" w:rsidRPr="00C82F43" w:rsidRDefault="001457F2" w:rsidP="001457F2">
      <w:pPr>
        <w:pStyle w:val="ListParagraph"/>
        <w:numPr>
          <w:ilvl w:val="0"/>
          <w:numId w:val="1"/>
        </w:numPr>
        <w:spacing w:after="0" w:line="360" w:lineRule="auto"/>
        <w:rPr>
          <w:rFonts w:ascii="Times New Roman" w:hAnsi="Times New Roman"/>
          <w:b/>
          <w:sz w:val="24"/>
          <w:szCs w:val="24"/>
        </w:rPr>
      </w:pPr>
      <w:r w:rsidRPr="00C82F43">
        <w:br w:type="page"/>
      </w:r>
    </w:p>
    <w:p w:rsidR="00E42E8A" w:rsidRPr="00C82F43" w:rsidRDefault="00E42E8A" w:rsidP="001457F2">
      <w:pPr>
        <w:spacing w:after="0" w:line="360" w:lineRule="auto"/>
        <w:rPr>
          <w:rFonts w:ascii="Times New Roman" w:hAnsi="Times New Roman"/>
          <w:b/>
          <w:sz w:val="28"/>
        </w:rPr>
        <w:sectPr w:rsidR="00E42E8A" w:rsidRPr="00C82F43" w:rsidSect="00E42E8A">
          <w:footerReference w:type="default" r:id="rId8"/>
          <w:pgSz w:w="11906" w:h="16838"/>
          <w:pgMar w:top="1134" w:right="1134" w:bottom="1134" w:left="1134" w:header="708" w:footer="708" w:gutter="0"/>
          <w:lnNumType w:countBy="1" w:restart="continuous"/>
          <w:cols w:space="708"/>
          <w:docGrid w:linePitch="360"/>
        </w:sectPr>
      </w:pPr>
    </w:p>
    <w:p w:rsidR="001457F2" w:rsidRPr="00C82F43" w:rsidRDefault="001457F2" w:rsidP="001457F2">
      <w:pPr>
        <w:spacing w:after="0" w:line="360" w:lineRule="auto"/>
        <w:rPr>
          <w:rFonts w:ascii="Times New Roman" w:hAnsi="Times New Roman"/>
          <w:b/>
          <w:sz w:val="28"/>
          <w:szCs w:val="24"/>
        </w:rPr>
      </w:pPr>
      <w:r w:rsidRPr="00C82F43">
        <w:rPr>
          <w:rFonts w:ascii="Times New Roman" w:hAnsi="Times New Roman"/>
          <w:b/>
          <w:sz w:val="28"/>
        </w:rPr>
        <w:t>Supplementary Material B</w:t>
      </w:r>
      <w:r w:rsidRPr="00C82F43">
        <w:rPr>
          <w:rFonts w:ascii="Times New Roman" w:hAnsi="Times New Roman"/>
          <w:b/>
          <w:sz w:val="28"/>
          <w:szCs w:val="24"/>
        </w:rPr>
        <w:t>: Detailed results of the critical appraisal</w:t>
      </w:r>
    </w:p>
    <w:p w:rsidR="00E42E8A" w:rsidRPr="00C82F43" w:rsidRDefault="000F112D" w:rsidP="00E42E8A">
      <w:pPr>
        <w:pStyle w:val="ListParagraph"/>
        <w:numPr>
          <w:ilvl w:val="0"/>
          <w:numId w:val="13"/>
        </w:numPr>
        <w:rPr>
          <w:rFonts w:ascii="Times New Roman" w:hAnsi="Times New Roman" w:cs="Times New Roman"/>
          <w:sz w:val="24"/>
        </w:rPr>
      </w:pPr>
      <w:r w:rsidRPr="00C82F43">
        <w:rPr>
          <w:rFonts w:ascii="Times New Roman" w:hAnsi="Times New Roman" w:cs="Times New Roman"/>
          <w:sz w:val="24"/>
        </w:rPr>
        <w:t>Risk of bias for selected studies, assessed using the SYRCLE’s risk of bias tool</w:t>
      </w:r>
      <w:r w:rsidR="00E42E8A" w:rsidRPr="00C82F43">
        <w:rPr>
          <w:rFonts w:ascii="Times New Roman" w:hAnsi="Times New Roman" w:cs="Times New Roman"/>
          <w:sz w:val="24"/>
        </w:rPr>
        <w:fldChar w:fldCharType="begin"/>
      </w:r>
      <w:r w:rsidR="00E42E8A" w:rsidRPr="00C82F43">
        <w:rPr>
          <w:rFonts w:ascii="Times New Roman" w:hAnsi="Times New Roman" w:cs="Times New Roman"/>
          <w:sz w:val="24"/>
        </w:rPr>
        <w:instrText xml:space="preserve"> LINK </w:instrText>
      </w:r>
      <w:r w:rsidR="00C82F43" w:rsidRPr="00C82F43">
        <w:rPr>
          <w:rFonts w:ascii="Times New Roman" w:hAnsi="Times New Roman" w:cs="Times New Roman"/>
          <w:sz w:val="24"/>
        </w:rPr>
        <w:instrText xml:space="preserve">Excel.Sheet.12 "\\\\campus\\home\\home49\\b1016034\\PhD\\1st year Sep 16 - Oct 17\\Meta-analysis\\Writing up\\Syrcle's ROB 13 Dec 17.xlsx" "1. ROB!R1C1:R41C11" </w:instrText>
      </w:r>
      <w:r w:rsidR="00E42E8A" w:rsidRPr="00C82F43">
        <w:rPr>
          <w:rFonts w:ascii="Times New Roman" w:hAnsi="Times New Roman" w:cs="Times New Roman"/>
          <w:sz w:val="24"/>
        </w:rPr>
        <w:instrText xml:space="preserve">\a \f 4 \h  \* MERGEFORMAT </w:instrText>
      </w:r>
      <w:r w:rsidR="00E42E8A" w:rsidRPr="00C82F43">
        <w:rPr>
          <w:rFonts w:ascii="Times New Roman" w:hAnsi="Times New Roman" w:cs="Times New Roman"/>
          <w:sz w:val="24"/>
        </w:rPr>
        <w:fldChar w:fldCharType="separate"/>
      </w:r>
    </w:p>
    <w:tbl>
      <w:tblPr>
        <w:tblW w:w="14570" w:type="dxa"/>
        <w:tblLook w:val="04A0" w:firstRow="1" w:lastRow="0" w:firstColumn="1" w:lastColumn="0" w:noHBand="0" w:noVBand="1"/>
      </w:tblPr>
      <w:tblGrid>
        <w:gridCol w:w="2387"/>
        <w:gridCol w:w="1161"/>
        <w:gridCol w:w="1399"/>
        <w:gridCol w:w="1229"/>
        <w:gridCol w:w="1368"/>
        <w:gridCol w:w="1272"/>
        <w:gridCol w:w="1103"/>
        <w:gridCol w:w="1057"/>
        <w:gridCol w:w="1103"/>
        <w:gridCol w:w="1040"/>
        <w:gridCol w:w="1451"/>
      </w:tblGrid>
      <w:tr w:rsidR="00C82F43" w:rsidRPr="00C82F43" w:rsidTr="0053160A">
        <w:trPr>
          <w:trHeight w:val="1757"/>
        </w:trPr>
        <w:tc>
          <w:tcPr>
            <w:tcW w:w="2728" w:type="dxa"/>
            <w:tcBorders>
              <w:top w:val="single" w:sz="4" w:space="0" w:color="auto"/>
              <w:left w:val="nil"/>
              <w:bottom w:val="single" w:sz="8" w:space="0" w:color="auto"/>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Study</w:t>
            </w:r>
          </w:p>
        </w:tc>
        <w:tc>
          <w:tcPr>
            <w:tcW w:w="1117"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A. Selection bias: sequence generation</w:t>
            </w:r>
          </w:p>
        </w:tc>
        <w:tc>
          <w:tcPr>
            <w:tcW w:w="1392"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lang w:eastAsia="en-GB"/>
              </w:rPr>
            </w:pPr>
            <w:r w:rsidRPr="00C82F43">
              <w:rPr>
                <w:rFonts w:ascii="Times New Roman" w:eastAsia="Times New Roman" w:hAnsi="Times New Roman"/>
                <w:b/>
                <w:bCs/>
                <w:lang w:eastAsia="en-GB"/>
              </w:rPr>
              <w:t>B. Selection bias: baseline characteristics</w:t>
            </w:r>
          </w:p>
        </w:tc>
        <w:tc>
          <w:tcPr>
            <w:tcW w:w="1197"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lang w:eastAsia="en-GB"/>
              </w:rPr>
            </w:pPr>
            <w:r w:rsidRPr="00C82F43">
              <w:rPr>
                <w:rFonts w:ascii="Times New Roman" w:eastAsia="Times New Roman" w:hAnsi="Times New Roman"/>
                <w:b/>
                <w:bCs/>
                <w:lang w:eastAsia="en-GB"/>
              </w:rPr>
              <w:t>C. Selection bias: allocation concealment</w:t>
            </w:r>
          </w:p>
        </w:tc>
        <w:tc>
          <w:tcPr>
            <w:tcW w:w="1356"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D. Performance bias: random housing</w:t>
            </w:r>
          </w:p>
        </w:tc>
        <w:tc>
          <w:tcPr>
            <w:tcW w:w="1246"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lang w:eastAsia="en-GB"/>
              </w:rPr>
            </w:pPr>
            <w:r w:rsidRPr="00C82F43">
              <w:rPr>
                <w:rFonts w:ascii="Times New Roman" w:eastAsia="Times New Roman" w:hAnsi="Times New Roman"/>
                <w:b/>
                <w:bCs/>
                <w:lang w:eastAsia="en-GB"/>
              </w:rPr>
              <w:t>E. Performance bias: blinding</w:t>
            </w:r>
          </w:p>
        </w:tc>
        <w:tc>
          <w:tcPr>
            <w:tcW w:w="1052"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lang w:eastAsia="en-GB"/>
              </w:rPr>
            </w:pPr>
            <w:r w:rsidRPr="00C82F43">
              <w:rPr>
                <w:rFonts w:ascii="Times New Roman" w:eastAsia="Times New Roman" w:hAnsi="Times New Roman"/>
                <w:b/>
                <w:bCs/>
                <w:lang w:eastAsia="en-GB"/>
              </w:rPr>
              <w:t>F. Detection bias: random outcome assessment</w:t>
            </w:r>
          </w:p>
        </w:tc>
        <w:tc>
          <w:tcPr>
            <w:tcW w:w="998"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G. Detection bias: blinding</w:t>
            </w:r>
          </w:p>
        </w:tc>
        <w:tc>
          <w:tcPr>
            <w:tcW w:w="1052"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lang w:eastAsia="en-GB"/>
              </w:rPr>
            </w:pPr>
            <w:r w:rsidRPr="00C82F43">
              <w:rPr>
                <w:rFonts w:ascii="Times New Roman" w:eastAsia="Times New Roman" w:hAnsi="Times New Roman"/>
                <w:b/>
                <w:bCs/>
                <w:lang w:eastAsia="en-GB"/>
              </w:rPr>
              <w:t xml:space="preserve">H. </w:t>
            </w:r>
            <w:proofErr w:type="spellStart"/>
            <w:r w:rsidRPr="00C82F43">
              <w:rPr>
                <w:rFonts w:ascii="Times New Roman" w:eastAsia="Times New Roman" w:hAnsi="Times New Roman"/>
                <w:b/>
                <w:bCs/>
                <w:lang w:eastAsia="en-GB"/>
              </w:rPr>
              <w:t>Attirtion</w:t>
            </w:r>
            <w:proofErr w:type="spellEnd"/>
            <w:r w:rsidRPr="00C82F43">
              <w:rPr>
                <w:rFonts w:ascii="Times New Roman" w:eastAsia="Times New Roman" w:hAnsi="Times New Roman"/>
                <w:b/>
                <w:bCs/>
                <w:lang w:eastAsia="en-GB"/>
              </w:rPr>
              <w:t xml:space="preserve"> bias: incomplete outcome data</w:t>
            </w:r>
          </w:p>
        </w:tc>
        <w:tc>
          <w:tcPr>
            <w:tcW w:w="979"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lang w:eastAsia="en-GB"/>
              </w:rPr>
            </w:pPr>
            <w:r w:rsidRPr="00C82F43">
              <w:rPr>
                <w:rFonts w:ascii="Times New Roman" w:eastAsia="Times New Roman" w:hAnsi="Times New Roman"/>
                <w:b/>
                <w:bCs/>
                <w:lang w:eastAsia="en-GB"/>
              </w:rPr>
              <w:t>I. Reporting bias: selective outcome reporting</w:t>
            </w:r>
          </w:p>
        </w:tc>
        <w:tc>
          <w:tcPr>
            <w:tcW w:w="1453" w:type="dxa"/>
            <w:tcBorders>
              <w:top w:val="single" w:sz="4" w:space="0" w:color="auto"/>
              <w:left w:val="nil"/>
              <w:bottom w:val="single" w:sz="8" w:space="0" w:color="auto"/>
              <w:right w:val="nil"/>
            </w:tcBorders>
            <w:shd w:val="clear" w:color="auto" w:fill="auto"/>
            <w:vAlign w:val="bottom"/>
            <w:hideMark/>
          </w:tcPr>
          <w:p w:rsidR="00E42E8A" w:rsidRPr="00C82F43" w:rsidRDefault="00E42E8A" w:rsidP="00E42E8A">
            <w:pPr>
              <w:spacing w:after="0" w:line="240" w:lineRule="auto"/>
              <w:rPr>
                <w:rFonts w:ascii="Times New Roman" w:eastAsia="Times New Roman" w:hAnsi="Times New Roman"/>
                <w:b/>
                <w:bCs/>
                <w:lang w:eastAsia="en-GB"/>
              </w:rPr>
            </w:pPr>
            <w:r w:rsidRPr="00C82F43">
              <w:rPr>
                <w:rFonts w:ascii="Times New Roman" w:eastAsia="Times New Roman" w:hAnsi="Times New Roman"/>
                <w:b/>
                <w:bCs/>
                <w:lang w:eastAsia="en-GB"/>
              </w:rPr>
              <w:t>J. Other sources of bias: methodological bias</w:t>
            </w:r>
          </w:p>
        </w:tc>
      </w:tr>
      <w:tr w:rsidR="00C82F43" w:rsidRPr="00C82F43" w:rsidTr="00E42E8A">
        <w:trPr>
          <w:trHeight w:val="315"/>
        </w:trPr>
        <w:tc>
          <w:tcPr>
            <w:tcW w:w="2728" w:type="dxa"/>
            <w:tcBorders>
              <w:top w:val="nil"/>
              <w:left w:val="nil"/>
              <w:bottom w:val="nil"/>
              <w:right w:val="nil"/>
            </w:tcBorders>
            <w:shd w:val="clear" w:color="auto" w:fill="auto"/>
            <w:noWrap/>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Jolliff</w:t>
            </w:r>
            <w:proofErr w:type="spellEnd"/>
            <w:r w:rsidRPr="00C82F43">
              <w:rPr>
                <w:rFonts w:ascii="Times New Roman" w:eastAsia="Times New Roman" w:hAnsi="Times New Roman"/>
                <w:sz w:val="24"/>
                <w:szCs w:val="24"/>
                <w:lang w:eastAsia="en-GB"/>
              </w:rPr>
              <w:t xml:space="preserve"> and Mahan</w:t>
            </w:r>
            <w:r w:rsidR="00EB0D29" w:rsidRPr="00C82F43">
              <w:rPr>
                <w:rFonts w:ascii="Times New Roman" w:eastAsia="Times New Roman" w:hAnsi="Times New Roman"/>
                <w:sz w:val="24"/>
                <w:szCs w:val="24"/>
                <w:vertAlign w:val="superscript"/>
                <w:lang w:eastAsia="en-GB"/>
              </w:rPr>
              <w:t>(1)</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Gutzwiller</w:t>
            </w:r>
            <w:proofErr w:type="spellEnd"/>
            <w:r w:rsidRPr="00C82F43">
              <w:rPr>
                <w:rFonts w:ascii="Times New Roman" w:eastAsia="Times New Roman" w:hAnsi="Times New Roman"/>
                <w:sz w:val="24"/>
                <w:szCs w:val="24"/>
                <w:lang w:eastAsia="en-GB"/>
              </w:rPr>
              <w:t xml:space="preserve"> et al.</w:t>
            </w:r>
            <w:r w:rsidR="00EB0D29" w:rsidRPr="00C82F43">
              <w:rPr>
                <w:rFonts w:ascii="Times New Roman" w:eastAsia="Times New Roman" w:hAnsi="Times New Roman"/>
                <w:sz w:val="24"/>
                <w:szCs w:val="24"/>
                <w:vertAlign w:val="superscript"/>
                <w:lang w:eastAsia="en-GB"/>
              </w:rPr>
              <w:t>(2)</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Stein et al.</w:t>
            </w:r>
            <w:r w:rsidR="00EB0D29" w:rsidRPr="00C82F43">
              <w:rPr>
                <w:rFonts w:ascii="Times New Roman" w:eastAsia="Times New Roman" w:hAnsi="Times New Roman"/>
                <w:sz w:val="24"/>
                <w:szCs w:val="24"/>
                <w:vertAlign w:val="superscript"/>
                <w:lang w:eastAsia="en-GB"/>
              </w:rPr>
              <w:t>(3)</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r w:rsidRPr="00C82F43">
              <w:rPr>
                <w:rFonts w:ascii="Times New Roman" w:eastAsia="Times New Roman" w:hAnsi="Times New Roman"/>
                <w:sz w:val="24"/>
                <w:szCs w:val="24"/>
                <w:lang w:eastAsia="en-GB"/>
              </w:rPr>
              <w:t>Liao et al.</w:t>
            </w:r>
            <w:r w:rsidR="00EB0D29" w:rsidRPr="00C82F43">
              <w:rPr>
                <w:rFonts w:ascii="Times New Roman" w:eastAsia="Times New Roman" w:hAnsi="Times New Roman"/>
                <w:sz w:val="24"/>
                <w:szCs w:val="24"/>
                <w:vertAlign w:val="superscript"/>
                <w:lang w:eastAsia="en-GB"/>
              </w:rPr>
              <w:t>(4)</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Fan et al.</w:t>
            </w:r>
            <w:r w:rsidR="00EB0D29" w:rsidRPr="00C82F43">
              <w:rPr>
                <w:rFonts w:ascii="Times New Roman" w:eastAsia="Times New Roman" w:hAnsi="Times New Roman"/>
                <w:sz w:val="24"/>
                <w:szCs w:val="24"/>
                <w:vertAlign w:val="superscript"/>
                <w:lang w:eastAsia="en-GB"/>
              </w:rPr>
              <w:t>(5)</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Carter et al.</w:t>
            </w:r>
            <w:r w:rsidR="00EB0D29" w:rsidRPr="00C82F43">
              <w:rPr>
                <w:rFonts w:ascii="Times New Roman" w:eastAsia="Times New Roman" w:hAnsi="Times New Roman"/>
                <w:sz w:val="24"/>
                <w:szCs w:val="24"/>
                <w:vertAlign w:val="superscript"/>
                <w:lang w:eastAsia="en-GB"/>
              </w:rPr>
              <w:t>(6)</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r w:rsidRPr="00C82F43">
              <w:rPr>
                <w:rFonts w:ascii="Times New Roman" w:eastAsia="Times New Roman" w:hAnsi="Times New Roman"/>
                <w:sz w:val="24"/>
                <w:szCs w:val="24"/>
                <w:lang w:eastAsia="en-GB"/>
              </w:rPr>
              <w:t>Li et al.</w:t>
            </w:r>
            <w:r w:rsidR="00EB0D29" w:rsidRPr="00C82F43">
              <w:rPr>
                <w:rFonts w:ascii="Times New Roman" w:eastAsia="Times New Roman" w:hAnsi="Times New Roman"/>
                <w:sz w:val="24"/>
                <w:szCs w:val="24"/>
                <w:vertAlign w:val="superscript"/>
                <w:lang w:eastAsia="en-GB"/>
              </w:rPr>
              <w:t>(7)</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Meidinger</w:t>
            </w:r>
            <w:proofErr w:type="spellEnd"/>
            <w:r w:rsidRPr="00C82F43">
              <w:rPr>
                <w:rFonts w:ascii="Times New Roman" w:eastAsia="Times New Roman" w:hAnsi="Times New Roman"/>
                <w:sz w:val="24"/>
                <w:szCs w:val="24"/>
                <w:lang w:eastAsia="en-GB"/>
              </w:rPr>
              <w:t xml:space="preserve"> et al.</w:t>
            </w:r>
            <w:r w:rsidR="00EB0D29" w:rsidRPr="00C82F43">
              <w:rPr>
                <w:rFonts w:ascii="Times New Roman" w:eastAsia="Times New Roman" w:hAnsi="Times New Roman"/>
                <w:sz w:val="24"/>
                <w:szCs w:val="24"/>
                <w:vertAlign w:val="superscript"/>
                <w:lang w:eastAsia="en-GB"/>
              </w:rPr>
              <w:t>(8)</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x</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Poulsen</w:t>
            </w:r>
            <w:proofErr w:type="spellEnd"/>
            <w:r w:rsidRPr="00C82F43">
              <w:rPr>
                <w:rFonts w:ascii="Times New Roman" w:eastAsia="Times New Roman" w:hAnsi="Times New Roman"/>
                <w:sz w:val="24"/>
                <w:szCs w:val="24"/>
                <w:lang w:eastAsia="en-GB"/>
              </w:rPr>
              <w:t xml:space="preserve"> et al.</w:t>
            </w:r>
            <w:r w:rsidR="00317E41" w:rsidRPr="00C82F43">
              <w:rPr>
                <w:rFonts w:ascii="Times New Roman" w:eastAsia="Times New Roman" w:hAnsi="Times New Roman"/>
                <w:sz w:val="24"/>
                <w:szCs w:val="24"/>
                <w:vertAlign w:val="superscript"/>
                <w:lang w:eastAsia="en-GB"/>
              </w:rPr>
              <w:t>(9)</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x</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Nørgaard</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(10)</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Stein et al.</w:t>
            </w:r>
            <w:r w:rsidR="00BD4351" w:rsidRPr="00C82F43">
              <w:rPr>
                <w:rFonts w:ascii="Times New Roman" w:eastAsia="Times New Roman" w:hAnsi="Times New Roman"/>
                <w:sz w:val="24"/>
                <w:szCs w:val="24"/>
                <w:vertAlign w:val="superscript"/>
                <w:lang w:eastAsia="en-GB"/>
              </w:rPr>
              <w:t>(11)</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Pointillart</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(12)</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O’Doherty</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(13)</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Merriman and Stein</w:t>
            </w:r>
            <w:r w:rsidR="00BD4351" w:rsidRPr="00C82F43">
              <w:rPr>
                <w:rFonts w:ascii="Times New Roman" w:eastAsia="Times New Roman" w:hAnsi="Times New Roman"/>
                <w:sz w:val="24"/>
                <w:szCs w:val="24"/>
                <w:vertAlign w:val="superscript"/>
                <w:lang w:eastAsia="en-GB"/>
              </w:rPr>
              <w:t>(14)</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Blaabjerg</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(15)</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Kraler</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(16)</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Létourneau-Montminy</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(17)</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r w:rsidRPr="00C82F43">
              <w:rPr>
                <w:rFonts w:ascii="Times New Roman" w:eastAsia="Times New Roman" w:hAnsi="Times New Roman"/>
                <w:sz w:val="24"/>
                <w:szCs w:val="24"/>
                <w:lang w:eastAsia="en-GB"/>
              </w:rPr>
              <w:t>Liu et al.</w:t>
            </w:r>
            <w:r w:rsidR="00BD4351" w:rsidRPr="00C82F43">
              <w:rPr>
                <w:rFonts w:ascii="Times New Roman" w:eastAsia="Times New Roman" w:hAnsi="Times New Roman"/>
                <w:sz w:val="24"/>
                <w:szCs w:val="24"/>
                <w:vertAlign w:val="superscript"/>
                <w:lang w:eastAsia="en-GB"/>
              </w:rPr>
              <w:t>(18)</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Blaabjerg</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(19)</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Jolliff</w:t>
            </w:r>
            <w:proofErr w:type="spellEnd"/>
            <w:r w:rsidRPr="00C82F43">
              <w:rPr>
                <w:rFonts w:ascii="Times New Roman" w:eastAsia="Times New Roman" w:hAnsi="Times New Roman"/>
                <w:sz w:val="24"/>
                <w:szCs w:val="24"/>
                <w:lang w:eastAsia="en-GB"/>
              </w:rPr>
              <w:t xml:space="preserve"> and Mahan</w:t>
            </w:r>
            <w:r w:rsidR="00BD4351" w:rsidRPr="00C82F43">
              <w:rPr>
                <w:rFonts w:ascii="Times New Roman" w:eastAsia="Times New Roman" w:hAnsi="Times New Roman"/>
                <w:sz w:val="24"/>
                <w:szCs w:val="24"/>
                <w:vertAlign w:val="superscript"/>
                <w:lang w:eastAsia="en-GB"/>
              </w:rPr>
              <w:t>(20)</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Almeida and Stein</w:t>
            </w:r>
            <w:r w:rsidR="00BD4351" w:rsidRPr="00C82F43">
              <w:rPr>
                <w:rFonts w:ascii="Times New Roman" w:eastAsia="Times New Roman" w:hAnsi="Times New Roman"/>
                <w:sz w:val="24"/>
                <w:szCs w:val="24"/>
                <w:vertAlign w:val="superscript"/>
                <w:lang w:eastAsia="en-GB"/>
              </w:rPr>
              <w:t>(21)</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Sauer W et al.</w:t>
            </w:r>
            <w:r w:rsidR="00BD4351" w:rsidRPr="00C82F43">
              <w:rPr>
                <w:rFonts w:ascii="Times New Roman" w:eastAsia="Times New Roman" w:hAnsi="Times New Roman"/>
                <w:sz w:val="24"/>
                <w:szCs w:val="24"/>
                <w:vertAlign w:val="superscript"/>
                <w:lang w:eastAsia="en-GB"/>
              </w:rPr>
              <w:t>(22)</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Pomar</w:t>
            </w:r>
            <w:proofErr w:type="spellEnd"/>
            <w:r w:rsidRPr="00C82F43">
              <w:rPr>
                <w:rFonts w:ascii="Times New Roman" w:eastAsia="Times New Roman" w:hAnsi="Times New Roman"/>
                <w:sz w:val="24"/>
                <w:szCs w:val="24"/>
                <w:lang w:eastAsia="en-GB"/>
              </w:rPr>
              <w:t xml:space="preserve"> C et al.</w:t>
            </w:r>
            <w:r w:rsidR="00BD4351" w:rsidRPr="00C82F43">
              <w:rPr>
                <w:rFonts w:ascii="Times New Roman" w:eastAsia="Times New Roman" w:hAnsi="Times New Roman"/>
                <w:sz w:val="24"/>
                <w:szCs w:val="24"/>
                <w:vertAlign w:val="superscript"/>
                <w:lang w:eastAsia="en-GB"/>
              </w:rPr>
              <w:t>(23)</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Salobir</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(24)</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Sauer et al.</w:t>
            </w:r>
            <w:r w:rsidR="00BD4351" w:rsidRPr="00C82F43">
              <w:rPr>
                <w:rFonts w:ascii="Times New Roman" w:eastAsia="Times New Roman" w:hAnsi="Times New Roman"/>
                <w:sz w:val="24"/>
                <w:szCs w:val="24"/>
                <w:vertAlign w:val="superscript"/>
                <w:lang w:eastAsia="en-GB"/>
              </w:rPr>
              <w:t>(25)</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Veum</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(26)</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Veum</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(27)</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Larsen et al.</w:t>
            </w:r>
            <w:r w:rsidR="00BD4351" w:rsidRPr="00C82F43">
              <w:rPr>
                <w:rFonts w:ascii="Times New Roman" w:eastAsia="Times New Roman" w:hAnsi="Times New Roman"/>
                <w:sz w:val="24"/>
                <w:szCs w:val="24"/>
                <w:vertAlign w:val="superscript"/>
                <w:lang w:eastAsia="en-GB"/>
              </w:rPr>
              <w:t>(28)</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Han et al.</w:t>
            </w:r>
            <w:r w:rsidR="00BD4351" w:rsidRPr="00C82F43">
              <w:rPr>
                <w:rFonts w:ascii="Times New Roman" w:eastAsia="Times New Roman" w:hAnsi="Times New Roman"/>
                <w:sz w:val="24"/>
                <w:szCs w:val="24"/>
                <w:vertAlign w:val="superscript"/>
                <w:lang w:eastAsia="en-GB"/>
              </w:rPr>
              <w:t>(29)</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bCs/>
                <w:sz w:val="24"/>
                <w:lang w:eastAsia="en-GB"/>
              </w:rPr>
            </w:pPr>
            <w:r w:rsidRPr="00C82F43">
              <w:rPr>
                <w:rFonts w:ascii="Times New Roman" w:eastAsia="Times New Roman" w:hAnsi="Times New Roman"/>
                <w:b/>
                <w:bCs/>
                <w:sz w:val="24"/>
                <w:lang w:eastAsia="en-GB"/>
              </w:rPr>
              <w:t>x</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Näsi</w:t>
            </w:r>
            <w:proofErr w:type="spellEnd"/>
            <w:r w:rsidRPr="00C82F43">
              <w:rPr>
                <w:rFonts w:ascii="Times New Roman" w:eastAsia="Times New Roman" w:hAnsi="Times New Roman"/>
                <w:sz w:val="24"/>
                <w:szCs w:val="24"/>
                <w:lang w:eastAsia="en-GB"/>
              </w:rPr>
              <w:t xml:space="preserve"> et al.</w:t>
            </w:r>
            <w:r w:rsidR="00BD4351" w:rsidRPr="00C82F43">
              <w:rPr>
                <w:rFonts w:ascii="Times New Roman" w:eastAsia="Times New Roman" w:hAnsi="Times New Roman"/>
                <w:sz w:val="24"/>
                <w:szCs w:val="24"/>
                <w:vertAlign w:val="superscript"/>
                <w:lang w:eastAsia="en-GB"/>
              </w:rPr>
              <w:t>(30)</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6D299B"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Jang </w:t>
            </w:r>
            <w:r w:rsidR="00E42E8A" w:rsidRPr="00C82F43">
              <w:rPr>
                <w:rFonts w:ascii="Times New Roman" w:eastAsia="Times New Roman" w:hAnsi="Times New Roman"/>
                <w:sz w:val="24"/>
                <w:szCs w:val="24"/>
                <w:lang w:eastAsia="en-GB"/>
              </w:rPr>
              <w:t>et al.</w:t>
            </w:r>
            <w:r w:rsidR="00BD4351" w:rsidRPr="00C82F43">
              <w:rPr>
                <w:rFonts w:ascii="Times New Roman" w:eastAsia="Times New Roman" w:hAnsi="Times New Roman"/>
                <w:sz w:val="24"/>
                <w:szCs w:val="24"/>
                <w:vertAlign w:val="superscript"/>
                <w:lang w:eastAsia="en-GB"/>
              </w:rPr>
              <w:t>(31)</w:t>
            </w:r>
            <w:r w:rsidR="00E42E8A"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r w:rsidRPr="00C82F43">
              <w:rPr>
                <w:rFonts w:ascii="Times New Roman" w:eastAsia="Times New Roman" w:hAnsi="Times New Roman"/>
                <w:sz w:val="24"/>
                <w:szCs w:val="24"/>
                <w:lang w:eastAsia="en-GB"/>
              </w:rPr>
              <w:t>González-Vega et al.</w:t>
            </w:r>
            <w:r w:rsidR="00BD4351" w:rsidRPr="00C82F43">
              <w:rPr>
                <w:rFonts w:ascii="Times New Roman" w:eastAsia="Times New Roman" w:hAnsi="Times New Roman"/>
                <w:sz w:val="24"/>
                <w:szCs w:val="24"/>
                <w:vertAlign w:val="superscript"/>
                <w:lang w:eastAsia="en-GB"/>
              </w:rPr>
              <w:t>(32)</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Adhikari</w:t>
            </w:r>
            <w:proofErr w:type="spellEnd"/>
            <w:r w:rsidRPr="00C82F43">
              <w:rPr>
                <w:rFonts w:ascii="Times New Roman" w:eastAsia="Times New Roman" w:hAnsi="Times New Roman"/>
                <w:sz w:val="24"/>
                <w:szCs w:val="24"/>
                <w:lang w:eastAsia="en-GB"/>
              </w:rPr>
              <w:t xml:space="preserve"> et al.</w:t>
            </w:r>
            <w:r w:rsidR="00D6139A" w:rsidRPr="00C82F43">
              <w:rPr>
                <w:rFonts w:ascii="Times New Roman" w:eastAsia="Times New Roman" w:hAnsi="Times New Roman"/>
                <w:sz w:val="24"/>
                <w:szCs w:val="24"/>
                <w:vertAlign w:val="superscript"/>
                <w:lang w:eastAsia="en-GB"/>
              </w:rPr>
              <w:t>(33)</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Nørgaard</w:t>
            </w:r>
            <w:proofErr w:type="spellEnd"/>
            <w:r w:rsidRPr="00C82F43">
              <w:rPr>
                <w:rFonts w:ascii="Times New Roman" w:eastAsia="Times New Roman" w:hAnsi="Times New Roman"/>
                <w:sz w:val="24"/>
                <w:szCs w:val="24"/>
                <w:lang w:eastAsia="en-GB"/>
              </w:rPr>
              <w:t xml:space="preserve"> et al.</w:t>
            </w:r>
            <w:r w:rsidR="00D6139A" w:rsidRPr="00C82F43">
              <w:rPr>
                <w:rFonts w:ascii="Times New Roman" w:eastAsia="Times New Roman" w:hAnsi="Times New Roman"/>
                <w:sz w:val="24"/>
                <w:szCs w:val="24"/>
                <w:vertAlign w:val="superscript"/>
                <w:lang w:eastAsia="en-GB"/>
              </w:rPr>
              <w:t>(34)</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Liao et al.</w:t>
            </w:r>
            <w:r w:rsidR="00D6139A" w:rsidRPr="00C82F43">
              <w:rPr>
                <w:rFonts w:ascii="Times New Roman" w:eastAsia="Times New Roman" w:hAnsi="Times New Roman"/>
                <w:sz w:val="24"/>
                <w:szCs w:val="24"/>
                <w:vertAlign w:val="superscript"/>
                <w:lang w:eastAsia="en-GB"/>
              </w:rPr>
              <w:t>(35)</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proofErr w:type="spellStart"/>
            <w:r w:rsidRPr="00C82F43">
              <w:rPr>
                <w:rFonts w:ascii="Times New Roman" w:eastAsia="Times New Roman" w:hAnsi="Times New Roman"/>
                <w:sz w:val="24"/>
                <w:szCs w:val="24"/>
                <w:lang w:eastAsia="en-GB"/>
              </w:rPr>
              <w:t>Korniewicz</w:t>
            </w:r>
            <w:proofErr w:type="spellEnd"/>
            <w:r w:rsidRPr="00C82F43">
              <w:rPr>
                <w:rFonts w:ascii="Times New Roman" w:eastAsia="Times New Roman" w:hAnsi="Times New Roman"/>
                <w:sz w:val="24"/>
                <w:szCs w:val="24"/>
                <w:lang w:eastAsia="en-GB"/>
              </w:rPr>
              <w:t xml:space="preserve"> et al.</w:t>
            </w:r>
            <w:r w:rsidR="00D6139A" w:rsidRPr="00C82F43">
              <w:rPr>
                <w:rFonts w:ascii="Times New Roman" w:eastAsia="Times New Roman" w:hAnsi="Times New Roman"/>
                <w:sz w:val="24"/>
                <w:szCs w:val="24"/>
                <w:vertAlign w:val="superscript"/>
                <w:lang w:eastAsia="en-GB"/>
              </w:rPr>
              <w:t>(36)</w:t>
            </w:r>
          </w:p>
        </w:tc>
        <w:tc>
          <w:tcPr>
            <w:tcW w:w="111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bCs/>
                <w:sz w:val="24"/>
                <w:lang w:eastAsia="en-GB"/>
              </w:rPr>
            </w:pPr>
            <w:r w:rsidRPr="00C82F43">
              <w:rPr>
                <w:rFonts w:ascii="Times New Roman" w:eastAsia="Times New Roman" w:hAnsi="Times New Roman"/>
                <w:b/>
                <w:bCs/>
                <w:sz w:val="24"/>
                <w:lang w:eastAsia="en-GB"/>
              </w:rPr>
              <w:t>x</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vertAlign w:val="superscript"/>
                <w:lang w:eastAsia="en-GB"/>
              </w:rPr>
            </w:pPr>
            <w:r w:rsidRPr="00C82F43">
              <w:rPr>
                <w:rFonts w:ascii="Times New Roman" w:eastAsia="Times New Roman" w:hAnsi="Times New Roman"/>
                <w:sz w:val="24"/>
                <w:szCs w:val="24"/>
                <w:lang w:eastAsia="en-GB"/>
              </w:rPr>
              <w:t>Hu et al.</w:t>
            </w:r>
            <w:r w:rsidR="00D6139A" w:rsidRPr="00C82F43">
              <w:rPr>
                <w:rFonts w:ascii="Times New Roman" w:eastAsia="Times New Roman" w:hAnsi="Times New Roman"/>
                <w:sz w:val="24"/>
                <w:szCs w:val="24"/>
                <w:vertAlign w:val="superscript"/>
                <w:lang w:eastAsia="en-GB"/>
              </w:rPr>
              <w:t>(37)</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Rideout</w:t>
            </w:r>
            <w:proofErr w:type="spellEnd"/>
            <w:r w:rsidRPr="00C82F43">
              <w:rPr>
                <w:rFonts w:ascii="Times New Roman" w:eastAsia="Times New Roman" w:hAnsi="Times New Roman"/>
                <w:sz w:val="24"/>
                <w:szCs w:val="24"/>
                <w:lang w:eastAsia="en-GB"/>
              </w:rPr>
              <w:t xml:space="preserve"> and Fan</w:t>
            </w:r>
            <w:r w:rsidR="00D6139A" w:rsidRPr="00C82F43">
              <w:rPr>
                <w:rFonts w:ascii="Times New Roman" w:eastAsia="Times New Roman" w:hAnsi="Times New Roman"/>
                <w:sz w:val="24"/>
                <w:szCs w:val="24"/>
                <w:vertAlign w:val="superscript"/>
                <w:lang w:eastAsia="en-GB"/>
              </w:rPr>
              <w:t>(38)</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15"/>
        </w:trPr>
        <w:tc>
          <w:tcPr>
            <w:tcW w:w="2728"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Nortey</w:t>
            </w:r>
            <w:proofErr w:type="spellEnd"/>
            <w:r w:rsidRPr="00C82F43">
              <w:rPr>
                <w:rFonts w:ascii="Times New Roman" w:eastAsia="Times New Roman" w:hAnsi="Times New Roman"/>
                <w:sz w:val="24"/>
                <w:szCs w:val="24"/>
                <w:lang w:eastAsia="en-GB"/>
              </w:rPr>
              <w:t xml:space="preserve"> et al.</w:t>
            </w:r>
            <w:r w:rsidR="00D6139A" w:rsidRPr="00C82F43">
              <w:rPr>
                <w:rFonts w:ascii="Times New Roman" w:eastAsia="Times New Roman" w:hAnsi="Times New Roman"/>
                <w:sz w:val="24"/>
                <w:szCs w:val="24"/>
                <w:vertAlign w:val="superscript"/>
                <w:lang w:eastAsia="en-GB"/>
              </w:rPr>
              <w:t>(39)</w:t>
            </w:r>
            <w:r w:rsidRPr="00C82F43">
              <w:rPr>
                <w:rFonts w:ascii="Times New Roman" w:eastAsia="Times New Roman" w:hAnsi="Times New Roman"/>
                <w:sz w:val="24"/>
                <w:szCs w:val="24"/>
                <w:lang w:eastAsia="en-GB"/>
              </w:rPr>
              <w:t xml:space="preserve">  </w:t>
            </w:r>
          </w:p>
        </w:tc>
        <w:tc>
          <w:tcPr>
            <w:tcW w:w="1117"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w:t>
            </w:r>
          </w:p>
        </w:tc>
        <w:tc>
          <w:tcPr>
            <w:tcW w:w="139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lang w:eastAsia="en-GB"/>
              </w:rPr>
            </w:pPr>
            <w:r w:rsidRPr="00C82F43">
              <w:rPr>
                <w:rFonts w:ascii="Monotype Sorts" w:eastAsia="Times New Roman" w:hAnsi="Monotype Sorts"/>
                <w:b/>
                <w:sz w:val="24"/>
                <w:lang w:eastAsia="en-GB"/>
              </w:rPr>
              <w:sym w:font="Wingdings" w:char="F0FC"/>
            </w:r>
          </w:p>
        </w:tc>
        <w:tc>
          <w:tcPr>
            <w:tcW w:w="1197"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356" w:type="dxa"/>
            <w:tcBorders>
              <w:top w:val="nil"/>
              <w:left w:val="nil"/>
              <w:bottom w:val="nil"/>
              <w:right w:val="nil"/>
            </w:tcBorders>
            <w:shd w:val="clear" w:color="auto" w:fill="auto"/>
            <w:noWrap/>
            <w:vAlign w:val="bottom"/>
            <w:hideMark/>
          </w:tcPr>
          <w:p w:rsidR="00E42E8A" w:rsidRPr="00C82F43" w:rsidRDefault="00E42E8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w:t>
            </w:r>
          </w:p>
        </w:tc>
        <w:tc>
          <w:tcPr>
            <w:tcW w:w="1246"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998"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c>
          <w:tcPr>
            <w:tcW w:w="1052"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979" w:type="dxa"/>
            <w:tcBorders>
              <w:top w:val="nil"/>
              <w:left w:val="nil"/>
              <w:bottom w:val="nil"/>
              <w:right w:val="nil"/>
            </w:tcBorders>
            <w:shd w:val="clear" w:color="auto" w:fill="auto"/>
            <w:noWrap/>
            <w:vAlign w:val="bottom"/>
            <w:hideMark/>
          </w:tcPr>
          <w:p w:rsidR="00E42E8A" w:rsidRPr="00C82F43" w:rsidRDefault="004857BB" w:rsidP="00E42E8A">
            <w:pPr>
              <w:spacing w:after="0" w:line="240" w:lineRule="auto"/>
              <w:jc w:val="center"/>
              <w:rPr>
                <w:rFonts w:ascii="Monotype Sorts" w:eastAsia="Times New Roman" w:hAnsi="Monotype Sorts"/>
                <w:b/>
                <w:sz w:val="24"/>
                <w:szCs w:val="24"/>
                <w:lang w:eastAsia="en-GB"/>
              </w:rPr>
            </w:pPr>
            <w:r w:rsidRPr="00C82F43">
              <w:rPr>
                <w:rFonts w:ascii="Monotype Sorts" w:eastAsia="Times New Roman" w:hAnsi="Monotype Sorts"/>
                <w:b/>
                <w:sz w:val="24"/>
                <w:szCs w:val="24"/>
                <w:lang w:eastAsia="en-GB"/>
              </w:rPr>
              <w:sym w:font="Wingdings" w:char="F0FC"/>
            </w:r>
          </w:p>
        </w:tc>
        <w:tc>
          <w:tcPr>
            <w:tcW w:w="1453" w:type="dxa"/>
            <w:tcBorders>
              <w:top w:val="nil"/>
              <w:left w:val="nil"/>
              <w:bottom w:val="nil"/>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r w:rsidR="00C82F43" w:rsidRPr="00C82F43" w:rsidTr="00E42E8A">
        <w:trPr>
          <w:trHeight w:val="330"/>
        </w:trPr>
        <w:tc>
          <w:tcPr>
            <w:tcW w:w="2728" w:type="dxa"/>
            <w:tcBorders>
              <w:top w:val="nil"/>
              <w:left w:val="nil"/>
              <w:bottom w:val="single" w:sz="8" w:space="0" w:color="auto"/>
              <w:right w:val="nil"/>
            </w:tcBorders>
            <w:shd w:val="clear" w:color="auto" w:fill="auto"/>
            <w:noWrap/>
            <w:vAlign w:val="bottom"/>
            <w:hideMark/>
          </w:tcPr>
          <w:p w:rsidR="00E42E8A" w:rsidRPr="00C82F43" w:rsidRDefault="00E42E8A" w:rsidP="00E42E8A">
            <w:pPr>
              <w:spacing w:after="0" w:line="240" w:lineRule="auto"/>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Adeola</w:t>
            </w:r>
            <w:proofErr w:type="spellEnd"/>
            <w:r w:rsidR="00D6139A" w:rsidRPr="00C82F43">
              <w:rPr>
                <w:rFonts w:ascii="Times New Roman" w:eastAsia="Times New Roman" w:hAnsi="Times New Roman"/>
                <w:sz w:val="24"/>
                <w:szCs w:val="24"/>
                <w:vertAlign w:val="superscript"/>
                <w:lang w:eastAsia="en-GB"/>
              </w:rPr>
              <w:t>(40)</w:t>
            </w:r>
            <w:r w:rsidRPr="00C82F43">
              <w:rPr>
                <w:rFonts w:ascii="Times New Roman" w:eastAsia="Times New Roman" w:hAnsi="Times New Roman"/>
                <w:sz w:val="24"/>
                <w:szCs w:val="24"/>
                <w:lang w:eastAsia="en-GB"/>
              </w:rPr>
              <w:t xml:space="preserve"> </w:t>
            </w:r>
          </w:p>
        </w:tc>
        <w:tc>
          <w:tcPr>
            <w:tcW w:w="1117"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n/a</w:t>
            </w:r>
          </w:p>
        </w:tc>
        <w:tc>
          <w:tcPr>
            <w:tcW w:w="1392"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lang w:eastAsia="en-GB"/>
              </w:rPr>
            </w:pPr>
            <w:r w:rsidRPr="00C82F43">
              <w:rPr>
                <w:rFonts w:ascii="Times New Roman" w:eastAsia="Times New Roman" w:hAnsi="Times New Roman"/>
                <w:b/>
                <w:bCs/>
                <w:sz w:val="24"/>
                <w:lang w:eastAsia="en-GB"/>
              </w:rPr>
              <w:t>n/a</w:t>
            </w:r>
          </w:p>
        </w:tc>
        <w:tc>
          <w:tcPr>
            <w:tcW w:w="1197"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n/a</w:t>
            </w:r>
          </w:p>
        </w:tc>
        <w:tc>
          <w:tcPr>
            <w:tcW w:w="1356"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n/a</w:t>
            </w:r>
          </w:p>
        </w:tc>
        <w:tc>
          <w:tcPr>
            <w:tcW w:w="1246"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n/a</w:t>
            </w:r>
          </w:p>
        </w:tc>
        <w:tc>
          <w:tcPr>
            <w:tcW w:w="1052"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n/a</w:t>
            </w:r>
          </w:p>
        </w:tc>
        <w:tc>
          <w:tcPr>
            <w:tcW w:w="998"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n/a</w:t>
            </w:r>
          </w:p>
        </w:tc>
        <w:tc>
          <w:tcPr>
            <w:tcW w:w="1052"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n/a</w:t>
            </w:r>
          </w:p>
        </w:tc>
        <w:tc>
          <w:tcPr>
            <w:tcW w:w="979" w:type="dxa"/>
            <w:tcBorders>
              <w:top w:val="nil"/>
              <w:left w:val="nil"/>
              <w:bottom w:val="single" w:sz="8" w:space="0" w:color="auto"/>
              <w:right w:val="nil"/>
            </w:tcBorders>
            <w:shd w:val="clear" w:color="auto" w:fill="auto"/>
            <w:noWrap/>
            <w:vAlign w:val="bottom"/>
            <w:hideMark/>
          </w:tcPr>
          <w:p w:rsidR="00E42E8A" w:rsidRPr="00C82F43" w:rsidRDefault="00451D3A"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n/a</w:t>
            </w:r>
          </w:p>
        </w:tc>
        <w:tc>
          <w:tcPr>
            <w:tcW w:w="1453" w:type="dxa"/>
            <w:tcBorders>
              <w:top w:val="nil"/>
              <w:left w:val="nil"/>
              <w:bottom w:val="single" w:sz="8" w:space="0" w:color="auto"/>
              <w:right w:val="nil"/>
            </w:tcBorders>
            <w:shd w:val="clear" w:color="auto" w:fill="auto"/>
            <w:noWrap/>
            <w:vAlign w:val="bottom"/>
            <w:hideMark/>
          </w:tcPr>
          <w:p w:rsidR="00E42E8A" w:rsidRPr="00C82F43" w:rsidRDefault="00852698" w:rsidP="00E42E8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x</w:t>
            </w:r>
          </w:p>
        </w:tc>
      </w:tr>
    </w:tbl>
    <w:p w:rsidR="00451D3A" w:rsidRPr="00C82F43" w:rsidRDefault="00E42E8A" w:rsidP="00451D3A">
      <w:pPr>
        <w:pStyle w:val="ListParagraph"/>
        <w:numPr>
          <w:ilvl w:val="0"/>
          <w:numId w:val="21"/>
        </w:numPr>
        <w:rPr>
          <w:rFonts w:ascii="Times New Roman" w:eastAsia="Times New Roman" w:hAnsi="Times New Roman"/>
          <w:bCs/>
          <w:sz w:val="24"/>
          <w:lang w:eastAsia="en-GB"/>
        </w:rPr>
      </w:pPr>
      <w:r w:rsidRPr="00C82F43">
        <w:fldChar w:fldCharType="end"/>
      </w:r>
      <w:r w:rsidR="00852698"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451D3A" w:rsidRPr="00C82F43">
        <w:rPr>
          <w:rFonts w:ascii="Times New Roman" w:eastAsia="Times New Roman" w:hAnsi="Times New Roman"/>
          <w:sz w:val="24"/>
          <w:lang w:eastAsia="en-GB"/>
        </w:rPr>
        <w:t xml:space="preserve">adequate randomisation with a clear description of a random component in the sequence generation process/no randomisation necessary due to an experiment design (i.e. Latin square design);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 randomised but no details; </w:t>
      </w:r>
      <w:r w:rsidR="00852698" w:rsidRPr="00C82F43">
        <w:rPr>
          <w:rFonts w:ascii="Times New Roman" w:eastAsia="Times New Roman" w:hAnsi="Times New Roman" w:cs="Times New Roman"/>
          <w:b/>
          <w:bCs/>
          <w:sz w:val="24"/>
          <w:lang w:eastAsia="en-GB"/>
        </w:rPr>
        <w:t xml:space="preserve">x </w:t>
      </w:r>
      <w:r w:rsidR="00451D3A" w:rsidRPr="00C82F43">
        <w:rPr>
          <w:rFonts w:ascii="Times New Roman" w:eastAsia="Times New Roman" w:hAnsi="Times New Roman" w:cs="Times New Roman"/>
          <w:bCs/>
          <w:sz w:val="24"/>
          <w:lang w:eastAsia="en-GB"/>
        </w:rPr>
        <w:t xml:space="preserve">- </w:t>
      </w:r>
      <w:r w:rsidR="00451D3A" w:rsidRPr="00C82F43">
        <w:rPr>
          <w:rFonts w:ascii="Times New Roman" w:eastAsia="Times New Roman" w:hAnsi="Times New Roman"/>
          <w:bCs/>
          <w:sz w:val="24"/>
          <w:lang w:eastAsia="en-GB"/>
        </w:rPr>
        <w:t xml:space="preserve">no evidence of randomisation; </w:t>
      </w:r>
      <w:r w:rsidR="00451D3A" w:rsidRPr="00C82F43">
        <w:rPr>
          <w:rFonts w:ascii="Times New Roman" w:eastAsia="Times New Roman" w:hAnsi="Times New Roman"/>
          <w:b/>
          <w:bCs/>
          <w:sz w:val="24"/>
          <w:lang w:eastAsia="en-GB"/>
        </w:rPr>
        <w:t>n/a -</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451D3A">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451D3A" w:rsidRPr="00C82F43">
        <w:rPr>
          <w:rFonts w:ascii="Times New Roman" w:eastAsia="Times New Roman" w:hAnsi="Times New Roman"/>
          <w:sz w:val="24"/>
          <w:lang w:eastAsia="en-GB"/>
        </w:rPr>
        <w:t xml:space="preserve">baseline characteristics given; </w:t>
      </w:r>
      <w:r w:rsidR="00451D3A" w:rsidRPr="00C82F43">
        <w:rPr>
          <w:rFonts w:ascii="Times New Roman" w:eastAsia="Times New Roman" w:hAnsi="Times New Roman"/>
          <w:bCs/>
          <w:sz w:val="24"/>
          <w:lang w:eastAsia="en-GB"/>
        </w:rPr>
        <w:t xml:space="preserve"> </w:t>
      </w:r>
      <w:r w:rsidRPr="00C82F43">
        <w:rPr>
          <w:rFonts w:ascii="Times New Roman" w:eastAsia="Times New Roman" w:hAnsi="Times New Roman"/>
          <w:b/>
          <w:bCs/>
          <w:sz w:val="24"/>
          <w:lang w:eastAsia="en-GB"/>
        </w:rPr>
        <w:t>x</w:t>
      </w:r>
      <w:r w:rsidRPr="00C82F43">
        <w:rPr>
          <w:rFonts w:ascii="Times New Roman" w:eastAsia="Times New Roman" w:hAnsi="Times New Roman"/>
          <w:bCs/>
          <w:sz w:val="24"/>
          <w:lang w:eastAsia="en-GB"/>
        </w:rPr>
        <w:t xml:space="preserve"> </w:t>
      </w:r>
      <w:r w:rsidR="00451D3A" w:rsidRPr="00C82F43">
        <w:rPr>
          <w:rFonts w:ascii="Times New Roman" w:eastAsia="Times New Roman" w:hAnsi="Times New Roman" w:cs="Times New Roman"/>
          <w:bCs/>
          <w:sz w:val="24"/>
          <w:lang w:eastAsia="en-GB"/>
        </w:rPr>
        <w:t>-</w:t>
      </w:r>
      <w:r w:rsidR="00451D3A" w:rsidRPr="00C82F43">
        <w:rPr>
          <w:rFonts w:ascii="Times New Roman" w:eastAsia="Times New Roman" w:hAnsi="Times New Roman"/>
          <w:bCs/>
          <w:sz w:val="24"/>
          <w:lang w:eastAsia="en-GB"/>
        </w:rPr>
        <w:t xml:space="preserve">baseline characteristics not given; </w:t>
      </w:r>
      <w:r w:rsidR="00451D3A" w:rsidRPr="00C82F43">
        <w:rPr>
          <w:rFonts w:ascii="Times New Roman" w:eastAsia="Times New Roman" w:hAnsi="Times New Roman"/>
          <w:b/>
          <w:bCs/>
          <w:sz w:val="24"/>
          <w:lang w:eastAsia="en-GB"/>
        </w:rPr>
        <w:t>n/a -</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060627">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060627" w:rsidRPr="00C82F43">
        <w:rPr>
          <w:rFonts w:ascii="Times New Roman" w:eastAsia="Times New Roman" w:hAnsi="Times New Roman"/>
          <w:sz w:val="24"/>
          <w:lang w:eastAsia="en-GB"/>
        </w:rPr>
        <w:t xml:space="preserve">evidence of adequate concealment of groups; </w:t>
      </w:r>
      <w:r w:rsidRPr="00C82F43">
        <w:rPr>
          <w:rFonts w:ascii="Times New Roman" w:eastAsia="Times New Roman" w:hAnsi="Times New Roman" w:cs="Times New Roman"/>
          <w:b/>
          <w:bCs/>
          <w:sz w:val="24"/>
          <w:lang w:eastAsia="en-GB"/>
        </w:rPr>
        <w:t>x</w:t>
      </w:r>
      <w:r w:rsidR="00451D3A" w:rsidRPr="00C82F43">
        <w:rPr>
          <w:rFonts w:ascii="Times New Roman" w:eastAsia="Times New Roman" w:hAnsi="Times New Roman" w:cs="Times New Roman"/>
          <w:bCs/>
          <w:sz w:val="24"/>
          <w:lang w:eastAsia="en-GB"/>
        </w:rPr>
        <w:t xml:space="preserve"> -</w:t>
      </w:r>
      <w:r w:rsidR="00060627" w:rsidRPr="00C82F43">
        <w:t xml:space="preserve"> </w:t>
      </w:r>
      <w:r w:rsidR="00060627" w:rsidRPr="00C82F43">
        <w:rPr>
          <w:rFonts w:ascii="Times New Roman" w:eastAsia="Times New Roman" w:hAnsi="Times New Roman"/>
          <w:bCs/>
          <w:sz w:val="24"/>
          <w:lang w:eastAsia="en-GB"/>
        </w:rPr>
        <w:t>no evidence of adequate concealment of groups</w:t>
      </w:r>
      <w:r w:rsidR="00451D3A" w:rsidRPr="00C82F43">
        <w:rPr>
          <w:rFonts w:ascii="Times New Roman" w:eastAsia="Times New Roman" w:hAnsi="Times New Roman"/>
          <w:bCs/>
          <w:sz w:val="24"/>
          <w:lang w:eastAsia="en-GB"/>
        </w:rPr>
        <w:t>;</w:t>
      </w:r>
      <w:r w:rsidR="00060627" w:rsidRPr="00C82F43">
        <w:rPr>
          <w:rFonts w:ascii="Times New Roman" w:eastAsia="Times New Roman" w:hAnsi="Times New Roman"/>
          <w:bCs/>
          <w:sz w:val="24"/>
          <w:lang w:eastAsia="en-GB"/>
        </w:rPr>
        <w:t xml:space="preserve"> </w:t>
      </w:r>
      <w:r w:rsidR="00060627" w:rsidRPr="00C82F43">
        <w:rPr>
          <w:rFonts w:ascii="Times New Roman" w:eastAsia="Times New Roman" w:hAnsi="Times New Roman"/>
          <w:b/>
          <w:bCs/>
          <w:sz w:val="24"/>
          <w:lang w:eastAsia="en-GB"/>
        </w:rPr>
        <w:t>n/a</w:t>
      </w:r>
      <w:r w:rsidR="00451D3A" w:rsidRPr="00C82F43">
        <w:rPr>
          <w:rFonts w:ascii="Times New Roman" w:eastAsia="Times New Roman" w:hAnsi="Times New Roman"/>
          <w:bCs/>
          <w:sz w:val="24"/>
          <w:lang w:eastAsia="en-GB"/>
        </w:rPr>
        <w:t xml:space="preserve">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3C19DA">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w:t>
      </w:r>
      <w:r w:rsidR="003C19DA" w:rsidRPr="00C82F43">
        <w:t xml:space="preserve"> </w:t>
      </w:r>
      <w:proofErr w:type="gramStart"/>
      <w:r w:rsidR="003C19DA" w:rsidRPr="00C82F43">
        <w:rPr>
          <w:rFonts w:ascii="Times New Roman" w:eastAsia="Times New Roman" w:hAnsi="Times New Roman"/>
          <w:sz w:val="24"/>
          <w:lang w:eastAsia="en-GB"/>
        </w:rPr>
        <w:t>evidence</w:t>
      </w:r>
      <w:proofErr w:type="gramEnd"/>
      <w:r w:rsidR="003C19DA" w:rsidRPr="00C82F43">
        <w:rPr>
          <w:rFonts w:ascii="Times New Roman" w:eastAsia="Times New Roman" w:hAnsi="Times New Roman"/>
          <w:sz w:val="24"/>
          <w:lang w:eastAsia="en-GB"/>
        </w:rPr>
        <w:t xml:space="preserve"> of random housing of animals</w:t>
      </w:r>
      <w:r w:rsidR="003C19DA" w:rsidRPr="00C82F43">
        <w:rPr>
          <w:rFonts w:ascii="Times New Roman" w:eastAsia="Times New Roman" w:hAnsi="Times New Roman" w:cs="Times New Roman"/>
          <w:sz w:val="24"/>
          <w:lang w:eastAsia="en-GB"/>
        </w:rPr>
        <w:t>;</w:t>
      </w:r>
      <w:r w:rsidR="00451D3A" w:rsidRPr="00C82F43">
        <w:rPr>
          <w:rFonts w:ascii="Times New Roman" w:eastAsia="Times New Roman" w:hAnsi="Times New Roman"/>
          <w:sz w:val="24"/>
          <w:lang w:eastAsia="en-GB"/>
        </w:rPr>
        <w:t xml:space="preserve">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w:t>
      </w:r>
      <w:r w:rsidR="003C19DA" w:rsidRPr="00C82F43">
        <w:rPr>
          <w:rFonts w:ascii="Times New Roman" w:eastAsia="Times New Roman" w:hAnsi="Times New Roman"/>
          <w:bCs/>
          <w:sz w:val="24"/>
          <w:lang w:eastAsia="en-GB"/>
        </w:rPr>
        <w:t>–</w:t>
      </w:r>
      <w:r w:rsidR="00451D3A" w:rsidRPr="00C82F43">
        <w:rPr>
          <w:rFonts w:ascii="Times New Roman" w:eastAsia="Times New Roman" w:hAnsi="Times New Roman"/>
          <w:bCs/>
          <w:sz w:val="24"/>
          <w:lang w:eastAsia="en-GB"/>
        </w:rPr>
        <w:t xml:space="preserve"> </w:t>
      </w:r>
      <w:r w:rsidR="003C19DA" w:rsidRPr="00C82F43">
        <w:rPr>
          <w:rFonts w:ascii="Times New Roman" w:eastAsia="Times New Roman" w:hAnsi="Times New Roman"/>
          <w:bCs/>
          <w:sz w:val="24"/>
          <w:lang w:eastAsia="en-GB"/>
        </w:rPr>
        <w:t>unclear housing arrangements</w:t>
      </w:r>
      <w:r w:rsidR="00451D3A" w:rsidRPr="00C82F43">
        <w:rPr>
          <w:rFonts w:ascii="Times New Roman" w:eastAsia="Times New Roman" w:hAnsi="Times New Roman"/>
          <w:bCs/>
          <w:sz w:val="24"/>
          <w:lang w:eastAsia="en-GB"/>
        </w:rPr>
        <w:t xml:space="preserve">; </w:t>
      </w:r>
      <w:r w:rsidRPr="00C82F43">
        <w:rPr>
          <w:rFonts w:ascii="Times New Roman" w:eastAsia="Times New Roman" w:hAnsi="Times New Roman" w:cs="Times New Roman"/>
          <w:b/>
          <w:bCs/>
          <w:sz w:val="24"/>
          <w:lang w:eastAsia="en-GB"/>
        </w:rPr>
        <w:t>x</w:t>
      </w:r>
      <w:r w:rsidR="00451D3A" w:rsidRPr="00C82F43">
        <w:rPr>
          <w:rFonts w:ascii="Times New Roman" w:eastAsia="Times New Roman" w:hAnsi="Times New Roman" w:cs="Times New Roman"/>
          <w:bCs/>
          <w:sz w:val="24"/>
          <w:lang w:eastAsia="en-GB"/>
        </w:rPr>
        <w:t xml:space="preserve"> -</w:t>
      </w:r>
      <w:r w:rsidR="003C19DA" w:rsidRPr="00C82F43">
        <w:t xml:space="preserve"> </w:t>
      </w:r>
      <w:r w:rsidR="003C19DA" w:rsidRPr="00C82F43">
        <w:rPr>
          <w:rFonts w:ascii="Times New Roman" w:eastAsia="Times New Roman" w:hAnsi="Times New Roman"/>
          <w:bCs/>
          <w:sz w:val="24"/>
          <w:lang w:eastAsia="en-GB"/>
        </w:rPr>
        <w:t>no evidence of random housing of animals</w:t>
      </w:r>
      <w:r w:rsidR="00451D3A" w:rsidRPr="00C82F43">
        <w:rPr>
          <w:rFonts w:ascii="Times New Roman" w:eastAsia="Times New Roman" w:hAnsi="Times New Roman"/>
          <w:bCs/>
          <w:sz w:val="24"/>
          <w:lang w:eastAsia="en-GB"/>
        </w:rPr>
        <w:t xml:space="preserve">; </w:t>
      </w:r>
      <w:r w:rsidR="003C19DA" w:rsidRPr="00C82F43">
        <w:rPr>
          <w:rFonts w:ascii="Times New Roman" w:eastAsia="Times New Roman" w:hAnsi="Times New Roman"/>
          <w:b/>
          <w:bCs/>
          <w:sz w:val="24"/>
          <w:lang w:eastAsia="en-GB"/>
        </w:rPr>
        <w:t>n/a</w:t>
      </w:r>
      <w:r w:rsidR="003C19DA" w:rsidRPr="00C82F43">
        <w:rPr>
          <w:rFonts w:ascii="Times New Roman" w:eastAsia="Times New Roman" w:hAnsi="Times New Roman"/>
          <w:bCs/>
          <w:sz w:val="24"/>
          <w:lang w:eastAsia="en-GB"/>
        </w:rPr>
        <w:t xml:space="preserve">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F460B0">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F460B0" w:rsidRPr="00C82F43">
        <w:rPr>
          <w:rFonts w:ascii="Times New Roman" w:eastAsia="Times New Roman" w:hAnsi="Times New Roman"/>
          <w:sz w:val="24"/>
          <w:lang w:eastAsia="en-GB"/>
        </w:rPr>
        <w:t>evidence of caregivers blinded to intervention</w:t>
      </w:r>
      <w:r w:rsidR="00451D3A" w:rsidRPr="00C82F43">
        <w:rPr>
          <w:rFonts w:ascii="Times New Roman" w:eastAsia="Times New Roman" w:hAnsi="Times New Roman"/>
          <w:bCs/>
          <w:sz w:val="24"/>
          <w:lang w:eastAsia="en-GB"/>
        </w:rPr>
        <w:t xml:space="preserve">; </w:t>
      </w:r>
      <w:r w:rsidRPr="00C82F43">
        <w:rPr>
          <w:rFonts w:ascii="Times New Roman" w:eastAsia="Times New Roman" w:hAnsi="Times New Roman" w:cs="Times New Roman"/>
          <w:b/>
          <w:bCs/>
          <w:sz w:val="24"/>
          <w:lang w:eastAsia="en-GB"/>
        </w:rPr>
        <w:t>x</w:t>
      </w:r>
      <w:r w:rsidR="00451D3A" w:rsidRPr="00C82F43">
        <w:rPr>
          <w:rFonts w:ascii="Times New Roman" w:eastAsia="Times New Roman" w:hAnsi="Times New Roman" w:cs="Times New Roman"/>
          <w:bCs/>
          <w:sz w:val="24"/>
          <w:lang w:eastAsia="en-GB"/>
        </w:rPr>
        <w:t xml:space="preserve"> -</w:t>
      </w:r>
      <w:r w:rsidR="00F460B0" w:rsidRPr="00C82F43">
        <w:rPr>
          <w:rFonts w:ascii="Times New Roman" w:eastAsia="Times New Roman" w:hAnsi="Times New Roman"/>
          <w:bCs/>
          <w:sz w:val="24"/>
          <w:lang w:eastAsia="en-GB"/>
        </w:rPr>
        <w:t xml:space="preserve"> no evidence of caregivers blinded to intervention</w:t>
      </w:r>
      <w:r w:rsidR="00451D3A" w:rsidRPr="00C82F43">
        <w:rPr>
          <w:rFonts w:ascii="Times New Roman" w:eastAsia="Times New Roman" w:hAnsi="Times New Roman"/>
          <w:bCs/>
          <w:sz w:val="24"/>
          <w:lang w:eastAsia="en-GB"/>
        </w:rPr>
        <w:t xml:space="preserve">; </w:t>
      </w:r>
      <w:r w:rsidR="00F460B0" w:rsidRPr="00C82F43">
        <w:rPr>
          <w:rFonts w:ascii="Times New Roman" w:eastAsia="Times New Roman" w:hAnsi="Times New Roman"/>
          <w:b/>
          <w:bCs/>
          <w:sz w:val="24"/>
          <w:lang w:eastAsia="en-GB"/>
        </w:rPr>
        <w:t xml:space="preserve">n/a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AC7781">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AC7781" w:rsidRPr="00C82F43">
        <w:rPr>
          <w:rFonts w:ascii="Times New Roman" w:eastAsia="Times New Roman" w:hAnsi="Times New Roman"/>
          <w:sz w:val="24"/>
          <w:lang w:eastAsia="en-GB"/>
        </w:rPr>
        <w:t>evidence of random selection for assessment</w:t>
      </w:r>
      <w:r w:rsidR="00451D3A" w:rsidRPr="00C82F43">
        <w:rPr>
          <w:rFonts w:ascii="Times New Roman" w:eastAsia="Times New Roman" w:hAnsi="Times New Roman"/>
          <w:bCs/>
          <w:sz w:val="24"/>
          <w:lang w:eastAsia="en-GB"/>
        </w:rPr>
        <w:t xml:space="preserve">; </w:t>
      </w:r>
      <w:r w:rsidRPr="00C82F43">
        <w:rPr>
          <w:rFonts w:ascii="Times New Roman" w:eastAsia="Times New Roman" w:hAnsi="Times New Roman" w:cs="Times New Roman"/>
          <w:b/>
          <w:bCs/>
          <w:sz w:val="24"/>
          <w:lang w:eastAsia="en-GB"/>
        </w:rPr>
        <w:t>x</w:t>
      </w:r>
      <w:r w:rsidR="00451D3A" w:rsidRPr="00C82F43">
        <w:rPr>
          <w:rFonts w:ascii="Times New Roman" w:eastAsia="Times New Roman" w:hAnsi="Times New Roman" w:cs="Times New Roman"/>
          <w:bCs/>
          <w:sz w:val="24"/>
          <w:lang w:eastAsia="en-GB"/>
        </w:rPr>
        <w:t xml:space="preserve"> -</w:t>
      </w:r>
      <w:r w:rsidR="00AC7781" w:rsidRPr="00C82F43">
        <w:t xml:space="preserve"> </w:t>
      </w:r>
      <w:r w:rsidR="00AC7781" w:rsidRPr="00C82F43">
        <w:rPr>
          <w:rFonts w:ascii="Times New Roman" w:eastAsia="Times New Roman" w:hAnsi="Times New Roman"/>
          <w:bCs/>
          <w:sz w:val="24"/>
          <w:lang w:eastAsia="en-GB"/>
        </w:rPr>
        <w:t>no evidence of random selection for assessment</w:t>
      </w:r>
      <w:r w:rsidR="00451D3A" w:rsidRPr="00C82F43">
        <w:rPr>
          <w:rFonts w:ascii="Times New Roman" w:eastAsia="Times New Roman" w:hAnsi="Times New Roman"/>
          <w:bCs/>
          <w:sz w:val="24"/>
          <w:lang w:eastAsia="en-GB"/>
        </w:rPr>
        <w:t xml:space="preserve">; </w:t>
      </w:r>
      <w:r w:rsidR="00AC7781" w:rsidRPr="00C82F43">
        <w:rPr>
          <w:rFonts w:ascii="Times New Roman" w:eastAsia="Times New Roman" w:hAnsi="Times New Roman"/>
          <w:b/>
          <w:bCs/>
          <w:sz w:val="24"/>
          <w:lang w:eastAsia="en-GB"/>
        </w:rPr>
        <w:t xml:space="preserve">n/a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F2061D">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F2061D" w:rsidRPr="00C82F43">
        <w:rPr>
          <w:rFonts w:ascii="Times New Roman" w:eastAsia="Times New Roman" w:hAnsi="Times New Roman" w:cs="Times New Roman"/>
          <w:sz w:val="24"/>
          <w:lang w:eastAsia="en-GB"/>
        </w:rPr>
        <w:t xml:space="preserve"> - </w:t>
      </w:r>
      <w:r w:rsidR="00F2061D" w:rsidRPr="00C82F43">
        <w:rPr>
          <w:rFonts w:ascii="Times New Roman" w:eastAsia="Times New Roman" w:hAnsi="Times New Roman"/>
          <w:sz w:val="24"/>
          <w:lang w:eastAsia="en-GB"/>
        </w:rPr>
        <w:t>evidence of assessor blinded</w:t>
      </w:r>
      <w:r w:rsidR="00451D3A" w:rsidRPr="00C82F43">
        <w:rPr>
          <w:rFonts w:ascii="Times New Roman" w:eastAsia="Times New Roman" w:hAnsi="Times New Roman"/>
          <w:bCs/>
          <w:sz w:val="24"/>
          <w:lang w:eastAsia="en-GB"/>
        </w:rPr>
        <w:t xml:space="preserve">; </w:t>
      </w:r>
      <w:r w:rsidRPr="00C82F43">
        <w:rPr>
          <w:rFonts w:ascii="Times New Roman" w:eastAsia="Times New Roman" w:hAnsi="Times New Roman" w:cs="Times New Roman"/>
          <w:b/>
          <w:bCs/>
          <w:sz w:val="24"/>
          <w:lang w:eastAsia="en-GB"/>
        </w:rPr>
        <w:t>x</w:t>
      </w:r>
      <w:r w:rsidR="00451D3A" w:rsidRPr="00C82F43">
        <w:rPr>
          <w:rFonts w:ascii="Times New Roman" w:eastAsia="Times New Roman" w:hAnsi="Times New Roman" w:cs="Times New Roman"/>
          <w:bCs/>
          <w:sz w:val="24"/>
          <w:lang w:eastAsia="en-GB"/>
        </w:rPr>
        <w:t xml:space="preserve"> -</w:t>
      </w:r>
      <w:r w:rsidR="00F2061D" w:rsidRPr="00C82F43">
        <w:rPr>
          <w:rFonts w:ascii="Times New Roman" w:eastAsia="Times New Roman" w:hAnsi="Times New Roman"/>
          <w:bCs/>
          <w:sz w:val="24"/>
          <w:lang w:eastAsia="en-GB"/>
        </w:rPr>
        <w:t xml:space="preserve"> no evidence of assessor blinded</w:t>
      </w:r>
      <w:r w:rsidR="00451D3A" w:rsidRPr="00C82F43">
        <w:rPr>
          <w:rFonts w:ascii="Times New Roman" w:eastAsia="Times New Roman" w:hAnsi="Times New Roman"/>
          <w:bCs/>
          <w:sz w:val="24"/>
          <w:lang w:eastAsia="en-GB"/>
        </w:rPr>
        <w:t xml:space="preserve">; </w:t>
      </w:r>
      <w:r w:rsidR="00F2061D" w:rsidRPr="00C82F43">
        <w:rPr>
          <w:rFonts w:ascii="Times New Roman" w:eastAsia="Times New Roman" w:hAnsi="Times New Roman"/>
          <w:b/>
          <w:bCs/>
          <w:sz w:val="24"/>
          <w:lang w:eastAsia="en-GB"/>
        </w:rPr>
        <w:t xml:space="preserve">n/a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4B1AF5">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4B1AF5" w:rsidRPr="00C82F43">
        <w:rPr>
          <w:rFonts w:ascii="Times New Roman" w:eastAsia="Times New Roman" w:hAnsi="Times New Roman"/>
          <w:sz w:val="24"/>
          <w:lang w:eastAsia="en-GB"/>
        </w:rPr>
        <w:t>no missing data/sufficient explanation of missing data</w:t>
      </w:r>
      <w:r w:rsidR="00451D3A" w:rsidRPr="00C82F43">
        <w:rPr>
          <w:rFonts w:ascii="Times New Roman" w:eastAsia="Times New Roman" w:hAnsi="Times New Roman"/>
          <w:bCs/>
          <w:sz w:val="24"/>
          <w:lang w:eastAsia="en-GB"/>
        </w:rPr>
        <w:t xml:space="preserve">; </w:t>
      </w:r>
      <w:r w:rsidRPr="00C82F43">
        <w:rPr>
          <w:rFonts w:ascii="Times New Roman" w:eastAsia="Times New Roman" w:hAnsi="Times New Roman" w:cs="Times New Roman"/>
          <w:b/>
          <w:bCs/>
          <w:sz w:val="24"/>
          <w:lang w:eastAsia="en-GB"/>
        </w:rPr>
        <w:t>x</w:t>
      </w:r>
      <w:r w:rsidR="00451D3A" w:rsidRPr="00C82F43">
        <w:rPr>
          <w:rFonts w:ascii="Times New Roman" w:eastAsia="Times New Roman" w:hAnsi="Times New Roman" w:cs="Times New Roman"/>
          <w:bCs/>
          <w:sz w:val="24"/>
          <w:lang w:eastAsia="en-GB"/>
        </w:rPr>
        <w:t xml:space="preserve"> -</w:t>
      </w:r>
      <w:r w:rsidR="004B1AF5" w:rsidRPr="00C82F43">
        <w:t xml:space="preserve"> </w:t>
      </w:r>
      <w:r w:rsidR="004B1AF5" w:rsidRPr="00C82F43">
        <w:rPr>
          <w:rFonts w:ascii="Times New Roman" w:eastAsia="Times New Roman" w:hAnsi="Times New Roman"/>
          <w:bCs/>
          <w:sz w:val="24"/>
          <w:lang w:eastAsia="en-GB"/>
        </w:rPr>
        <w:t>no explanation of missing data</w:t>
      </w:r>
      <w:r w:rsidR="00451D3A" w:rsidRPr="00C82F43">
        <w:rPr>
          <w:rFonts w:ascii="Times New Roman" w:eastAsia="Times New Roman" w:hAnsi="Times New Roman"/>
          <w:bCs/>
          <w:sz w:val="24"/>
          <w:lang w:eastAsia="en-GB"/>
        </w:rPr>
        <w:t xml:space="preserve">; </w:t>
      </w:r>
      <w:r w:rsidR="004B1AF5" w:rsidRPr="00C82F43">
        <w:rPr>
          <w:rFonts w:ascii="Times New Roman" w:eastAsia="Times New Roman" w:hAnsi="Times New Roman"/>
          <w:b/>
          <w:bCs/>
          <w:sz w:val="24"/>
          <w:lang w:eastAsia="en-GB"/>
        </w:rPr>
        <w:t>n/a</w:t>
      </w:r>
      <w:r w:rsidR="004B1AF5" w:rsidRPr="00C82F43">
        <w:rPr>
          <w:rFonts w:ascii="Times New Roman" w:eastAsia="Times New Roman" w:hAnsi="Times New Roman"/>
          <w:bCs/>
          <w:sz w:val="24"/>
          <w:lang w:eastAsia="en-GB"/>
        </w:rPr>
        <w:t xml:space="preserve">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unknown (grey literature: unpublished results)</w:t>
      </w:r>
    </w:p>
    <w:p w:rsidR="00451D3A" w:rsidRPr="00C82F43" w:rsidRDefault="00852698" w:rsidP="0004599C">
      <w:pPr>
        <w:pStyle w:val="ListParagraph"/>
        <w:numPr>
          <w:ilvl w:val="0"/>
          <w:numId w:val="21"/>
        </w:numPr>
        <w:rPr>
          <w:rFonts w:ascii="Times New Roman" w:eastAsia="Times New Roman" w:hAnsi="Times New Roman"/>
          <w:bCs/>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04599C" w:rsidRPr="00C82F43">
        <w:rPr>
          <w:rFonts w:ascii="Times New Roman" w:eastAsia="Times New Roman" w:hAnsi="Times New Roman"/>
          <w:sz w:val="24"/>
          <w:lang w:eastAsia="en-GB"/>
        </w:rPr>
        <w:t>free of selective reporting based on methods/results</w:t>
      </w:r>
      <w:r w:rsidR="00451D3A" w:rsidRPr="00C82F43">
        <w:rPr>
          <w:rFonts w:ascii="Times New Roman" w:eastAsia="Times New Roman" w:hAnsi="Times New Roman"/>
          <w:bCs/>
          <w:sz w:val="24"/>
          <w:lang w:eastAsia="en-GB"/>
        </w:rPr>
        <w:t xml:space="preserve">; </w:t>
      </w:r>
      <w:r w:rsidRPr="00C82F43">
        <w:rPr>
          <w:rFonts w:ascii="Times New Roman" w:eastAsia="Times New Roman" w:hAnsi="Times New Roman" w:cs="Times New Roman"/>
          <w:b/>
          <w:bCs/>
          <w:sz w:val="24"/>
          <w:lang w:eastAsia="en-GB"/>
        </w:rPr>
        <w:t>x</w:t>
      </w:r>
      <w:r w:rsidR="00451D3A" w:rsidRPr="00C82F43">
        <w:rPr>
          <w:rFonts w:ascii="Times New Roman" w:eastAsia="Times New Roman" w:hAnsi="Times New Roman" w:cs="Times New Roman"/>
          <w:bCs/>
          <w:sz w:val="24"/>
          <w:lang w:eastAsia="en-GB"/>
        </w:rPr>
        <w:t xml:space="preserve"> -</w:t>
      </w:r>
      <w:r w:rsidR="0004599C" w:rsidRPr="00C82F43">
        <w:rPr>
          <w:rFonts w:ascii="Times New Roman" w:eastAsia="Times New Roman" w:hAnsi="Times New Roman"/>
          <w:bCs/>
          <w:sz w:val="24"/>
          <w:lang w:eastAsia="en-GB"/>
        </w:rPr>
        <w:t xml:space="preserve"> selective reporting</w:t>
      </w:r>
      <w:r w:rsidR="00451D3A" w:rsidRPr="00C82F43">
        <w:rPr>
          <w:rFonts w:ascii="Times New Roman" w:eastAsia="Times New Roman" w:hAnsi="Times New Roman"/>
          <w:bCs/>
          <w:sz w:val="24"/>
          <w:lang w:eastAsia="en-GB"/>
        </w:rPr>
        <w:t xml:space="preserve">; </w:t>
      </w:r>
      <w:r w:rsidR="0004599C" w:rsidRPr="00C82F43">
        <w:rPr>
          <w:rFonts w:ascii="Times New Roman" w:eastAsia="Times New Roman" w:hAnsi="Times New Roman"/>
          <w:b/>
          <w:bCs/>
          <w:sz w:val="24"/>
          <w:lang w:eastAsia="en-GB"/>
        </w:rPr>
        <w:t>n/a</w:t>
      </w:r>
      <w:r w:rsidR="0004599C" w:rsidRPr="00C82F43">
        <w:rPr>
          <w:rFonts w:ascii="Times New Roman" w:eastAsia="Times New Roman" w:hAnsi="Times New Roman"/>
          <w:bCs/>
          <w:sz w:val="24"/>
          <w:lang w:eastAsia="en-GB"/>
        </w:rPr>
        <w:t xml:space="preserve"> </w:t>
      </w:r>
      <w:r w:rsidR="00451D3A" w:rsidRPr="00C82F43">
        <w:rPr>
          <w:rFonts w:ascii="Times New Roman" w:eastAsia="Times New Roman" w:hAnsi="Times New Roman"/>
          <w:b/>
          <w:bCs/>
          <w:sz w:val="24"/>
          <w:lang w:eastAsia="en-GB"/>
        </w:rPr>
        <w:t>-</w:t>
      </w:r>
      <w:r w:rsidR="00451D3A" w:rsidRPr="00C82F43">
        <w:rPr>
          <w:rFonts w:ascii="Times New Roman" w:eastAsia="Times New Roman" w:hAnsi="Times New Roman"/>
          <w:bCs/>
          <w:sz w:val="24"/>
          <w:lang w:eastAsia="en-GB"/>
        </w:rPr>
        <w:t xml:space="preserve"> unknown (grey literature: unpublished results)</w:t>
      </w:r>
    </w:p>
    <w:tbl>
      <w:tblPr>
        <w:tblW w:w="9580" w:type="dxa"/>
        <w:tblCellMar>
          <w:left w:w="0" w:type="dxa"/>
          <w:right w:w="0" w:type="dxa"/>
        </w:tblCellMar>
        <w:tblLook w:val="04A0" w:firstRow="1" w:lastRow="0" w:firstColumn="1" w:lastColumn="0" w:noHBand="0" w:noVBand="1"/>
      </w:tblPr>
      <w:tblGrid>
        <w:gridCol w:w="9580"/>
      </w:tblGrid>
      <w:tr w:rsidR="00C82F43" w:rsidRPr="00C82F43" w:rsidTr="0004599C">
        <w:trPr>
          <w:trHeight w:val="329"/>
        </w:trPr>
        <w:tc>
          <w:tcPr>
            <w:tcW w:w="9580" w:type="dxa"/>
            <w:tcBorders>
              <w:top w:val="nil"/>
              <w:left w:val="nil"/>
              <w:bottom w:val="nil"/>
              <w:right w:val="nil"/>
            </w:tcBorders>
            <w:shd w:val="clear" w:color="auto" w:fill="auto"/>
            <w:noWrap/>
            <w:tcMar>
              <w:top w:w="15" w:type="dxa"/>
              <w:left w:w="15" w:type="dxa"/>
              <w:bottom w:w="0" w:type="dxa"/>
              <w:right w:w="15" w:type="dxa"/>
            </w:tcMar>
            <w:vAlign w:val="bottom"/>
            <w:hideMark/>
          </w:tcPr>
          <w:p w:rsidR="002103C3" w:rsidRPr="00C82F43" w:rsidRDefault="00852698" w:rsidP="002103C3">
            <w:pPr>
              <w:pStyle w:val="ListParagraph"/>
              <w:numPr>
                <w:ilvl w:val="0"/>
                <w:numId w:val="21"/>
              </w:numPr>
              <w:rPr>
                <w:rFonts w:ascii="Times New Roman" w:eastAsia="Times New Roman" w:hAnsi="Times New Roman"/>
                <w:sz w:val="24"/>
                <w:lang w:eastAsia="en-GB"/>
              </w:rPr>
            </w:pPr>
            <w:r w:rsidRPr="00C82F43">
              <w:rPr>
                <w:rFonts w:ascii="Monotype Sorts" w:eastAsia="Times New Roman" w:hAnsi="Monotype Sorts"/>
                <w:b/>
                <w:sz w:val="24"/>
                <w:lang w:eastAsia="en-GB"/>
              </w:rPr>
              <w:sym w:font="Wingdings" w:char="F0FC"/>
            </w:r>
            <w:r w:rsidR="00451D3A" w:rsidRPr="00C82F43">
              <w:rPr>
                <w:rFonts w:ascii="Times New Roman" w:eastAsia="Times New Roman" w:hAnsi="Times New Roman" w:cs="Times New Roman"/>
                <w:sz w:val="24"/>
                <w:lang w:eastAsia="en-GB"/>
              </w:rPr>
              <w:t xml:space="preserve"> -  </w:t>
            </w:r>
            <w:r w:rsidR="0004599C" w:rsidRPr="00C82F43">
              <w:rPr>
                <w:rFonts w:ascii="Times New Roman" w:eastAsia="Times New Roman" w:hAnsi="Times New Roman"/>
                <w:sz w:val="24"/>
                <w:lang w:eastAsia="en-GB"/>
              </w:rPr>
              <w:t xml:space="preserve">free of methodological bias; </w:t>
            </w:r>
            <w:r w:rsidRPr="00C82F43">
              <w:rPr>
                <w:rFonts w:ascii="Times New Roman" w:eastAsia="Times New Roman" w:hAnsi="Times New Roman" w:cs="Times New Roman"/>
                <w:b/>
                <w:bCs/>
                <w:sz w:val="24"/>
                <w:lang w:eastAsia="en-GB"/>
              </w:rPr>
              <w:t>x</w:t>
            </w:r>
            <w:r w:rsidR="0004599C" w:rsidRPr="00C82F43">
              <w:rPr>
                <w:rFonts w:ascii="Times New Roman" w:eastAsia="Times New Roman" w:hAnsi="Times New Roman" w:cs="Times New Roman"/>
                <w:b/>
                <w:bCs/>
                <w:sz w:val="24"/>
                <w:lang w:eastAsia="en-GB"/>
              </w:rPr>
              <w:t xml:space="preserve"> </w:t>
            </w:r>
            <w:r w:rsidR="0004599C" w:rsidRPr="00C82F43">
              <w:rPr>
                <w:rFonts w:ascii="Times New Roman" w:eastAsia="Times New Roman" w:hAnsi="Times New Roman" w:cs="Times New Roman"/>
                <w:bCs/>
                <w:sz w:val="24"/>
                <w:lang w:eastAsia="en-GB"/>
              </w:rPr>
              <w:t xml:space="preserve">- </w:t>
            </w:r>
            <w:r w:rsidR="0004599C" w:rsidRPr="00C82F43">
              <w:rPr>
                <w:rFonts w:ascii="Times New Roman" w:eastAsia="Times New Roman" w:hAnsi="Times New Roman"/>
                <w:bCs/>
                <w:sz w:val="24"/>
                <w:lang w:eastAsia="en-GB"/>
              </w:rPr>
              <w:t>evidence of methodological bias</w:t>
            </w:r>
          </w:p>
        </w:tc>
      </w:tr>
    </w:tbl>
    <w:p w:rsidR="00E42E8A" w:rsidRPr="00C82F43" w:rsidRDefault="008F60B4" w:rsidP="00F368BF">
      <w:pPr>
        <w:rPr>
          <w:rFonts w:ascii="Times New Roman" w:eastAsia="Times New Roman" w:hAnsi="Times New Roman"/>
          <w:bCs/>
          <w:sz w:val="24"/>
          <w:lang w:eastAsia="en-GB"/>
        </w:rPr>
        <w:sectPr w:rsidR="00E42E8A" w:rsidRPr="00C82F43" w:rsidSect="00E42E8A">
          <w:pgSz w:w="16838" w:h="11906" w:orient="landscape"/>
          <w:pgMar w:top="1134" w:right="1134" w:bottom="1134" w:left="1134" w:header="709" w:footer="709" w:gutter="0"/>
          <w:lnNumType w:countBy="1" w:restart="continuous"/>
          <w:cols w:space="708"/>
          <w:docGrid w:linePitch="360"/>
        </w:sectPr>
      </w:pPr>
      <w:r w:rsidRPr="00C82F43">
        <w:br w:type="page"/>
      </w:r>
    </w:p>
    <w:p w:rsidR="00F368BF" w:rsidRPr="00C82F43" w:rsidRDefault="00F75257" w:rsidP="00F368BF">
      <w:pPr>
        <w:pStyle w:val="ListParagraph"/>
        <w:numPr>
          <w:ilvl w:val="0"/>
          <w:numId w:val="13"/>
        </w:numPr>
        <w:spacing w:after="0" w:line="360" w:lineRule="auto"/>
        <w:rPr>
          <w:rFonts w:ascii="Times New Roman" w:hAnsi="Times New Roman"/>
          <w:sz w:val="24"/>
        </w:rPr>
      </w:pPr>
      <w:r w:rsidRPr="00C82F43">
        <w:rPr>
          <w:rFonts w:ascii="Times New Roman" w:hAnsi="Times New Roman"/>
          <w:sz w:val="24"/>
        </w:rPr>
        <w:t xml:space="preserve">Bar chart visualising </w:t>
      </w:r>
      <w:r w:rsidRPr="00C82F43">
        <w:rPr>
          <w:rFonts w:ascii="Times New Roman" w:hAnsi="Times New Roman" w:cs="Times New Roman"/>
          <w:sz w:val="24"/>
        </w:rPr>
        <w:t>risk of bias for selected studies, assessed using the SYRCLE’s risk of bias tool</w:t>
      </w:r>
    </w:p>
    <w:p w:rsidR="00F368BF" w:rsidRPr="00C82F43" w:rsidRDefault="00F75257">
      <w:pPr>
        <w:spacing w:line="259" w:lineRule="auto"/>
        <w:rPr>
          <w:rFonts w:ascii="Times New Roman" w:hAnsi="Times New Roman"/>
          <w:b/>
          <w:sz w:val="28"/>
        </w:rPr>
      </w:pPr>
      <w:r w:rsidRPr="00C82F43">
        <w:rPr>
          <w:noProof/>
          <w:lang w:eastAsia="en-GB"/>
        </w:rPr>
        <w:drawing>
          <wp:inline distT="0" distB="0" distL="0" distR="0" wp14:anchorId="6500402F" wp14:editId="2693B406">
            <wp:extent cx="6120130" cy="3500755"/>
            <wp:effectExtent l="0" t="0" r="1397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82F43">
        <w:rPr>
          <w:rFonts w:ascii="Times New Roman" w:hAnsi="Times New Roman"/>
          <w:b/>
          <w:sz w:val="28"/>
        </w:rPr>
        <w:t xml:space="preserve"> </w:t>
      </w:r>
      <w:r w:rsidR="00F368BF" w:rsidRPr="00C82F43">
        <w:rPr>
          <w:rFonts w:ascii="Times New Roman" w:hAnsi="Times New Roman"/>
          <w:b/>
          <w:sz w:val="28"/>
        </w:rPr>
        <w:br w:type="page"/>
      </w:r>
    </w:p>
    <w:p w:rsidR="008F60B4" w:rsidRPr="00C82F43" w:rsidRDefault="008F60B4" w:rsidP="008F60B4">
      <w:pPr>
        <w:spacing w:after="0" w:line="360" w:lineRule="auto"/>
        <w:rPr>
          <w:rFonts w:ascii="Times New Roman" w:hAnsi="Times New Roman"/>
          <w:b/>
          <w:sz w:val="28"/>
          <w:szCs w:val="24"/>
        </w:rPr>
      </w:pPr>
      <w:r w:rsidRPr="00C82F43">
        <w:rPr>
          <w:rFonts w:ascii="Times New Roman" w:hAnsi="Times New Roman"/>
          <w:b/>
          <w:sz w:val="28"/>
        </w:rPr>
        <w:t>Supplementary Material</w:t>
      </w:r>
      <w:r w:rsidR="001457F2" w:rsidRPr="00C82F43">
        <w:rPr>
          <w:rFonts w:ascii="Times New Roman" w:hAnsi="Times New Roman"/>
          <w:b/>
          <w:sz w:val="28"/>
        </w:rPr>
        <w:t xml:space="preserve"> C</w:t>
      </w:r>
      <w:r w:rsidRPr="00C82F43">
        <w:rPr>
          <w:rFonts w:ascii="Times New Roman" w:hAnsi="Times New Roman"/>
          <w:b/>
          <w:sz w:val="28"/>
          <w:szCs w:val="24"/>
        </w:rPr>
        <w:t xml:space="preserve">: Examples of diagnostic regression plots </w:t>
      </w:r>
    </w:p>
    <w:p w:rsidR="008F60B4" w:rsidRPr="00C82F43" w:rsidRDefault="008F60B4" w:rsidP="008F60B4">
      <w:pPr>
        <w:pStyle w:val="ListParagraph"/>
        <w:numPr>
          <w:ilvl w:val="0"/>
          <w:numId w:val="5"/>
        </w:numPr>
        <w:spacing w:after="0" w:line="360" w:lineRule="auto"/>
        <w:rPr>
          <w:rFonts w:ascii="Times New Roman" w:hAnsi="Times New Roman"/>
          <w:sz w:val="32"/>
        </w:rPr>
      </w:pPr>
      <w:r w:rsidRPr="00C82F43">
        <w:rPr>
          <w:rFonts w:ascii="Times New Roman" w:hAnsi="Times New Roman"/>
          <w:sz w:val="24"/>
        </w:rPr>
        <w:t>QQ plot of residuals obtained from the fixed effects component of the final LMER model for Ca Absorption</w:t>
      </w:r>
    </w:p>
    <w:p w:rsidR="008F60B4" w:rsidRPr="00C82F43" w:rsidRDefault="008F60B4" w:rsidP="008F60B4">
      <w:pPr>
        <w:spacing w:after="0" w:line="360" w:lineRule="auto"/>
        <w:rPr>
          <w:rFonts w:ascii="Times New Roman" w:hAnsi="Times New Roman"/>
          <w:sz w:val="24"/>
        </w:rPr>
      </w:pPr>
      <w:r w:rsidRPr="00C82F43">
        <w:rPr>
          <w:rFonts w:ascii="Times New Roman" w:hAnsi="Times New Roman"/>
          <w:noProof/>
          <w:sz w:val="24"/>
          <w:lang w:eastAsia="en-GB"/>
        </w:rPr>
        <w:drawing>
          <wp:inline distT="0" distB="0" distL="0" distR="0" wp14:anchorId="41E8150A" wp14:editId="5CD4135B">
            <wp:extent cx="5819775" cy="3495675"/>
            <wp:effectExtent l="0" t="0" r="9525" b="9525"/>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3495675"/>
                    </a:xfrm>
                    <a:prstGeom prst="rect">
                      <a:avLst/>
                    </a:prstGeom>
                    <a:noFill/>
                    <a:ln>
                      <a:noFill/>
                    </a:ln>
                  </pic:spPr>
                </pic:pic>
              </a:graphicData>
            </a:graphic>
          </wp:inline>
        </w:drawing>
      </w:r>
    </w:p>
    <w:p w:rsidR="008F60B4" w:rsidRPr="00C82F43" w:rsidRDefault="008F60B4" w:rsidP="008F60B4">
      <w:pPr>
        <w:pStyle w:val="ListParagraph"/>
        <w:numPr>
          <w:ilvl w:val="0"/>
          <w:numId w:val="5"/>
        </w:numPr>
        <w:spacing w:after="0" w:line="360" w:lineRule="auto"/>
        <w:rPr>
          <w:rFonts w:ascii="Times New Roman" w:hAnsi="Times New Roman"/>
          <w:sz w:val="24"/>
        </w:rPr>
      </w:pPr>
      <w:r w:rsidRPr="00C82F43">
        <w:rPr>
          <w:rFonts w:ascii="Times New Roman" w:hAnsi="Times New Roman"/>
          <w:sz w:val="24"/>
        </w:rPr>
        <w:t>Plot of residuals vs fitted values from the fixed effects component of the final LMER model for Ca absorption</w:t>
      </w:r>
    </w:p>
    <w:p w:rsidR="008F60B4" w:rsidRPr="00C82F43" w:rsidRDefault="008F60B4" w:rsidP="008F60B4">
      <w:pPr>
        <w:spacing w:after="0"/>
        <w:rPr>
          <w:rFonts w:ascii="Times New Roman" w:hAnsi="Times New Roman"/>
          <w:sz w:val="24"/>
        </w:rPr>
      </w:pPr>
      <w:r w:rsidRPr="00C82F43">
        <w:rPr>
          <w:rFonts w:ascii="Times New Roman" w:hAnsi="Times New Roman"/>
          <w:noProof/>
          <w:sz w:val="24"/>
          <w:lang w:eastAsia="en-GB"/>
        </w:rPr>
        <w:drawing>
          <wp:inline distT="0" distB="0" distL="0" distR="0" wp14:anchorId="7F7BF36D" wp14:editId="34F84425">
            <wp:extent cx="5791200" cy="3495675"/>
            <wp:effectExtent l="0" t="0" r="0" b="9525"/>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3495675"/>
                    </a:xfrm>
                    <a:prstGeom prst="rect">
                      <a:avLst/>
                    </a:prstGeom>
                    <a:noFill/>
                    <a:ln>
                      <a:noFill/>
                    </a:ln>
                  </pic:spPr>
                </pic:pic>
              </a:graphicData>
            </a:graphic>
          </wp:inline>
        </w:drawing>
      </w:r>
    </w:p>
    <w:p w:rsidR="002C70FA" w:rsidRPr="00C82F43" w:rsidRDefault="002C70FA" w:rsidP="008F60B4">
      <w:pPr>
        <w:spacing w:after="0"/>
        <w:rPr>
          <w:rFonts w:ascii="Times New Roman" w:hAnsi="Times New Roman"/>
          <w:sz w:val="24"/>
        </w:rPr>
      </w:pPr>
    </w:p>
    <w:p w:rsidR="002C70FA" w:rsidRPr="00C82F43" w:rsidRDefault="002C70FA" w:rsidP="008F60B4">
      <w:pPr>
        <w:spacing w:after="0"/>
        <w:rPr>
          <w:rFonts w:ascii="Times New Roman" w:hAnsi="Times New Roman"/>
          <w:sz w:val="24"/>
        </w:rPr>
      </w:pPr>
    </w:p>
    <w:p w:rsidR="002C70FA" w:rsidRPr="00C82F43" w:rsidRDefault="002C70FA" w:rsidP="008F60B4">
      <w:pPr>
        <w:spacing w:after="0"/>
        <w:rPr>
          <w:rFonts w:ascii="Times New Roman" w:hAnsi="Times New Roman"/>
          <w:sz w:val="24"/>
        </w:rPr>
      </w:pPr>
    </w:p>
    <w:p w:rsidR="008F60B4" w:rsidRPr="00C82F43" w:rsidRDefault="002A1360" w:rsidP="008F60B4">
      <w:pPr>
        <w:pStyle w:val="ListParagraph"/>
        <w:numPr>
          <w:ilvl w:val="0"/>
          <w:numId w:val="13"/>
        </w:numPr>
        <w:spacing w:after="0"/>
        <w:rPr>
          <w:rFonts w:ascii="Times New Roman" w:hAnsi="Times New Roman"/>
          <w:sz w:val="24"/>
        </w:rPr>
      </w:pPr>
      <w:r w:rsidRPr="00C82F43">
        <w:rPr>
          <w:rFonts w:ascii="Times New Roman" w:hAnsi="Times New Roman"/>
          <w:sz w:val="24"/>
        </w:rPr>
        <w:t>Plot assessing normality of random effects</w:t>
      </w:r>
      <w:r w:rsidR="002C70FA" w:rsidRPr="00C82F43">
        <w:rPr>
          <w:rFonts w:ascii="Times New Roman" w:hAnsi="Times New Roman"/>
          <w:sz w:val="24"/>
        </w:rPr>
        <w:t xml:space="preserve"> of the final LMER model for Ca absorption</w:t>
      </w:r>
    </w:p>
    <w:p w:rsidR="008F60B4" w:rsidRPr="00C82F43" w:rsidRDefault="002C70FA" w:rsidP="008F60B4">
      <w:r w:rsidRPr="00C82F43">
        <w:rPr>
          <w:noProof/>
          <w:lang w:eastAsia="en-GB"/>
        </w:rPr>
        <w:drawing>
          <wp:inline distT="0" distB="0" distL="0" distR="0" wp14:anchorId="2681823B" wp14:editId="516DE461">
            <wp:extent cx="6119113" cy="400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192" t="19921" r="30865" b="40370"/>
                    <a:stretch/>
                  </pic:blipFill>
                  <pic:spPr bwMode="auto">
                    <a:xfrm>
                      <a:off x="0" y="0"/>
                      <a:ext cx="6121901" cy="4002323"/>
                    </a:xfrm>
                    <a:prstGeom prst="rect">
                      <a:avLst/>
                    </a:prstGeom>
                    <a:ln>
                      <a:noFill/>
                    </a:ln>
                    <a:extLst>
                      <a:ext uri="{53640926-AAD7-44D8-BBD7-CCE9431645EC}">
                        <a14:shadowObscured xmlns:a14="http://schemas.microsoft.com/office/drawing/2010/main"/>
                      </a:ext>
                    </a:extLst>
                  </pic:spPr>
                </pic:pic>
              </a:graphicData>
            </a:graphic>
          </wp:inline>
        </w:drawing>
      </w:r>
      <w:r w:rsidR="008F60B4" w:rsidRPr="00C82F43">
        <w:br w:type="page"/>
      </w:r>
    </w:p>
    <w:p w:rsidR="008F60B4" w:rsidRPr="00C82F43" w:rsidRDefault="008F60B4" w:rsidP="008F60B4">
      <w:pPr>
        <w:spacing w:after="0" w:line="360" w:lineRule="auto"/>
        <w:rPr>
          <w:rFonts w:ascii="Times New Roman" w:hAnsi="Times New Roman"/>
          <w:sz w:val="24"/>
          <w:szCs w:val="24"/>
        </w:rPr>
      </w:pPr>
      <w:r w:rsidRPr="00C82F43">
        <w:rPr>
          <w:rFonts w:ascii="Times New Roman" w:hAnsi="Times New Roman"/>
          <w:b/>
          <w:sz w:val="28"/>
        </w:rPr>
        <w:t>Supplementary Material</w:t>
      </w:r>
      <w:r w:rsidR="001457F2" w:rsidRPr="00C82F43">
        <w:rPr>
          <w:rFonts w:ascii="Times New Roman" w:hAnsi="Times New Roman"/>
          <w:b/>
          <w:sz w:val="28"/>
        </w:rPr>
        <w:t xml:space="preserve"> D</w:t>
      </w:r>
      <w:r w:rsidRPr="00C82F43">
        <w:rPr>
          <w:rFonts w:ascii="Times New Roman" w:hAnsi="Times New Roman"/>
          <w:b/>
          <w:sz w:val="28"/>
          <w:szCs w:val="24"/>
        </w:rPr>
        <w:t>: List of studies included in the systematic review and meta-analysis</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Jolliff</w:t>
      </w:r>
      <w:proofErr w:type="spellEnd"/>
      <w:r w:rsidRPr="00C82F43">
        <w:rPr>
          <w:rFonts w:ascii="Times New Roman" w:hAnsi="Times New Roman" w:cs="Times New Roman"/>
          <w:sz w:val="24"/>
        </w:rPr>
        <w:t xml:space="preserve"> JS, Mahan DC (2013) Effect of dietary calcium and phosphorus levels on the total tract digestibility of innate and supplemental organic and inorganic </w:t>
      </w:r>
      <w:proofErr w:type="spellStart"/>
      <w:r w:rsidRPr="00C82F43">
        <w:rPr>
          <w:rFonts w:ascii="Times New Roman" w:hAnsi="Times New Roman" w:cs="Times New Roman"/>
          <w:sz w:val="24"/>
        </w:rPr>
        <w:t>microminerals</w:t>
      </w:r>
      <w:proofErr w:type="spellEnd"/>
      <w:r w:rsidRPr="00C82F43">
        <w:rPr>
          <w:rFonts w:ascii="Times New Roman" w:hAnsi="Times New Roman" w:cs="Times New Roman"/>
          <w:sz w:val="24"/>
        </w:rPr>
        <w:t xml:space="preserve"> in a corn-soybean meal based diet of grower pigs. Journal of animal science 91, 2775-2783.</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Gutzwiller</w:t>
      </w:r>
      <w:proofErr w:type="spellEnd"/>
      <w:r w:rsidRPr="00C82F43">
        <w:rPr>
          <w:rFonts w:ascii="Times New Roman" w:hAnsi="Times New Roman" w:cs="Times New Roman"/>
          <w:sz w:val="24"/>
        </w:rPr>
        <w:t xml:space="preserve"> A, Hess HD, Adam A et al. (2011) Effects of a reduced calcium, phosphorus and protein intake and of benzoic acid on calcium and phosphorus metabolism of growing pigs. Animal feed science and technology 168, 113-121.</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Stein HH, </w:t>
      </w:r>
      <w:proofErr w:type="spellStart"/>
      <w:r w:rsidRPr="00C82F43">
        <w:rPr>
          <w:rFonts w:ascii="Times New Roman" w:hAnsi="Times New Roman" w:cs="Times New Roman"/>
          <w:sz w:val="24"/>
        </w:rPr>
        <w:t>Adeola</w:t>
      </w:r>
      <w:proofErr w:type="spellEnd"/>
      <w:r w:rsidRPr="00C82F43">
        <w:rPr>
          <w:rFonts w:ascii="Times New Roman" w:hAnsi="Times New Roman" w:cs="Times New Roman"/>
          <w:sz w:val="24"/>
        </w:rPr>
        <w:t xml:space="preserve"> O, Cromwell GL et al. (2011) Concentration of dietary calcium supplied by calcium carbonate does not affect the apparent total tract digestibility of calcium, but decreases digestibility of phosphorus by growing pigs. Journal of Animal Science 89, 2139-2144.</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Fa Liao S, Sauer WC, </w:t>
      </w:r>
      <w:proofErr w:type="spellStart"/>
      <w:r w:rsidRPr="00C82F43">
        <w:rPr>
          <w:rFonts w:ascii="Times New Roman" w:hAnsi="Times New Roman" w:cs="Times New Roman"/>
          <w:sz w:val="24"/>
        </w:rPr>
        <w:t>Htoo</w:t>
      </w:r>
      <w:proofErr w:type="spellEnd"/>
      <w:r w:rsidRPr="00C82F43">
        <w:rPr>
          <w:rFonts w:ascii="Times New Roman" w:hAnsi="Times New Roman" w:cs="Times New Roman"/>
          <w:sz w:val="24"/>
        </w:rPr>
        <w:t xml:space="preserve"> JK et al. (2007) Effect of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supplementation to a high-and a low-</w:t>
      </w:r>
      <w:proofErr w:type="spellStart"/>
      <w:r w:rsidRPr="00C82F43">
        <w:rPr>
          <w:rFonts w:ascii="Times New Roman" w:hAnsi="Times New Roman" w:cs="Times New Roman"/>
          <w:sz w:val="24"/>
        </w:rPr>
        <w:t>phytate</w:t>
      </w:r>
      <w:proofErr w:type="spellEnd"/>
      <w:r w:rsidRPr="00C82F43">
        <w:rPr>
          <w:rFonts w:ascii="Times New Roman" w:hAnsi="Times New Roman" w:cs="Times New Roman"/>
          <w:sz w:val="24"/>
        </w:rPr>
        <w:t xml:space="preserve"> diet for growing pigs on the utilization of phosphorus and calcium. </w:t>
      </w:r>
      <w:proofErr w:type="spellStart"/>
      <w:r w:rsidRPr="00C82F43">
        <w:rPr>
          <w:rFonts w:ascii="Times New Roman" w:hAnsi="Times New Roman" w:cs="Times New Roman"/>
          <w:sz w:val="24"/>
        </w:rPr>
        <w:t>Interciencia</w:t>
      </w:r>
      <w:proofErr w:type="spellEnd"/>
      <w:r w:rsidRPr="00C82F43">
        <w:rPr>
          <w:rFonts w:ascii="Times New Roman" w:hAnsi="Times New Roman" w:cs="Times New Roman"/>
          <w:sz w:val="24"/>
        </w:rPr>
        <w:t xml:space="preserve"> 32.</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Fan MZ, Li TJ, Yin YL et al. (2005) Effect of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supplementation with two levels of phosphorus diets on </w:t>
      </w:r>
      <w:proofErr w:type="spellStart"/>
      <w:r w:rsidRPr="00C82F43">
        <w:rPr>
          <w:rFonts w:ascii="Times New Roman" w:hAnsi="Times New Roman" w:cs="Times New Roman"/>
          <w:sz w:val="24"/>
        </w:rPr>
        <w:t>ileal</w:t>
      </w:r>
      <w:proofErr w:type="spellEnd"/>
      <w:r w:rsidRPr="00C82F43">
        <w:rPr>
          <w:rFonts w:ascii="Times New Roman" w:hAnsi="Times New Roman" w:cs="Times New Roman"/>
          <w:sz w:val="24"/>
        </w:rPr>
        <w:t xml:space="preserve"> and faecal </w:t>
      </w:r>
      <w:proofErr w:type="spellStart"/>
      <w:r w:rsidRPr="00C82F43">
        <w:rPr>
          <w:rFonts w:ascii="Times New Roman" w:hAnsi="Times New Roman" w:cs="Times New Roman"/>
          <w:sz w:val="24"/>
        </w:rPr>
        <w:t>digestibilities</w:t>
      </w:r>
      <w:proofErr w:type="spellEnd"/>
      <w:r w:rsidRPr="00C82F43">
        <w:rPr>
          <w:rFonts w:ascii="Times New Roman" w:hAnsi="Times New Roman" w:cs="Times New Roman"/>
          <w:sz w:val="24"/>
        </w:rPr>
        <w:t xml:space="preserve"> of nutrients and phosphorus, calcium, nitrogen and energy balances in growing pigs. Animal Science 81, 67-75.</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Carter SD, Cromwell GL, Colombo G et al. (1999) Effects of porcine </w:t>
      </w:r>
      <w:proofErr w:type="spellStart"/>
      <w:r w:rsidRPr="00C82F43">
        <w:rPr>
          <w:rFonts w:ascii="Times New Roman" w:hAnsi="Times New Roman" w:cs="Times New Roman"/>
          <w:sz w:val="24"/>
        </w:rPr>
        <w:t>sometotropin</w:t>
      </w:r>
      <w:proofErr w:type="spellEnd"/>
      <w:r w:rsidRPr="00C82F43">
        <w:rPr>
          <w:rFonts w:ascii="Times New Roman" w:hAnsi="Times New Roman" w:cs="Times New Roman"/>
          <w:sz w:val="24"/>
        </w:rPr>
        <w:t xml:space="preserve"> on calcium and phosphorus balance and markers of bone metabolism in finishing pigs. Journal of animal science 77, 2163-2171.</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Li D, </w:t>
      </w:r>
      <w:proofErr w:type="spellStart"/>
      <w:r w:rsidRPr="00C82F43">
        <w:rPr>
          <w:rFonts w:ascii="Times New Roman" w:hAnsi="Times New Roman" w:cs="Times New Roman"/>
          <w:sz w:val="24"/>
        </w:rPr>
        <w:t>Che</w:t>
      </w:r>
      <w:proofErr w:type="spellEnd"/>
      <w:r w:rsidRPr="00C82F43">
        <w:rPr>
          <w:rFonts w:ascii="Times New Roman" w:hAnsi="Times New Roman" w:cs="Times New Roman"/>
          <w:sz w:val="24"/>
        </w:rPr>
        <w:t xml:space="preserve"> XR, Wang YQ et al. (1999) </w:t>
      </w:r>
      <w:proofErr w:type="gramStart"/>
      <w:r w:rsidRPr="00C82F43">
        <w:rPr>
          <w:rFonts w:ascii="Times New Roman" w:hAnsi="Times New Roman" w:cs="Times New Roman"/>
          <w:sz w:val="24"/>
        </w:rPr>
        <w:t>The</w:t>
      </w:r>
      <w:proofErr w:type="gramEnd"/>
      <w:r w:rsidRPr="00C82F43">
        <w:rPr>
          <w:rFonts w:ascii="Times New Roman" w:hAnsi="Times New Roman" w:cs="Times New Roman"/>
          <w:sz w:val="24"/>
        </w:rPr>
        <w:t xml:space="preserve"> effect of calcium level on microbial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activity and nutrient balance in swine. Asian Australasian Journal of Animal Sciences 12, 197-202.</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Meidinger</w:t>
      </w:r>
      <w:proofErr w:type="spellEnd"/>
      <w:r w:rsidRPr="00C82F43">
        <w:rPr>
          <w:rFonts w:ascii="Times New Roman" w:hAnsi="Times New Roman" w:cs="Times New Roman"/>
          <w:sz w:val="24"/>
        </w:rPr>
        <w:t xml:space="preserve"> RG, </w:t>
      </w:r>
      <w:proofErr w:type="spellStart"/>
      <w:r w:rsidRPr="00C82F43">
        <w:rPr>
          <w:rFonts w:ascii="Times New Roman" w:hAnsi="Times New Roman" w:cs="Times New Roman"/>
          <w:sz w:val="24"/>
        </w:rPr>
        <w:t>Ajakaiye</w:t>
      </w:r>
      <w:proofErr w:type="spellEnd"/>
      <w:r w:rsidRPr="00C82F43">
        <w:rPr>
          <w:rFonts w:ascii="Times New Roman" w:hAnsi="Times New Roman" w:cs="Times New Roman"/>
          <w:sz w:val="24"/>
        </w:rPr>
        <w:t xml:space="preserve"> A, Fan MZ et al. (2013) Digestive utilization of phosphorus from plant-based diets in the Cassie line of transgenic Yorkshire pigs that secrete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in the saliva. Journal of animal science 91, 1307-1320.</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Poulsen</w:t>
      </w:r>
      <w:proofErr w:type="spellEnd"/>
      <w:r w:rsidRPr="00C82F43">
        <w:rPr>
          <w:rFonts w:ascii="Times New Roman" w:hAnsi="Times New Roman" w:cs="Times New Roman"/>
          <w:sz w:val="24"/>
        </w:rPr>
        <w:t xml:space="preserve"> HD, Carlson D, </w:t>
      </w:r>
      <w:proofErr w:type="spellStart"/>
      <w:r w:rsidRPr="00C82F43">
        <w:rPr>
          <w:rFonts w:ascii="Times New Roman" w:hAnsi="Times New Roman" w:cs="Times New Roman"/>
          <w:sz w:val="24"/>
        </w:rPr>
        <w:t>Nørgaard</w:t>
      </w:r>
      <w:proofErr w:type="spellEnd"/>
      <w:r w:rsidRPr="00C82F43">
        <w:rPr>
          <w:rFonts w:ascii="Times New Roman" w:hAnsi="Times New Roman" w:cs="Times New Roman"/>
          <w:sz w:val="24"/>
        </w:rPr>
        <w:t xml:space="preserve"> JV et al. (2010) Phosphorus digestibility is highly influenced by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but slightly by calcium in growing pigs. Livestock Science 134, 100-102.</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Nørgaard</w:t>
      </w:r>
      <w:proofErr w:type="spellEnd"/>
      <w:r w:rsidRPr="00C82F43">
        <w:rPr>
          <w:rFonts w:ascii="Times New Roman" w:hAnsi="Times New Roman" w:cs="Times New Roman"/>
          <w:sz w:val="24"/>
        </w:rPr>
        <w:t xml:space="preserve"> JV, </w:t>
      </w:r>
      <w:proofErr w:type="spellStart"/>
      <w:r w:rsidRPr="00C82F43">
        <w:rPr>
          <w:rFonts w:ascii="Times New Roman" w:hAnsi="Times New Roman" w:cs="Times New Roman"/>
          <w:sz w:val="24"/>
        </w:rPr>
        <w:t>Fernández</w:t>
      </w:r>
      <w:proofErr w:type="spellEnd"/>
      <w:r w:rsidRPr="00C82F43">
        <w:rPr>
          <w:rFonts w:ascii="Times New Roman" w:hAnsi="Times New Roman" w:cs="Times New Roman"/>
          <w:sz w:val="24"/>
        </w:rPr>
        <w:t xml:space="preserve"> JA, </w:t>
      </w:r>
      <w:proofErr w:type="spellStart"/>
      <w:r w:rsidRPr="00C82F43">
        <w:rPr>
          <w:rFonts w:ascii="Times New Roman" w:hAnsi="Times New Roman" w:cs="Times New Roman"/>
          <w:sz w:val="24"/>
        </w:rPr>
        <w:t>Eriksen</w:t>
      </w:r>
      <w:proofErr w:type="spellEnd"/>
      <w:r w:rsidRPr="00C82F43">
        <w:rPr>
          <w:rFonts w:ascii="Times New Roman" w:hAnsi="Times New Roman" w:cs="Times New Roman"/>
          <w:sz w:val="24"/>
        </w:rPr>
        <w:t xml:space="preserve"> J et al. (2010) Urine acidification and mineral metabolism in growing pigs fed diets supplemented with dietary methionine and benzoic acid. Livestock Science 134, 113-115.</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Stein HH, </w:t>
      </w:r>
      <w:proofErr w:type="spellStart"/>
      <w:r w:rsidRPr="00C82F43">
        <w:rPr>
          <w:rFonts w:ascii="Times New Roman" w:hAnsi="Times New Roman" w:cs="Times New Roman"/>
          <w:sz w:val="24"/>
        </w:rPr>
        <w:t>Kadzere</w:t>
      </w:r>
      <w:proofErr w:type="spellEnd"/>
      <w:r w:rsidRPr="00C82F43">
        <w:rPr>
          <w:rFonts w:ascii="Times New Roman" w:hAnsi="Times New Roman" w:cs="Times New Roman"/>
          <w:sz w:val="24"/>
        </w:rPr>
        <w:t xml:space="preserve"> CT, Kim SW et al. (2008) Influence of dietary phosphorus concentration on the digestibility of phosphorus in </w:t>
      </w:r>
      <w:proofErr w:type="spellStart"/>
      <w:r w:rsidRPr="00C82F43">
        <w:rPr>
          <w:rFonts w:ascii="Times New Roman" w:hAnsi="Times New Roman" w:cs="Times New Roman"/>
          <w:sz w:val="24"/>
        </w:rPr>
        <w:t>monocalcium</w:t>
      </w:r>
      <w:proofErr w:type="spellEnd"/>
      <w:r w:rsidRPr="00C82F43">
        <w:rPr>
          <w:rFonts w:ascii="Times New Roman" w:hAnsi="Times New Roman" w:cs="Times New Roman"/>
          <w:sz w:val="24"/>
        </w:rPr>
        <w:t xml:space="preserve"> phosphate by growing pigs. Journal of animal science 86, 1861-1867.</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Pointillart</w:t>
      </w:r>
      <w:proofErr w:type="spellEnd"/>
      <w:r w:rsidRPr="00C82F43">
        <w:rPr>
          <w:rFonts w:ascii="Times New Roman" w:hAnsi="Times New Roman" w:cs="Times New Roman"/>
          <w:sz w:val="24"/>
        </w:rPr>
        <w:t xml:space="preserve"> A, Colin C, Lacroix HC et al. (1995) Mineral bioavailability and bone mineral contents in pigs given calcium carbonate </w:t>
      </w:r>
      <w:proofErr w:type="spellStart"/>
      <w:r w:rsidRPr="00C82F43">
        <w:rPr>
          <w:rFonts w:ascii="Times New Roman" w:hAnsi="Times New Roman" w:cs="Times New Roman"/>
          <w:sz w:val="24"/>
        </w:rPr>
        <w:t>postprandially</w:t>
      </w:r>
      <w:proofErr w:type="spellEnd"/>
      <w:r w:rsidRPr="00C82F43">
        <w:rPr>
          <w:rFonts w:ascii="Times New Roman" w:hAnsi="Times New Roman" w:cs="Times New Roman"/>
          <w:sz w:val="24"/>
        </w:rPr>
        <w:t>. Bone 17, 357-362.</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O’Doherty</w:t>
      </w:r>
      <w:proofErr w:type="spellEnd"/>
      <w:r w:rsidRPr="00C82F43">
        <w:rPr>
          <w:rFonts w:ascii="Times New Roman" w:hAnsi="Times New Roman" w:cs="Times New Roman"/>
          <w:sz w:val="24"/>
        </w:rPr>
        <w:t xml:space="preserve"> JV, Gahan DA, O’Shea C et al. (2010) Effects of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and 25-hydroxyvitamin D 3 inclusions on the performance, mineral balance and bone parameters of grower–finisher pigs fed low-phosphorus diets. </w:t>
      </w:r>
      <w:proofErr w:type="gramStart"/>
      <w:r w:rsidRPr="00C82F43">
        <w:rPr>
          <w:rFonts w:ascii="Times New Roman" w:hAnsi="Times New Roman" w:cs="Times New Roman"/>
          <w:sz w:val="24"/>
        </w:rPr>
        <w:t>animal</w:t>
      </w:r>
      <w:proofErr w:type="gramEnd"/>
      <w:r w:rsidRPr="00C82F43">
        <w:rPr>
          <w:rFonts w:ascii="Times New Roman" w:hAnsi="Times New Roman" w:cs="Times New Roman"/>
          <w:sz w:val="24"/>
        </w:rPr>
        <w:t xml:space="preserve"> 4, 1634-1640.</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Merriman LA, Stein HH (2016) Particle size of calcium carbonate does not affect apparent and standardized total tract digestibility of calcium, retention of calcium, or growth performance of growing pigs. Journal of animal science 94, 3844-3850.</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Blaabjerg</w:t>
      </w:r>
      <w:proofErr w:type="spellEnd"/>
      <w:r w:rsidRPr="00C82F43">
        <w:rPr>
          <w:rFonts w:ascii="Times New Roman" w:hAnsi="Times New Roman" w:cs="Times New Roman"/>
          <w:sz w:val="24"/>
        </w:rPr>
        <w:t xml:space="preserve"> K, </w:t>
      </w:r>
      <w:proofErr w:type="spellStart"/>
      <w:r w:rsidRPr="00C82F43">
        <w:rPr>
          <w:rFonts w:ascii="Times New Roman" w:hAnsi="Times New Roman" w:cs="Times New Roman"/>
          <w:sz w:val="24"/>
        </w:rPr>
        <w:t>Thomassen</w:t>
      </w:r>
      <w:proofErr w:type="spellEnd"/>
      <w:r w:rsidRPr="00C82F43">
        <w:rPr>
          <w:rFonts w:ascii="Times New Roman" w:hAnsi="Times New Roman" w:cs="Times New Roman"/>
          <w:sz w:val="24"/>
        </w:rPr>
        <w:t xml:space="preserve"> AM, </w:t>
      </w:r>
      <w:proofErr w:type="spellStart"/>
      <w:r w:rsidRPr="00C82F43">
        <w:rPr>
          <w:rFonts w:ascii="Times New Roman" w:hAnsi="Times New Roman" w:cs="Times New Roman"/>
          <w:sz w:val="24"/>
        </w:rPr>
        <w:t>Poulsen</w:t>
      </w:r>
      <w:proofErr w:type="spellEnd"/>
      <w:r w:rsidRPr="00C82F43">
        <w:rPr>
          <w:rFonts w:ascii="Times New Roman" w:hAnsi="Times New Roman" w:cs="Times New Roman"/>
          <w:sz w:val="24"/>
        </w:rPr>
        <w:t xml:space="preserve"> HD (2015) Microbial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addition resulted in a greater increase in phosphorus digestibility in dry-fed compared with liquid-fed non-heat-treated wheat–barley–maize diets for pigs. </w:t>
      </w:r>
      <w:proofErr w:type="gramStart"/>
      <w:r w:rsidRPr="00C82F43">
        <w:rPr>
          <w:rFonts w:ascii="Times New Roman" w:hAnsi="Times New Roman" w:cs="Times New Roman"/>
          <w:sz w:val="24"/>
        </w:rPr>
        <w:t>animal</w:t>
      </w:r>
      <w:proofErr w:type="gramEnd"/>
      <w:r w:rsidRPr="00C82F43">
        <w:rPr>
          <w:rFonts w:ascii="Times New Roman" w:hAnsi="Times New Roman" w:cs="Times New Roman"/>
          <w:sz w:val="24"/>
        </w:rPr>
        <w:t xml:space="preserve"> 9, 243-248.</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Kraler</w:t>
      </w:r>
      <w:proofErr w:type="spellEnd"/>
      <w:r w:rsidRPr="00C82F43">
        <w:rPr>
          <w:rFonts w:ascii="Times New Roman" w:hAnsi="Times New Roman" w:cs="Times New Roman"/>
          <w:sz w:val="24"/>
        </w:rPr>
        <w:t xml:space="preserve"> M, </w:t>
      </w:r>
      <w:proofErr w:type="spellStart"/>
      <w:r w:rsidRPr="00C82F43">
        <w:rPr>
          <w:rFonts w:ascii="Times New Roman" w:hAnsi="Times New Roman" w:cs="Times New Roman"/>
          <w:sz w:val="24"/>
        </w:rPr>
        <w:t>Schedle</w:t>
      </w:r>
      <w:proofErr w:type="spellEnd"/>
      <w:r w:rsidRPr="00C82F43">
        <w:rPr>
          <w:rFonts w:ascii="Times New Roman" w:hAnsi="Times New Roman" w:cs="Times New Roman"/>
          <w:sz w:val="24"/>
        </w:rPr>
        <w:t xml:space="preserve"> K, </w:t>
      </w:r>
      <w:proofErr w:type="spellStart"/>
      <w:r w:rsidRPr="00C82F43">
        <w:rPr>
          <w:rFonts w:ascii="Times New Roman" w:hAnsi="Times New Roman" w:cs="Times New Roman"/>
          <w:sz w:val="24"/>
        </w:rPr>
        <w:t>Domig</w:t>
      </w:r>
      <w:proofErr w:type="spellEnd"/>
      <w:r w:rsidRPr="00C82F43">
        <w:rPr>
          <w:rFonts w:ascii="Times New Roman" w:hAnsi="Times New Roman" w:cs="Times New Roman"/>
          <w:sz w:val="24"/>
        </w:rPr>
        <w:t xml:space="preserve"> KJ et al. (2014) Effects of fermented and extruded wheat bran on total tract apparent digestibility of nutrients, minerals and energy in growing pigs. Animal Feed Science and Technology 197, 121-129.</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Létourneau-Montminy</w:t>
      </w:r>
      <w:proofErr w:type="spellEnd"/>
      <w:r w:rsidRPr="00C82F43">
        <w:rPr>
          <w:rFonts w:ascii="Times New Roman" w:hAnsi="Times New Roman" w:cs="Times New Roman"/>
          <w:sz w:val="24"/>
        </w:rPr>
        <w:t xml:space="preserve"> MP, </w:t>
      </w:r>
      <w:proofErr w:type="spellStart"/>
      <w:r w:rsidRPr="00C82F43">
        <w:rPr>
          <w:rFonts w:ascii="Times New Roman" w:hAnsi="Times New Roman" w:cs="Times New Roman"/>
          <w:sz w:val="24"/>
        </w:rPr>
        <w:t>Lovatto</w:t>
      </w:r>
      <w:proofErr w:type="spellEnd"/>
      <w:r w:rsidRPr="00C82F43">
        <w:rPr>
          <w:rFonts w:ascii="Times New Roman" w:hAnsi="Times New Roman" w:cs="Times New Roman"/>
          <w:sz w:val="24"/>
        </w:rPr>
        <w:t xml:space="preserve"> PA, </w:t>
      </w:r>
      <w:proofErr w:type="spellStart"/>
      <w:r w:rsidRPr="00C82F43">
        <w:rPr>
          <w:rFonts w:ascii="Times New Roman" w:hAnsi="Times New Roman" w:cs="Times New Roman"/>
          <w:sz w:val="24"/>
        </w:rPr>
        <w:t>Pomar</w:t>
      </w:r>
      <w:proofErr w:type="spellEnd"/>
      <w:r w:rsidRPr="00C82F43">
        <w:rPr>
          <w:rFonts w:ascii="Times New Roman" w:hAnsi="Times New Roman" w:cs="Times New Roman"/>
          <w:sz w:val="24"/>
        </w:rPr>
        <w:t xml:space="preserve"> C (2014) </w:t>
      </w:r>
      <w:proofErr w:type="gramStart"/>
      <w:r w:rsidRPr="00C82F43">
        <w:rPr>
          <w:rFonts w:ascii="Times New Roman" w:hAnsi="Times New Roman" w:cs="Times New Roman"/>
          <w:sz w:val="24"/>
        </w:rPr>
        <w:t>Apparent</w:t>
      </w:r>
      <w:proofErr w:type="gramEnd"/>
      <w:r w:rsidRPr="00C82F43">
        <w:rPr>
          <w:rFonts w:ascii="Times New Roman" w:hAnsi="Times New Roman" w:cs="Times New Roman"/>
          <w:sz w:val="24"/>
        </w:rPr>
        <w:t xml:space="preserve"> total tract digestibility of dietary calcium and phosphorus and their efficiency in bone mineral retention are affected by body mineral status in growing pigs. Journal of animal science 92, 3914-3924.</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Liu Y, Ma YL, Zhao JM et al. (2014) Digestibility and retention of zinc, copper, manganese, iron, calcium, and phosphorus in pigs fed diets containing inorganic or organic minerals. Journal of animal science 92, 3407-3415.</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Blaabjerg</w:t>
      </w:r>
      <w:proofErr w:type="spellEnd"/>
      <w:r w:rsidRPr="00C82F43">
        <w:rPr>
          <w:rFonts w:ascii="Times New Roman" w:hAnsi="Times New Roman" w:cs="Times New Roman"/>
          <w:sz w:val="24"/>
        </w:rPr>
        <w:t xml:space="preserve"> K, </w:t>
      </w:r>
      <w:proofErr w:type="spellStart"/>
      <w:r w:rsidRPr="00C82F43">
        <w:rPr>
          <w:rFonts w:ascii="Times New Roman" w:hAnsi="Times New Roman" w:cs="Times New Roman"/>
          <w:sz w:val="24"/>
        </w:rPr>
        <w:t>Nørgaard</w:t>
      </w:r>
      <w:proofErr w:type="spellEnd"/>
      <w:r w:rsidRPr="00C82F43">
        <w:rPr>
          <w:rFonts w:ascii="Times New Roman" w:hAnsi="Times New Roman" w:cs="Times New Roman"/>
          <w:sz w:val="24"/>
        </w:rPr>
        <w:t xml:space="preserve"> JV, </w:t>
      </w:r>
      <w:proofErr w:type="spellStart"/>
      <w:r w:rsidRPr="00C82F43">
        <w:rPr>
          <w:rFonts w:ascii="Times New Roman" w:hAnsi="Times New Roman" w:cs="Times New Roman"/>
          <w:sz w:val="24"/>
        </w:rPr>
        <w:t>Poulsen</w:t>
      </w:r>
      <w:proofErr w:type="spellEnd"/>
      <w:r w:rsidRPr="00C82F43">
        <w:rPr>
          <w:rFonts w:ascii="Times New Roman" w:hAnsi="Times New Roman" w:cs="Times New Roman"/>
          <w:sz w:val="24"/>
        </w:rPr>
        <w:t xml:space="preserve"> HD (2012) Effect of microbial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on phosphorus digestibility in non-heat-treated and heat-treated wheat–barley pig diets. Journal of animal science 90, 206-208.</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Jolliff</w:t>
      </w:r>
      <w:proofErr w:type="spellEnd"/>
      <w:r w:rsidRPr="00C82F43">
        <w:rPr>
          <w:rFonts w:ascii="Times New Roman" w:hAnsi="Times New Roman" w:cs="Times New Roman"/>
          <w:sz w:val="24"/>
        </w:rPr>
        <w:t xml:space="preserve"> JS, Mahan DC (2012) Effect of dietary inulin and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on mineral digestibility and tissue retention in weanling and growing swine. Journal of animal science 90, 3012-3022.</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Almeida FN, Stein HH (2010) Performance and phosphorus balance of pigs fed diets formulated on the basis of values for standardized total tract digestibility of phosphorus. Journal of animal science 88, 2968-2977.</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Sauer W, Cervantes M, Yanez J et al. (2009) Effect of dietary inclusion of benzoic acid on mineral balance in growing pigs. Livestock Science 122, 162-168.</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Pomar</w:t>
      </w:r>
      <w:proofErr w:type="spellEnd"/>
      <w:r w:rsidRPr="00C82F43">
        <w:rPr>
          <w:rFonts w:ascii="Times New Roman" w:hAnsi="Times New Roman" w:cs="Times New Roman"/>
          <w:sz w:val="24"/>
        </w:rPr>
        <w:t xml:space="preserve"> C, Gagne F, Matte JJ et al. (2008) </w:t>
      </w:r>
      <w:proofErr w:type="gramStart"/>
      <w:r w:rsidRPr="00C82F43">
        <w:rPr>
          <w:rFonts w:ascii="Times New Roman" w:hAnsi="Times New Roman" w:cs="Times New Roman"/>
          <w:sz w:val="24"/>
        </w:rPr>
        <w:t>The</w:t>
      </w:r>
      <w:proofErr w:type="gramEnd"/>
      <w:r w:rsidRPr="00C82F43">
        <w:rPr>
          <w:rFonts w:ascii="Times New Roman" w:hAnsi="Times New Roman" w:cs="Times New Roman"/>
          <w:sz w:val="24"/>
        </w:rPr>
        <w:t xml:space="preserve"> effect of microbial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on true and apparent </w:t>
      </w:r>
      <w:proofErr w:type="spellStart"/>
      <w:r w:rsidRPr="00C82F43">
        <w:rPr>
          <w:rFonts w:ascii="Times New Roman" w:hAnsi="Times New Roman" w:cs="Times New Roman"/>
          <w:sz w:val="24"/>
        </w:rPr>
        <w:t>ileal</w:t>
      </w:r>
      <w:proofErr w:type="spellEnd"/>
      <w:r w:rsidRPr="00C82F43">
        <w:rPr>
          <w:rFonts w:ascii="Times New Roman" w:hAnsi="Times New Roman" w:cs="Times New Roman"/>
          <w:sz w:val="24"/>
        </w:rPr>
        <w:t xml:space="preserve"> amino acid </w:t>
      </w:r>
      <w:proofErr w:type="spellStart"/>
      <w:r w:rsidRPr="00C82F43">
        <w:rPr>
          <w:rFonts w:ascii="Times New Roman" w:hAnsi="Times New Roman" w:cs="Times New Roman"/>
          <w:sz w:val="24"/>
        </w:rPr>
        <w:t>digestibilities</w:t>
      </w:r>
      <w:proofErr w:type="spellEnd"/>
      <w:r w:rsidRPr="00C82F43">
        <w:rPr>
          <w:rFonts w:ascii="Times New Roman" w:hAnsi="Times New Roman" w:cs="Times New Roman"/>
          <w:sz w:val="24"/>
        </w:rPr>
        <w:t xml:space="preserve"> in growing-finishing pigs. Journal of animal science 86, 1598-1608.</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Salobir</w:t>
      </w:r>
      <w:proofErr w:type="spellEnd"/>
      <w:r w:rsidRPr="00C82F43">
        <w:rPr>
          <w:rFonts w:ascii="Times New Roman" w:hAnsi="Times New Roman" w:cs="Times New Roman"/>
          <w:sz w:val="24"/>
        </w:rPr>
        <w:t xml:space="preserve"> J, </w:t>
      </w:r>
      <w:proofErr w:type="spellStart"/>
      <w:r w:rsidRPr="00C82F43">
        <w:rPr>
          <w:rFonts w:ascii="Times New Roman" w:hAnsi="Times New Roman" w:cs="Times New Roman"/>
          <w:sz w:val="24"/>
        </w:rPr>
        <w:t>Kostanjevec</w:t>
      </w:r>
      <w:proofErr w:type="spellEnd"/>
      <w:r w:rsidRPr="00C82F43">
        <w:rPr>
          <w:rFonts w:ascii="Times New Roman" w:hAnsi="Times New Roman" w:cs="Times New Roman"/>
          <w:sz w:val="24"/>
        </w:rPr>
        <w:t xml:space="preserve"> B, </w:t>
      </w:r>
      <w:proofErr w:type="spellStart"/>
      <w:r w:rsidRPr="00C82F43">
        <w:rPr>
          <w:rFonts w:ascii="Times New Roman" w:hAnsi="Times New Roman" w:cs="Times New Roman"/>
          <w:sz w:val="24"/>
        </w:rPr>
        <w:t>Štruklec</w:t>
      </w:r>
      <w:proofErr w:type="spellEnd"/>
      <w:r w:rsidRPr="00C82F43">
        <w:rPr>
          <w:rFonts w:ascii="Times New Roman" w:hAnsi="Times New Roman" w:cs="Times New Roman"/>
          <w:sz w:val="24"/>
        </w:rPr>
        <w:t xml:space="preserve"> M et al. (2005) Tannins reduce protein but not phosphorus utilization of diet with added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in pigs. Journal of Animal and Feed Sciences 14.</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Sauer WC, Cervantes M, He JM et al. (2003) Effect of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supplementation to barley-canola meal and barley-soybean meal diets on phosphorus and calcium balance in growing pigs. </w:t>
      </w:r>
      <w:proofErr w:type="spellStart"/>
      <w:r w:rsidRPr="00C82F43">
        <w:rPr>
          <w:rFonts w:ascii="Times New Roman" w:hAnsi="Times New Roman" w:cs="Times New Roman"/>
          <w:sz w:val="24"/>
        </w:rPr>
        <w:t>Interciencia</w:t>
      </w:r>
      <w:proofErr w:type="spellEnd"/>
      <w:r w:rsidRPr="00C82F43">
        <w:rPr>
          <w:rFonts w:ascii="Times New Roman" w:hAnsi="Times New Roman" w:cs="Times New Roman"/>
          <w:sz w:val="24"/>
        </w:rPr>
        <w:t xml:space="preserve"> 28.</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Veum</w:t>
      </w:r>
      <w:proofErr w:type="spellEnd"/>
      <w:r w:rsidRPr="00C82F43">
        <w:rPr>
          <w:rFonts w:ascii="Times New Roman" w:hAnsi="Times New Roman" w:cs="Times New Roman"/>
          <w:sz w:val="24"/>
        </w:rPr>
        <w:t xml:space="preserve"> TL, </w:t>
      </w:r>
      <w:proofErr w:type="spellStart"/>
      <w:r w:rsidRPr="00C82F43">
        <w:rPr>
          <w:rFonts w:ascii="Times New Roman" w:hAnsi="Times New Roman" w:cs="Times New Roman"/>
          <w:sz w:val="24"/>
        </w:rPr>
        <w:t>Ledoux</w:t>
      </w:r>
      <w:proofErr w:type="spellEnd"/>
      <w:r w:rsidRPr="00C82F43">
        <w:rPr>
          <w:rFonts w:ascii="Times New Roman" w:hAnsi="Times New Roman" w:cs="Times New Roman"/>
          <w:sz w:val="24"/>
        </w:rPr>
        <w:t xml:space="preserve"> DR, </w:t>
      </w:r>
      <w:proofErr w:type="spellStart"/>
      <w:r w:rsidRPr="00C82F43">
        <w:rPr>
          <w:rFonts w:ascii="Times New Roman" w:hAnsi="Times New Roman" w:cs="Times New Roman"/>
          <w:sz w:val="24"/>
        </w:rPr>
        <w:t>Raboy</w:t>
      </w:r>
      <w:proofErr w:type="spellEnd"/>
      <w:r w:rsidRPr="00C82F43">
        <w:rPr>
          <w:rFonts w:ascii="Times New Roman" w:hAnsi="Times New Roman" w:cs="Times New Roman"/>
          <w:sz w:val="24"/>
        </w:rPr>
        <w:t xml:space="preserve"> V et al. (2001) Low-</w:t>
      </w:r>
      <w:proofErr w:type="spellStart"/>
      <w:r w:rsidRPr="00C82F43">
        <w:rPr>
          <w:rFonts w:ascii="Times New Roman" w:hAnsi="Times New Roman" w:cs="Times New Roman"/>
          <w:sz w:val="24"/>
        </w:rPr>
        <w:t>phytic</w:t>
      </w:r>
      <w:proofErr w:type="spellEnd"/>
      <w:r w:rsidRPr="00C82F43">
        <w:rPr>
          <w:rFonts w:ascii="Times New Roman" w:hAnsi="Times New Roman" w:cs="Times New Roman"/>
          <w:sz w:val="24"/>
        </w:rPr>
        <w:t xml:space="preserve"> acid corn improves nutrient utilization for growing pigs. Journal of animal science 79, 2873-2880.</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Veum</w:t>
      </w:r>
      <w:proofErr w:type="spellEnd"/>
      <w:r w:rsidRPr="00C82F43">
        <w:rPr>
          <w:rFonts w:ascii="Times New Roman" w:hAnsi="Times New Roman" w:cs="Times New Roman"/>
          <w:sz w:val="24"/>
        </w:rPr>
        <w:t xml:space="preserve"> TL, </w:t>
      </w:r>
      <w:proofErr w:type="spellStart"/>
      <w:r w:rsidRPr="00C82F43">
        <w:rPr>
          <w:rFonts w:ascii="Times New Roman" w:hAnsi="Times New Roman" w:cs="Times New Roman"/>
          <w:sz w:val="24"/>
        </w:rPr>
        <w:t>Ledoux</w:t>
      </w:r>
      <w:proofErr w:type="spellEnd"/>
      <w:r w:rsidRPr="00C82F43">
        <w:rPr>
          <w:rFonts w:ascii="Times New Roman" w:hAnsi="Times New Roman" w:cs="Times New Roman"/>
          <w:sz w:val="24"/>
        </w:rPr>
        <w:t xml:space="preserve"> DR, Bollinger DW et al. (2002) Low-</w:t>
      </w:r>
      <w:proofErr w:type="spellStart"/>
      <w:r w:rsidRPr="00C82F43">
        <w:rPr>
          <w:rFonts w:ascii="Times New Roman" w:hAnsi="Times New Roman" w:cs="Times New Roman"/>
          <w:sz w:val="24"/>
        </w:rPr>
        <w:t>phytic</w:t>
      </w:r>
      <w:proofErr w:type="spellEnd"/>
      <w:r w:rsidRPr="00C82F43">
        <w:rPr>
          <w:rFonts w:ascii="Times New Roman" w:hAnsi="Times New Roman" w:cs="Times New Roman"/>
          <w:sz w:val="24"/>
        </w:rPr>
        <w:t xml:space="preserve"> acid barley improves calcium and phosphorus utilization and growth performance in growing pigs. Journal of animal science 80, 2663-2670.</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Larsen T, </w:t>
      </w:r>
      <w:proofErr w:type="spellStart"/>
      <w:r w:rsidRPr="00C82F43">
        <w:rPr>
          <w:rFonts w:ascii="Times New Roman" w:hAnsi="Times New Roman" w:cs="Times New Roman"/>
          <w:sz w:val="24"/>
        </w:rPr>
        <w:t>Skoglund</w:t>
      </w:r>
      <w:proofErr w:type="spellEnd"/>
      <w:r w:rsidRPr="00C82F43">
        <w:rPr>
          <w:rFonts w:ascii="Times New Roman" w:hAnsi="Times New Roman" w:cs="Times New Roman"/>
          <w:sz w:val="24"/>
        </w:rPr>
        <w:t xml:space="preserve"> E, Sandberg A-S et al. (1999) Soaking and pelleting of pig diets alters the apparent absorption and retention of minerals. Canadian Journal of Animal Science 79, 477-483.</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Han YM, Yang F, Zhou AG et al. (1997) Supplemental </w:t>
      </w:r>
      <w:proofErr w:type="spellStart"/>
      <w:r w:rsidRPr="00C82F43">
        <w:rPr>
          <w:rFonts w:ascii="Times New Roman" w:hAnsi="Times New Roman" w:cs="Times New Roman"/>
          <w:sz w:val="24"/>
        </w:rPr>
        <w:t>phytases</w:t>
      </w:r>
      <w:proofErr w:type="spellEnd"/>
      <w:r w:rsidRPr="00C82F43">
        <w:rPr>
          <w:rFonts w:ascii="Times New Roman" w:hAnsi="Times New Roman" w:cs="Times New Roman"/>
          <w:sz w:val="24"/>
        </w:rPr>
        <w:t xml:space="preserve"> of microbial and cereal sources improve dietary </w:t>
      </w:r>
      <w:proofErr w:type="spellStart"/>
      <w:r w:rsidRPr="00C82F43">
        <w:rPr>
          <w:rFonts w:ascii="Times New Roman" w:hAnsi="Times New Roman" w:cs="Times New Roman"/>
          <w:sz w:val="24"/>
        </w:rPr>
        <w:t>phytate</w:t>
      </w:r>
      <w:proofErr w:type="spellEnd"/>
      <w:r w:rsidRPr="00C82F43">
        <w:rPr>
          <w:rFonts w:ascii="Times New Roman" w:hAnsi="Times New Roman" w:cs="Times New Roman"/>
          <w:sz w:val="24"/>
        </w:rPr>
        <w:t xml:space="preserve"> phosphorus utilization by pigs from weaning through finishing. Journal of Animal Science 75, 1017-1025.</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Näsi</w:t>
      </w:r>
      <w:proofErr w:type="spellEnd"/>
      <w:r w:rsidRPr="00C82F43">
        <w:rPr>
          <w:rFonts w:ascii="Times New Roman" w:hAnsi="Times New Roman" w:cs="Times New Roman"/>
          <w:sz w:val="24"/>
        </w:rPr>
        <w:t xml:space="preserve"> JM, </w:t>
      </w:r>
      <w:proofErr w:type="spellStart"/>
      <w:r w:rsidRPr="00C82F43">
        <w:rPr>
          <w:rFonts w:ascii="Times New Roman" w:hAnsi="Times New Roman" w:cs="Times New Roman"/>
          <w:sz w:val="24"/>
        </w:rPr>
        <w:t>Helander</w:t>
      </w:r>
      <w:proofErr w:type="spellEnd"/>
      <w:r w:rsidRPr="00C82F43">
        <w:rPr>
          <w:rFonts w:ascii="Times New Roman" w:hAnsi="Times New Roman" w:cs="Times New Roman"/>
          <w:sz w:val="24"/>
        </w:rPr>
        <w:t xml:space="preserve"> EH, </w:t>
      </w:r>
      <w:proofErr w:type="spellStart"/>
      <w:r w:rsidRPr="00C82F43">
        <w:rPr>
          <w:rFonts w:ascii="Times New Roman" w:hAnsi="Times New Roman" w:cs="Times New Roman"/>
          <w:sz w:val="24"/>
        </w:rPr>
        <w:t>Partanen</w:t>
      </w:r>
      <w:proofErr w:type="spellEnd"/>
      <w:r w:rsidRPr="00C82F43">
        <w:rPr>
          <w:rFonts w:ascii="Times New Roman" w:hAnsi="Times New Roman" w:cs="Times New Roman"/>
          <w:sz w:val="24"/>
        </w:rPr>
        <w:t xml:space="preserve"> KH (1995) Availability for growing pigs of minerals and protein of a high </w:t>
      </w:r>
      <w:proofErr w:type="spellStart"/>
      <w:r w:rsidRPr="00C82F43">
        <w:rPr>
          <w:rFonts w:ascii="Times New Roman" w:hAnsi="Times New Roman" w:cs="Times New Roman"/>
          <w:sz w:val="24"/>
        </w:rPr>
        <w:t>phytate</w:t>
      </w:r>
      <w:proofErr w:type="spellEnd"/>
      <w:r w:rsidRPr="00C82F43">
        <w:rPr>
          <w:rFonts w:ascii="Times New Roman" w:hAnsi="Times New Roman" w:cs="Times New Roman"/>
          <w:sz w:val="24"/>
        </w:rPr>
        <w:t xml:space="preserve"> barley-rapeseed meal diet treated with Aspergillus </w:t>
      </w:r>
      <w:proofErr w:type="spellStart"/>
      <w:proofErr w:type="gramStart"/>
      <w:r w:rsidRPr="00C82F43">
        <w:rPr>
          <w:rFonts w:ascii="Times New Roman" w:hAnsi="Times New Roman" w:cs="Times New Roman"/>
          <w:sz w:val="24"/>
        </w:rPr>
        <w:t>niger</w:t>
      </w:r>
      <w:proofErr w:type="spellEnd"/>
      <w:proofErr w:type="gramEnd"/>
      <w:r w:rsidRPr="00C82F43">
        <w:rPr>
          <w:rFonts w:ascii="Times New Roman" w:hAnsi="Times New Roman" w:cs="Times New Roman"/>
          <w:sz w:val="24"/>
        </w:rPr>
        <w:t xml:space="preserve">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or soaked with whey. Animal Feed Science and Technology 56, 83-98.</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Jang YD, Wilcock P, Boyd RD et al. (2016) Effect of xylanase supplementation of a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-supplemented diet on apparent total tract digestibility in pigs. Journal of Animal Science 94, 260-263.</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González-Vega JC, Liu Y, McCann JC et al. (2016) Requirement for digestible calcium by eleven-to twenty-five–kilogram pigs as determined by growth performance, bone ash concentration, calcium and phosphorus balances, and expression of genes involved in transport of calcium in intestinal and kidney cells. Journal of animal science 94, 3321-3334.</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Adhikari</w:t>
      </w:r>
      <w:proofErr w:type="spellEnd"/>
      <w:r w:rsidRPr="00C82F43">
        <w:rPr>
          <w:rFonts w:ascii="Times New Roman" w:hAnsi="Times New Roman" w:cs="Times New Roman"/>
          <w:sz w:val="24"/>
        </w:rPr>
        <w:t xml:space="preserve"> PA, </w:t>
      </w:r>
      <w:proofErr w:type="spellStart"/>
      <w:r w:rsidRPr="00C82F43">
        <w:rPr>
          <w:rFonts w:ascii="Times New Roman" w:hAnsi="Times New Roman" w:cs="Times New Roman"/>
          <w:sz w:val="24"/>
        </w:rPr>
        <w:t>Heo</w:t>
      </w:r>
      <w:proofErr w:type="spellEnd"/>
      <w:r w:rsidRPr="00C82F43">
        <w:rPr>
          <w:rFonts w:ascii="Times New Roman" w:hAnsi="Times New Roman" w:cs="Times New Roman"/>
          <w:sz w:val="24"/>
        </w:rPr>
        <w:t xml:space="preserve"> JM, </w:t>
      </w:r>
      <w:proofErr w:type="spellStart"/>
      <w:r w:rsidRPr="00C82F43">
        <w:rPr>
          <w:rFonts w:ascii="Times New Roman" w:hAnsi="Times New Roman" w:cs="Times New Roman"/>
          <w:sz w:val="24"/>
        </w:rPr>
        <w:t>Nyachoti</w:t>
      </w:r>
      <w:proofErr w:type="spellEnd"/>
      <w:r w:rsidRPr="00C82F43">
        <w:rPr>
          <w:rFonts w:ascii="Times New Roman" w:hAnsi="Times New Roman" w:cs="Times New Roman"/>
          <w:sz w:val="24"/>
        </w:rPr>
        <w:t xml:space="preserve"> CM (2015) True and standardized total tract phosphorus digestibility in canola meals from black and yellow fed to growing pigs. Journal of animal science 93, 209-216.</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Nørgaard</w:t>
      </w:r>
      <w:proofErr w:type="spellEnd"/>
      <w:r w:rsidRPr="00C82F43">
        <w:rPr>
          <w:rFonts w:ascii="Times New Roman" w:hAnsi="Times New Roman" w:cs="Times New Roman"/>
          <w:sz w:val="24"/>
        </w:rPr>
        <w:t xml:space="preserve"> JV, </w:t>
      </w:r>
      <w:proofErr w:type="spellStart"/>
      <w:r w:rsidRPr="00C82F43">
        <w:rPr>
          <w:rFonts w:ascii="Times New Roman" w:hAnsi="Times New Roman" w:cs="Times New Roman"/>
          <w:sz w:val="24"/>
        </w:rPr>
        <w:t>Højberg</w:t>
      </w:r>
      <w:proofErr w:type="spellEnd"/>
      <w:r w:rsidRPr="00C82F43">
        <w:rPr>
          <w:rFonts w:ascii="Times New Roman" w:hAnsi="Times New Roman" w:cs="Times New Roman"/>
          <w:sz w:val="24"/>
        </w:rPr>
        <w:t xml:space="preserve"> O, </w:t>
      </w:r>
      <w:proofErr w:type="spellStart"/>
      <w:r w:rsidRPr="00C82F43">
        <w:rPr>
          <w:rFonts w:ascii="Times New Roman" w:hAnsi="Times New Roman" w:cs="Times New Roman"/>
          <w:sz w:val="24"/>
        </w:rPr>
        <w:t>Sørensen</w:t>
      </w:r>
      <w:proofErr w:type="spellEnd"/>
      <w:r w:rsidRPr="00C82F43">
        <w:rPr>
          <w:rFonts w:ascii="Times New Roman" w:hAnsi="Times New Roman" w:cs="Times New Roman"/>
          <w:sz w:val="24"/>
        </w:rPr>
        <w:t xml:space="preserve"> KU et al. (2014) The effect of long-term acidifying feeding on </w:t>
      </w:r>
      <w:proofErr w:type="spellStart"/>
      <w:r w:rsidRPr="00C82F43">
        <w:rPr>
          <w:rFonts w:ascii="Times New Roman" w:hAnsi="Times New Roman" w:cs="Times New Roman"/>
          <w:sz w:val="24"/>
        </w:rPr>
        <w:t>digesta</w:t>
      </w:r>
      <w:proofErr w:type="spellEnd"/>
      <w:r w:rsidRPr="00C82F43">
        <w:rPr>
          <w:rFonts w:ascii="Times New Roman" w:hAnsi="Times New Roman" w:cs="Times New Roman"/>
          <w:sz w:val="24"/>
        </w:rPr>
        <w:t xml:space="preserve"> organic acids, mineral balance, and bone mineralization in growing pigs. Animal Feed Science and Technology 195, 58-66.</w:t>
      </w:r>
    </w:p>
    <w:p w:rsidR="008F60B4" w:rsidRPr="00C82F43" w:rsidRDefault="008F60B4" w:rsidP="008F60B4">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 xml:space="preserve">Liao SF, </w:t>
      </w:r>
      <w:proofErr w:type="spellStart"/>
      <w:r w:rsidRPr="00C82F43">
        <w:rPr>
          <w:rFonts w:ascii="Times New Roman" w:hAnsi="Times New Roman" w:cs="Times New Roman"/>
          <w:sz w:val="24"/>
        </w:rPr>
        <w:t>Monegue</w:t>
      </w:r>
      <w:proofErr w:type="spellEnd"/>
      <w:r w:rsidRPr="00C82F43">
        <w:rPr>
          <w:rFonts w:ascii="Times New Roman" w:hAnsi="Times New Roman" w:cs="Times New Roman"/>
          <w:sz w:val="24"/>
        </w:rPr>
        <w:t xml:space="preserve"> JS, </w:t>
      </w:r>
      <w:proofErr w:type="spellStart"/>
      <w:r w:rsidRPr="00C82F43">
        <w:rPr>
          <w:rFonts w:ascii="Times New Roman" w:hAnsi="Times New Roman" w:cs="Times New Roman"/>
          <w:sz w:val="24"/>
        </w:rPr>
        <w:t>Lindemann</w:t>
      </w:r>
      <w:proofErr w:type="spellEnd"/>
      <w:r w:rsidRPr="00C82F43">
        <w:rPr>
          <w:rFonts w:ascii="Times New Roman" w:hAnsi="Times New Roman" w:cs="Times New Roman"/>
          <w:sz w:val="24"/>
        </w:rPr>
        <w:t xml:space="preserve"> MD et al. (2011) Dietary supplementation of boron differentially alters expression of borate transporter (</w:t>
      </w:r>
      <w:proofErr w:type="spellStart"/>
      <w:r w:rsidRPr="00C82F43">
        <w:rPr>
          <w:rFonts w:ascii="Times New Roman" w:hAnsi="Times New Roman" w:cs="Times New Roman"/>
          <w:sz w:val="24"/>
        </w:rPr>
        <w:t>NaBCl</w:t>
      </w:r>
      <w:proofErr w:type="spellEnd"/>
      <w:r w:rsidRPr="00C82F43">
        <w:rPr>
          <w:rFonts w:ascii="Times New Roman" w:hAnsi="Times New Roman" w:cs="Times New Roman"/>
          <w:sz w:val="24"/>
        </w:rPr>
        <w:t>) mRNA by jejunum and kidney of growing pigs. Biological trace element research 143, 901-912.</w:t>
      </w:r>
    </w:p>
    <w:p w:rsidR="008F60B4" w:rsidRPr="00C82F43" w:rsidRDefault="008F60B4" w:rsidP="008F60B4">
      <w:pPr>
        <w:pStyle w:val="ListParagraph"/>
        <w:numPr>
          <w:ilvl w:val="0"/>
          <w:numId w:val="6"/>
        </w:numPr>
        <w:spacing w:after="0"/>
        <w:rPr>
          <w:rFonts w:ascii="Times New Roman" w:hAnsi="Times New Roman" w:cs="Times New Roman"/>
          <w:sz w:val="24"/>
        </w:rPr>
      </w:pPr>
      <w:proofErr w:type="spellStart"/>
      <w:r w:rsidRPr="00C82F43">
        <w:rPr>
          <w:rFonts w:ascii="Times New Roman" w:hAnsi="Times New Roman" w:cs="Times New Roman"/>
          <w:sz w:val="24"/>
        </w:rPr>
        <w:t>Korniewicz</w:t>
      </w:r>
      <w:proofErr w:type="spellEnd"/>
      <w:r w:rsidRPr="00C82F43">
        <w:rPr>
          <w:rFonts w:ascii="Times New Roman" w:hAnsi="Times New Roman" w:cs="Times New Roman"/>
          <w:sz w:val="24"/>
        </w:rPr>
        <w:t xml:space="preserve"> D, Hoffmann J, </w:t>
      </w:r>
      <w:proofErr w:type="spellStart"/>
      <w:r w:rsidRPr="00C82F43">
        <w:rPr>
          <w:rFonts w:ascii="Times New Roman" w:hAnsi="Times New Roman" w:cs="Times New Roman"/>
          <w:sz w:val="24"/>
        </w:rPr>
        <w:t>Korniewicz</w:t>
      </w:r>
      <w:proofErr w:type="spellEnd"/>
      <w:r w:rsidRPr="00C82F43">
        <w:rPr>
          <w:rFonts w:ascii="Times New Roman" w:hAnsi="Times New Roman" w:cs="Times New Roman"/>
          <w:sz w:val="24"/>
        </w:rPr>
        <w:t xml:space="preserve"> A et al. (2010) Effect of new feed phosphate on balance and apparent absorption of calcium and phosphorus in fattening pigs. Ann </w:t>
      </w:r>
      <w:proofErr w:type="spellStart"/>
      <w:r w:rsidRPr="00C82F43">
        <w:rPr>
          <w:rFonts w:ascii="Times New Roman" w:hAnsi="Times New Roman" w:cs="Times New Roman"/>
          <w:sz w:val="24"/>
        </w:rPr>
        <w:t>Anim</w:t>
      </w:r>
      <w:proofErr w:type="spellEnd"/>
      <w:r w:rsidRPr="00C82F43">
        <w:rPr>
          <w:rFonts w:ascii="Times New Roman" w:hAnsi="Times New Roman" w:cs="Times New Roman"/>
          <w:sz w:val="24"/>
        </w:rPr>
        <w:t xml:space="preserve"> </w:t>
      </w:r>
      <w:proofErr w:type="spellStart"/>
      <w:r w:rsidRPr="00C82F43">
        <w:rPr>
          <w:rFonts w:ascii="Times New Roman" w:hAnsi="Times New Roman" w:cs="Times New Roman"/>
          <w:sz w:val="24"/>
        </w:rPr>
        <w:t>Sci</w:t>
      </w:r>
      <w:proofErr w:type="spellEnd"/>
      <w:r w:rsidRPr="00C82F43">
        <w:rPr>
          <w:rFonts w:ascii="Times New Roman" w:hAnsi="Times New Roman" w:cs="Times New Roman"/>
          <w:sz w:val="24"/>
        </w:rPr>
        <w:t xml:space="preserve"> 10, 459-466.</w:t>
      </w:r>
    </w:p>
    <w:p w:rsidR="008F60B4" w:rsidRPr="00C82F43" w:rsidRDefault="008F60B4" w:rsidP="00871ABF">
      <w:pPr>
        <w:pStyle w:val="ListParagraph"/>
        <w:numPr>
          <w:ilvl w:val="0"/>
          <w:numId w:val="6"/>
        </w:numPr>
        <w:spacing w:after="0"/>
        <w:rPr>
          <w:rFonts w:ascii="Times New Roman" w:hAnsi="Times New Roman" w:cs="Times New Roman"/>
          <w:sz w:val="24"/>
        </w:rPr>
      </w:pPr>
      <w:r w:rsidRPr="00C82F43">
        <w:rPr>
          <w:rFonts w:ascii="Times New Roman" w:hAnsi="Times New Roman" w:cs="Times New Roman"/>
          <w:sz w:val="24"/>
        </w:rPr>
        <w:t>Hu Q, Yang L, Fang J et al. (2010) Estimating an optimal ratio of true digestible Ca: P in corn-</w:t>
      </w:r>
      <w:proofErr w:type="spellStart"/>
      <w:r w:rsidRPr="00C82F43">
        <w:rPr>
          <w:rFonts w:ascii="Times New Roman" w:hAnsi="Times New Roman" w:cs="Times New Roman"/>
          <w:sz w:val="24"/>
        </w:rPr>
        <w:t>roughsoybean</w:t>
      </w:r>
      <w:proofErr w:type="spellEnd"/>
      <w:r w:rsidRPr="00C82F43">
        <w:rPr>
          <w:rFonts w:ascii="Times New Roman" w:hAnsi="Times New Roman" w:cs="Times New Roman"/>
          <w:sz w:val="24"/>
        </w:rPr>
        <w:t xml:space="preserve"> meal-based diets for 20-50 kg growing pigs. J Food, </w:t>
      </w:r>
      <w:proofErr w:type="spellStart"/>
      <w:r w:rsidRPr="00C82F43">
        <w:rPr>
          <w:rFonts w:ascii="Times New Roman" w:hAnsi="Times New Roman" w:cs="Times New Roman"/>
          <w:sz w:val="24"/>
        </w:rPr>
        <w:t>Agric</w:t>
      </w:r>
      <w:proofErr w:type="spellEnd"/>
      <w:r w:rsidRPr="00C82F43">
        <w:rPr>
          <w:rFonts w:ascii="Times New Roman" w:hAnsi="Times New Roman" w:cs="Times New Roman"/>
          <w:sz w:val="24"/>
        </w:rPr>
        <w:t xml:space="preserve"> &amp; Environ 8, 556-562.</w:t>
      </w:r>
    </w:p>
    <w:p w:rsidR="008F60B4" w:rsidRPr="00C82F43" w:rsidRDefault="008F60B4" w:rsidP="00871ABF">
      <w:pPr>
        <w:pStyle w:val="ListParagraph"/>
        <w:numPr>
          <w:ilvl w:val="0"/>
          <w:numId w:val="18"/>
        </w:numPr>
        <w:spacing w:after="0"/>
        <w:rPr>
          <w:rFonts w:ascii="Times New Roman" w:hAnsi="Times New Roman" w:cs="Times New Roman"/>
          <w:sz w:val="24"/>
        </w:rPr>
      </w:pPr>
      <w:proofErr w:type="spellStart"/>
      <w:r w:rsidRPr="00C82F43">
        <w:rPr>
          <w:rFonts w:ascii="Times New Roman" w:hAnsi="Times New Roman" w:cs="Times New Roman"/>
          <w:sz w:val="24"/>
        </w:rPr>
        <w:t>Rideout</w:t>
      </w:r>
      <w:proofErr w:type="spellEnd"/>
      <w:r w:rsidRPr="00C82F43">
        <w:rPr>
          <w:rFonts w:ascii="Times New Roman" w:hAnsi="Times New Roman" w:cs="Times New Roman"/>
          <w:sz w:val="24"/>
        </w:rPr>
        <w:t xml:space="preserve"> TC, Fan MZ (2004) Nutrient utilisation in response to dietary supplementation of chicory inulin in growing pigs. Journal of the Science of Food and Agriculture 84, 1005-1012.</w:t>
      </w:r>
    </w:p>
    <w:p w:rsidR="008F60B4" w:rsidRPr="00C82F43" w:rsidRDefault="008F60B4" w:rsidP="00871ABF">
      <w:pPr>
        <w:pStyle w:val="ListParagraph"/>
        <w:numPr>
          <w:ilvl w:val="0"/>
          <w:numId w:val="19"/>
        </w:numPr>
        <w:spacing w:after="0"/>
        <w:rPr>
          <w:rFonts w:ascii="Times New Roman" w:hAnsi="Times New Roman" w:cs="Times New Roman"/>
          <w:sz w:val="24"/>
        </w:rPr>
      </w:pPr>
      <w:proofErr w:type="spellStart"/>
      <w:r w:rsidRPr="00C82F43">
        <w:rPr>
          <w:rFonts w:ascii="Times New Roman" w:hAnsi="Times New Roman" w:cs="Times New Roman"/>
          <w:sz w:val="24"/>
        </w:rPr>
        <w:t>Nortey</w:t>
      </w:r>
      <w:proofErr w:type="spellEnd"/>
      <w:r w:rsidRPr="00C82F43">
        <w:rPr>
          <w:rFonts w:ascii="Times New Roman" w:hAnsi="Times New Roman" w:cs="Times New Roman"/>
          <w:sz w:val="24"/>
        </w:rPr>
        <w:t xml:space="preserve"> TN, Patience JF, </w:t>
      </w:r>
      <w:proofErr w:type="spellStart"/>
      <w:r w:rsidRPr="00C82F43">
        <w:rPr>
          <w:rFonts w:ascii="Times New Roman" w:hAnsi="Times New Roman" w:cs="Times New Roman"/>
          <w:sz w:val="24"/>
        </w:rPr>
        <w:t>Simmins</w:t>
      </w:r>
      <w:proofErr w:type="spellEnd"/>
      <w:r w:rsidRPr="00C82F43">
        <w:rPr>
          <w:rFonts w:ascii="Times New Roman" w:hAnsi="Times New Roman" w:cs="Times New Roman"/>
          <w:sz w:val="24"/>
        </w:rPr>
        <w:t xml:space="preserve"> PH et al. (2007) Effects of individual or combined xylanase and </w:t>
      </w:r>
      <w:proofErr w:type="spellStart"/>
      <w:r w:rsidRPr="00C82F43">
        <w:rPr>
          <w:rFonts w:ascii="Times New Roman" w:hAnsi="Times New Roman" w:cs="Times New Roman"/>
          <w:sz w:val="24"/>
        </w:rPr>
        <w:t>phytase</w:t>
      </w:r>
      <w:proofErr w:type="spellEnd"/>
      <w:r w:rsidRPr="00C82F43">
        <w:rPr>
          <w:rFonts w:ascii="Times New Roman" w:hAnsi="Times New Roman" w:cs="Times New Roman"/>
          <w:sz w:val="24"/>
        </w:rPr>
        <w:t xml:space="preserve"> supplementation on energy, amino acid, and phosphorus digestibility and growth performance of grower pigs fed wheat-based diets containing wheat millrun. Journal of animal science 85, 1432-1443.</w:t>
      </w:r>
    </w:p>
    <w:p w:rsidR="00C14096" w:rsidRPr="00C82F43" w:rsidRDefault="008F60B4" w:rsidP="00CB1AB5">
      <w:pPr>
        <w:pStyle w:val="ListParagraph"/>
        <w:numPr>
          <w:ilvl w:val="0"/>
          <w:numId w:val="20"/>
        </w:numPr>
        <w:spacing w:after="0"/>
        <w:rPr>
          <w:rFonts w:ascii="Times New Roman" w:hAnsi="Times New Roman" w:cs="Times New Roman"/>
          <w:sz w:val="24"/>
        </w:rPr>
      </w:pPr>
      <w:proofErr w:type="spellStart"/>
      <w:r w:rsidRPr="00C82F43">
        <w:rPr>
          <w:rFonts w:ascii="Times New Roman" w:hAnsi="Times New Roman" w:cs="Times New Roman"/>
          <w:sz w:val="24"/>
        </w:rPr>
        <w:t>Adeola</w:t>
      </w:r>
      <w:proofErr w:type="spellEnd"/>
      <w:r w:rsidRPr="00C82F43">
        <w:rPr>
          <w:rFonts w:ascii="Times New Roman" w:hAnsi="Times New Roman" w:cs="Times New Roman"/>
          <w:sz w:val="24"/>
        </w:rPr>
        <w:t xml:space="preserve"> O (2017) Ca absorption and retention data in growing and finishing pigs. Unpublished </w:t>
      </w:r>
      <w:proofErr w:type="gramStart"/>
      <w:r w:rsidRPr="00C82F43">
        <w:rPr>
          <w:rFonts w:ascii="Times New Roman" w:hAnsi="Times New Roman" w:cs="Times New Roman"/>
          <w:sz w:val="24"/>
        </w:rPr>
        <w:t>data.:</w:t>
      </w:r>
      <w:proofErr w:type="gramEnd"/>
      <w:r w:rsidRPr="00C82F43">
        <w:rPr>
          <w:rFonts w:ascii="Times New Roman" w:hAnsi="Times New Roman" w:cs="Times New Roman"/>
          <w:sz w:val="24"/>
        </w:rPr>
        <w:t xml:space="preserve"> Purdue University.</w:t>
      </w:r>
    </w:p>
    <w:p w:rsidR="00C14096" w:rsidRPr="00C82F43" w:rsidRDefault="00C14096">
      <w:pPr>
        <w:spacing w:line="259" w:lineRule="auto"/>
        <w:rPr>
          <w:rFonts w:ascii="Times New Roman" w:eastAsiaTheme="minorHAnsi" w:hAnsi="Times New Roman"/>
          <w:sz w:val="24"/>
        </w:rPr>
      </w:pPr>
      <w:r w:rsidRPr="00C82F43">
        <w:rPr>
          <w:rFonts w:ascii="Times New Roman" w:hAnsi="Times New Roman"/>
          <w:sz w:val="24"/>
        </w:rPr>
        <w:br w:type="page"/>
      </w:r>
    </w:p>
    <w:p w:rsidR="00C14096" w:rsidRPr="00C82F43" w:rsidRDefault="00C14096" w:rsidP="00CB1AB5">
      <w:pPr>
        <w:pStyle w:val="ListParagraph"/>
        <w:numPr>
          <w:ilvl w:val="0"/>
          <w:numId w:val="20"/>
        </w:numPr>
        <w:spacing w:after="0"/>
        <w:rPr>
          <w:rFonts w:ascii="Times New Roman" w:hAnsi="Times New Roman" w:cs="Times New Roman"/>
          <w:sz w:val="24"/>
        </w:rPr>
        <w:sectPr w:rsidR="00C14096" w:rsidRPr="00C82F43" w:rsidSect="00E42E8A">
          <w:pgSz w:w="11906" w:h="16838"/>
          <w:pgMar w:top="1134" w:right="1134" w:bottom="1134" w:left="1134" w:header="708" w:footer="708" w:gutter="0"/>
          <w:lnNumType w:countBy="1" w:restart="continuous"/>
          <w:cols w:space="708"/>
          <w:docGrid w:linePitch="360"/>
        </w:sectPr>
      </w:pPr>
    </w:p>
    <w:p w:rsidR="00987A4C" w:rsidRPr="00C82F43" w:rsidRDefault="00C14096" w:rsidP="00CB1AB5">
      <w:pPr>
        <w:pStyle w:val="ListParagraph"/>
        <w:numPr>
          <w:ilvl w:val="0"/>
          <w:numId w:val="20"/>
        </w:numPr>
        <w:spacing w:after="0"/>
        <w:rPr>
          <w:rFonts w:ascii="Times New Roman" w:hAnsi="Times New Roman" w:cs="Times New Roman"/>
          <w:sz w:val="24"/>
        </w:rPr>
      </w:pPr>
      <w:r w:rsidRPr="00C82F43">
        <w:rPr>
          <w:rFonts w:ascii="Times New Roman" w:hAnsi="Times New Roman"/>
          <w:b/>
          <w:sz w:val="28"/>
        </w:rPr>
        <w:t>Supplementary Material E</w:t>
      </w:r>
      <w:r w:rsidRPr="00C82F43">
        <w:rPr>
          <w:rFonts w:ascii="Times New Roman" w:hAnsi="Times New Roman"/>
          <w:b/>
          <w:sz w:val="28"/>
          <w:szCs w:val="24"/>
        </w:rPr>
        <w:t>: Sensitivity analysis: linear mixed effects regression vs linear regression with cluster robust variances</w:t>
      </w:r>
    </w:p>
    <w:p w:rsidR="00C14096" w:rsidRPr="00C82F43" w:rsidRDefault="00C14096" w:rsidP="00C14096">
      <w:pPr>
        <w:spacing w:after="0"/>
        <w:rPr>
          <w:rFonts w:ascii="Times New Roman" w:hAnsi="Times New Roman"/>
          <w:sz w:val="24"/>
        </w:rPr>
        <w:sectPr w:rsidR="00C14096" w:rsidRPr="00C82F43" w:rsidSect="00C14096">
          <w:pgSz w:w="16838" w:h="11906" w:orient="landscape"/>
          <w:pgMar w:top="1134" w:right="1134" w:bottom="1134" w:left="1134" w:header="709" w:footer="709" w:gutter="0"/>
          <w:lnNumType w:countBy="1" w:restart="continuous"/>
          <w:cols w:space="708"/>
          <w:docGrid w:linePitch="360"/>
        </w:sectPr>
      </w:pPr>
    </w:p>
    <w:p w:rsidR="00C14096" w:rsidRPr="00C82F43" w:rsidRDefault="00C14096" w:rsidP="00BB14E9">
      <w:pPr>
        <w:spacing w:after="0" w:line="259" w:lineRule="auto"/>
        <w:ind w:left="360"/>
        <w:rPr>
          <w:rFonts w:ascii="Times New Roman" w:eastAsiaTheme="minorHAnsi" w:hAnsi="Times New Roman"/>
          <w:b/>
          <w:sz w:val="24"/>
          <w:szCs w:val="24"/>
          <w:u w:val="single"/>
          <w:shd w:val="clear" w:color="auto" w:fill="FFFFFF"/>
        </w:rPr>
      </w:pPr>
    </w:p>
    <w:p w:rsidR="00C14096" w:rsidRPr="00C82F43" w:rsidRDefault="00C14096" w:rsidP="00C14096">
      <w:pPr>
        <w:numPr>
          <w:ilvl w:val="0"/>
          <w:numId w:val="22"/>
        </w:numPr>
        <w:spacing w:line="259" w:lineRule="auto"/>
        <w:contextualSpacing/>
        <w:rPr>
          <w:rFonts w:ascii="Times New Roman" w:eastAsiaTheme="minorHAnsi" w:hAnsi="Times New Roman"/>
          <w:b/>
          <w:sz w:val="24"/>
        </w:rPr>
      </w:pPr>
      <w:r w:rsidRPr="00C82F43">
        <w:rPr>
          <w:rFonts w:ascii="Times New Roman" w:eastAsiaTheme="minorHAnsi" w:hAnsi="Times New Roman"/>
          <w:b/>
          <w:sz w:val="24"/>
        </w:rPr>
        <w:t>Ca absorption model (</w:t>
      </w:r>
      <w:r w:rsidR="00BB14E9" w:rsidRPr="00C82F43">
        <w:rPr>
          <w:rFonts w:ascii="Times New Roman" w:eastAsiaTheme="minorHAnsi" w:hAnsi="Times New Roman"/>
          <w:b/>
          <w:sz w:val="24"/>
        </w:rPr>
        <w:t>linear mixed e</w:t>
      </w:r>
      <w:r w:rsidRPr="00C82F43">
        <w:rPr>
          <w:rFonts w:ascii="Times New Roman" w:eastAsiaTheme="minorHAnsi" w:hAnsi="Times New Roman"/>
          <w:b/>
          <w:sz w:val="24"/>
        </w:rPr>
        <w:t>ffects</w:t>
      </w:r>
      <w:r w:rsidR="00BB14E9" w:rsidRPr="00C82F43">
        <w:rPr>
          <w:rFonts w:ascii="Times New Roman" w:eastAsiaTheme="minorHAnsi" w:hAnsi="Times New Roman"/>
          <w:b/>
          <w:sz w:val="24"/>
        </w:rPr>
        <w:t xml:space="preserve"> regression): model s</w:t>
      </w:r>
      <w:r w:rsidRPr="00C82F43">
        <w:rPr>
          <w:rFonts w:ascii="Times New Roman" w:eastAsiaTheme="minorHAnsi" w:hAnsi="Times New Roman"/>
          <w:b/>
          <w:sz w:val="24"/>
        </w:rPr>
        <w:t>ummary</w:t>
      </w:r>
    </w:p>
    <w:p w:rsidR="00C14096" w:rsidRPr="00C82F43" w:rsidRDefault="00C14096" w:rsidP="00C14096">
      <w:pPr>
        <w:spacing w:line="259" w:lineRule="auto"/>
        <w:ind w:left="360"/>
        <w:rPr>
          <w:rFonts w:ascii="Times New Roman" w:eastAsiaTheme="minorHAnsi" w:hAnsi="Times New Roman"/>
          <w:sz w:val="28"/>
        </w:rPr>
      </w:pPr>
      <w:r w:rsidRPr="00C82F43">
        <w:rPr>
          <w:rFonts w:ascii="Times New Roman" w:eastAsiaTheme="minorHAnsi" w:hAnsi="Times New Roman"/>
          <w:b/>
          <w:sz w:val="24"/>
        </w:rPr>
        <w:t>Table A.</w:t>
      </w:r>
      <w:r w:rsidRPr="00C82F43">
        <w:rPr>
          <w:rFonts w:ascii="Times New Roman" w:eastAsiaTheme="minorHAnsi" w:hAnsi="Times New Roman"/>
          <w:sz w:val="24"/>
        </w:rPr>
        <w:t xml:space="preserve"> Parameter estimates, standard errors and significance levels of the main significant fixed effects and their two-way interactions in the final LMER model for Ca absorption</w:t>
      </w:r>
      <w:r w:rsidRPr="00C82F43">
        <w:rPr>
          <w:rFonts w:ascii="Times New Roman" w:eastAsiaTheme="minorHAnsi" w:hAnsi="Times New Roman"/>
          <w:i/>
          <w:sz w:val="24"/>
        </w:rPr>
        <w:t>.</w:t>
      </w:r>
    </w:p>
    <w:tbl>
      <w:tblPr>
        <w:tblW w:w="6575" w:type="dxa"/>
        <w:tblLook w:val="04A0" w:firstRow="1" w:lastRow="0" w:firstColumn="1" w:lastColumn="0" w:noHBand="0" w:noVBand="1"/>
      </w:tblPr>
      <w:tblGrid>
        <w:gridCol w:w="2324"/>
        <w:gridCol w:w="1417"/>
        <w:gridCol w:w="1417"/>
        <w:gridCol w:w="1417"/>
      </w:tblGrid>
      <w:tr w:rsidR="00C82F43" w:rsidRPr="00C82F43" w:rsidTr="00C14096">
        <w:trPr>
          <w:trHeight w:val="340"/>
        </w:trPr>
        <w:tc>
          <w:tcPr>
            <w:tcW w:w="2324"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Variable</w:t>
            </w:r>
          </w:p>
        </w:tc>
        <w:tc>
          <w:tcPr>
            <w:tcW w:w="1417"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Estimate (β)</w:t>
            </w:r>
          </w:p>
        </w:tc>
        <w:tc>
          <w:tcPr>
            <w:tcW w:w="1417"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proofErr w:type="spellStart"/>
            <w:r w:rsidRPr="00C82F43">
              <w:rPr>
                <w:rFonts w:ascii="Times New Roman" w:eastAsia="Times New Roman" w:hAnsi="Times New Roman"/>
                <w:b/>
                <w:bCs/>
                <w:sz w:val="24"/>
                <w:szCs w:val="24"/>
                <w:lang w:eastAsia="en-GB"/>
              </w:rPr>
              <w:t>Std</w:t>
            </w:r>
            <w:proofErr w:type="spellEnd"/>
            <w:r w:rsidRPr="00C82F43">
              <w:rPr>
                <w:rFonts w:ascii="Times New Roman" w:eastAsia="Times New Roman" w:hAnsi="Times New Roman"/>
                <w:b/>
                <w:bCs/>
                <w:sz w:val="24"/>
                <w:szCs w:val="24"/>
                <w:lang w:eastAsia="en-GB"/>
              </w:rPr>
              <w:t xml:space="preserve"> Error (SE)</w:t>
            </w:r>
          </w:p>
        </w:tc>
        <w:tc>
          <w:tcPr>
            <w:tcW w:w="1417"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P-value (p)</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Intercept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-0.00159</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0.00668</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0.596</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0.0293</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-0.253</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0.0574</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0.05</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NPP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0.106</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0.0524</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0.00172</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0.000305</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-0.00693</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0.00101</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NPP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0.0121</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0.00312</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 x NPP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NPP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genotype</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C14096">
        <w:trPr>
          <w:trHeight w:val="340"/>
        </w:trPr>
        <w:tc>
          <w:tcPr>
            <w:tcW w:w="2324" w:type="dxa"/>
            <w:tcBorders>
              <w:top w:val="nil"/>
              <w:left w:val="nil"/>
              <w:bottom w:val="single" w:sz="8" w:space="0" w:color="auto"/>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gender</w:t>
            </w:r>
          </w:p>
        </w:tc>
        <w:tc>
          <w:tcPr>
            <w:tcW w:w="1417" w:type="dxa"/>
            <w:tcBorders>
              <w:top w:val="nil"/>
              <w:left w:val="nil"/>
              <w:bottom w:val="single" w:sz="8" w:space="0" w:color="auto"/>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bl>
    <w:p w:rsidR="00C14096" w:rsidRPr="00C82F43" w:rsidRDefault="00C14096" w:rsidP="00C14096">
      <w:pPr>
        <w:spacing w:line="259" w:lineRule="auto"/>
        <w:rPr>
          <w:rFonts w:ascii="Times New Roman" w:eastAsiaTheme="minorHAnsi" w:hAnsi="Times New Roman"/>
          <w:sz w:val="24"/>
          <w:szCs w:val="24"/>
        </w:rPr>
      </w:pPr>
      <w:proofErr w:type="spellStart"/>
      <w:r w:rsidRPr="00C82F43">
        <w:rPr>
          <w:rFonts w:ascii="Times New Roman" w:eastAsiaTheme="minorHAnsi" w:hAnsi="Times New Roman"/>
          <w:b/>
          <w:sz w:val="24"/>
          <w:szCs w:val="24"/>
        </w:rPr>
        <w:t>TCa</w:t>
      </w:r>
      <w:proofErr w:type="spellEnd"/>
      <w:r w:rsidRPr="00C82F43">
        <w:rPr>
          <w:rFonts w:ascii="Times New Roman" w:eastAsiaTheme="minorHAnsi" w:hAnsi="Times New Roman"/>
          <w:b/>
          <w:sz w:val="24"/>
          <w:szCs w:val="24"/>
        </w:rPr>
        <w:t xml:space="preserve"> </w:t>
      </w:r>
      <w:r w:rsidRPr="00C82F43">
        <w:rPr>
          <w:rFonts w:ascii="Times New Roman" w:eastAsiaTheme="minorHAnsi" w:hAnsi="Times New Roman"/>
          <w:sz w:val="24"/>
          <w:szCs w:val="24"/>
        </w:rPr>
        <w:t xml:space="preserve">– total Ca intake; </w:t>
      </w:r>
      <w:r w:rsidRPr="00C82F43">
        <w:rPr>
          <w:rFonts w:ascii="Times New Roman" w:eastAsiaTheme="minorHAnsi" w:hAnsi="Times New Roman"/>
          <w:b/>
          <w:sz w:val="24"/>
          <w:szCs w:val="24"/>
        </w:rPr>
        <w:t>TP</w:t>
      </w:r>
      <w:r w:rsidRPr="00C82F43">
        <w:rPr>
          <w:rFonts w:ascii="Times New Roman" w:eastAsiaTheme="minorHAnsi" w:hAnsi="Times New Roman"/>
          <w:sz w:val="24"/>
          <w:szCs w:val="24"/>
        </w:rPr>
        <w:t xml:space="preserve"> – total P intake; </w:t>
      </w:r>
      <w:r w:rsidRPr="00C82F43">
        <w:rPr>
          <w:rFonts w:ascii="Times New Roman" w:eastAsiaTheme="minorHAnsi" w:hAnsi="Times New Roman"/>
          <w:b/>
          <w:sz w:val="24"/>
          <w:szCs w:val="24"/>
        </w:rPr>
        <w:t>PP</w:t>
      </w:r>
      <w:r w:rsidRPr="00C82F43">
        <w:rPr>
          <w:rFonts w:ascii="Times New Roman" w:eastAsiaTheme="minorHAnsi" w:hAnsi="Times New Roman"/>
          <w:sz w:val="24"/>
          <w:szCs w:val="24"/>
        </w:rPr>
        <w:t xml:space="preserve"> – </w:t>
      </w:r>
      <w:proofErr w:type="spellStart"/>
      <w:r w:rsidRPr="00C82F43">
        <w:rPr>
          <w:rFonts w:ascii="Times New Roman" w:eastAsiaTheme="minorHAnsi" w:hAnsi="Times New Roman"/>
          <w:sz w:val="24"/>
          <w:szCs w:val="24"/>
        </w:rPr>
        <w:t>phytate</w:t>
      </w:r>
      <w:proofErr w:type="spellEnd"/>
      <w:r w:rsidRPr="00C82F43">
        <w:rPr>
          <w:rFonts w:ascii="Times New Roman" w:eastAsiaTheme="minorHAnsi" w:hAnsi="Times New Roman"/>
          <w:sz w:val="24"/>
          <w:szCs w:val="24"/>
        </w:rPr>
        <w:t xml:space="preserve">-P intake; </w:t>
      </w:r>
      <w:r w:rsidRPr="00C82F43">
        <w:rPr>
          <w:rFonts w:ascii="Times New Roman" w:eastAsiaTheme="minorHAnsi" w:hAnsi="Times New Roman"/>
          <w:b/>
          <w:sz w:val="24"/>
          <w:szCs w:val="24"/>
        </w:rPr>
        <w:t>NPP</w:t>
      </w:r>
      <w:r w:rsidRPr="00C82F43">
        <w:rPr>
          <w:rFonts w:ascii="Times New Roman" w:eastAsiaTheme="minorHAnsi" w:hAnsi="Times New Roman"/>
          <w:sz w:val="24"/>
          <w:szCs w:val="24"/>
        </w:rPr>
        <w:t xml:space="preserve"> – non-</w:t>
      </w:r>
      <w:proofErr w:type="spellStart"/>
      <w:r w:rsidRPr="00C82F43">
        <w:rPr>
          <w:rFonts w:ascii="Times New Roman" w:eastAsiaTheme="minorHAnsi" w:hAnsi="Times New Roman"/>
          <w:sz w:val="24"/>
          <w:szCs w:val="24"/>
        </w:rPr>
        <w:t>phytate</w:t>
      </w:r>
      <w:proofErr w:type="spellEnd"/>
      <w:r w:rsidRPr="00C82F43">
        <w:rPr>
          <w:rFonts w:ascii="Times New Roman" w:eastAsiaTheme="minorHAnsi" w:hAnsi="Times New Roman"/>
          <w:sz w:val="24"/>
          <w:szCs w:val="24"/>
        </w:rPr>
        <w:t xml:space="preserve">-P intake; </w:t>
      </w:r>
      <w:proofErr w:type="spellStart"/>
      <w:r w:rsidRPr="00C82F43">
        <w:rPr>
          <w:rFonts w:ascii="Times New Roman" w:eastAsiaTheme="minorHAnsi" w:hAnsi="Times New Roman"/>
          <w:b/>
          <w:sz w:val="24"/>
          <w:szCs w:val="24"/>
        </w:rPr>
        <w:t>ExPhyt</w:t>
      </w:r>
      <w:proofErr w:type="spellEnd"/>
      <w:r w:rsidRPr="00C82F43">
        <w:rPr>
          <w:rFonts w:ascii="Times New Roman" w:eastAsiaTheme="minorHAnsi" w:hAnsi="Times New Roman"/>
          <w:sz w:val="24"/>
          <w:szCs w:val="24"/>
        </w:rPr>
        <w:t xml:space="preserve"> – exogenous </w:t>
      </w:r>
      <w:proofErr w:type="spellStart"/>
      <w:r w:rsidRPr="00C82F43">
        <w:rPr>
          <w:rFonts w:ascii="Times New Roman" w:eastAsiaTheme="minorHAnsi" w:hAnsi="Times New Roman"/>
          <w:sz w:val="24"/>
          <w:szCs w:val="24"/>
        </w:rPr>
        <w:t>phytase</w:t>
      </w:r>
      <w:proofErr w:type="spellEnd"/>
      <w:r w:rsidRPr="00C82F43">
        <w:rPr>
          <w:rFonts w:ascii="Times New Roman" w:eastAsiaTheme="minorHAnsi" w:hAnsi="Times New Roman"/>
          <w:sz w:val="24"/>
          <w:szCs w:val="24"/>
        </w:rPr>
        <w:t xml:space="preserve"> intake.</w:t>
      </w:r>
    </w:p>
    <w:p w:rsidR="00C14096" w:rsidRPr="00C82F43" w:rsidRDefault="00C14096" w:rsidP="00C14096">
      <w:pPr>
        <w:spacing w:line="259" w:lineRule="auto"/>
        <w:rPr>
          <w:rFonts w:ascii="Times New Roman" w:eastAsiaTheme="minorHAnsi" w:hAnsi="Times New Roman"/>
          <w:sz w:val="24"/>
          <w:szCs w:val="24"/>
        </w:rPr>
      </w:pPr>
      <w:r w:rsidRPr="00C82F43">
        <w:rPr>
          <w:rFonts w:ascii="Times New Roman" w:eastAsiaTheme="minorHAnsi" w:hAnsi="Times New Roman"/>
          <w:sz w:val="24"/>
          <w:szCs w:val="24"/>
        </w:rPr>
        <w:t xml:space="preserve"> </w:t>
      </w:r>
    </w:p>
    <w:p w:rsidR="00C14096" w:rsidRPr="00C82F43" w:rsidRDefault="00C14096" w:rsidP="00C14096">
      <w:pPr>
        <w:spacing w:line="259" w:lineRule="auto"/>
        <w:rPr>
          <w:rFonts w:ascii="Times New Roman" w:eastAsiaTheme="minorHAnsi" w:hAnsi="Times New Roman"/>
          <w:sz w:val="24"/>
          <w:szCs w:val="24"/>
        </w:rPr>
      </w:pPr>
    </w:p>
    <w:p w:rsidR="00C14096" w:rsidRPr="00C82F43" w:rsidRDefault="00C14096" w:rsidP="00C14096">
      <w:pPr>
        <w:spacing w:line="259" w:lineRule="auto"/>
        <w:contextualSpacing/>
        <w:rPr>
          <w:rFonts w:ascii="Times New Roman" w:eastAsiaTheme="minorHAnsi" w:hAnsi="Times New Roman"/>
          <w:b/>
        </w:rPr>
      </w:pPr>
    </w:p>
    <w:p w:rsidR="00C14096" w:rsidRPr="00C82F43" w:rsidRDefault="00C14096" w:rsidP="00C14096">
      <w:pPr>
        <w:numPr>
          <w:ilvl w:val="0"/>
          <w:numId w:val="23"/>
        </w:numPr>
        <w:spacing w:line="259" w:lineRule="auto"/>
        <w:contextualSpacing/>
        <w:rPr>
          <w:rFonts w:ascii="Times New Roman" w:eastAsiaTheme="minorHAnsi" w:hAnsi="Times New Roman"/>
          <w:b/>
          <w:sz w:val="20"/>
        </w:rPr>
      </w:pPr>
      <w:r w:rsidRPr="00C82F43">
        <w:rPr>
          <w:rFonts w:ascii="Times New Roman" w:eastAsiaTheme="minorHAnsi" w:hAnsi="Times New Roman"/>
          <w:b/>
          <w:sz w:val="24"/>
        </w:rPr>
        <w:t>Ca absorption model (</w:t>
      </w:r>
      <w:r w:rsidR="00BB14E9" w:rsidRPr="00C82F43">
        <w:rPr>
          <w:rFonts w:ascii="Times New Roman" w:eastAsiaTheme="minorHAnsi" w:hAnsi="Times New Roman"/>
          <w:b/>
          <w:sz w:val="24"/>
        </w:rPr>
        <w:t>linear regression with cluster robust variances): model s</w:t>
      </w:r>
      <w:r w:rsidRPr="00C82F43">
        <w:rPr>
          <w:rFonts w:ascii="Times New Roman" w:eastAsiaTheme="minorHAnsi" w:hAnsi="Times New Roman"/>
          <w:b/>
          <w:sz w:val="24"/>
        </w:rPr>
        <w:t>ummary</w:t>
      </w:r>
    </w:p>
    <w:p w:rsidR="00C14096" w:rsidRPr="00C82F43" w:rsidRDefault="00C14096" w:rsidP="00C14096">
      <w:pPr>
        <w:spacing w:line="259" w:lineRule="auto"/>
        <w:ind w:left="360"/>
        <w:rPr>
          <w:rFonts w:ascii="Times New Roman" w:eastAsiaTheme="minorHAnsi" w:hAnsi="Times New Roman"/>
          <w:sz w:val="28"/>
        </w:rPr>
      </w:pPr>
      <w:r w:rsidRPr="00C82F43">
        <w:rPr>
          <w:rFonts w:ascii="Times New Roman" w:eastAsiaTheme="minorHAnsi" w:hAnsi="Times New Roman"/>
          <w:b/>
          <w:sz w:val="24"/>
        </w:rPr>
        <w:t>Table B.</w:t>
      </w:r>
      <w:r w:rsidRPr="00C82F43">
        <w:rPr>
          <w:rFonts w:ascii="Times New Roman" w:eastAsiaTheme="minorHAnsi" w:hAnsi="Times New Roman"/>
          <w:sz w:val="24"/>
        </w:rPr>
        <w:t xml:space="preserve"> Parameter estimates, standard errors and significance levels of the main significant fixed effects and their two-way interactions in the final cluster regression model for Ca absorption</w:t>
      </w:r>
      <w:r w:rsidRPr="00C82F43">
        <w:rPr>
          <w:rFonts w:ascii="Times New Roman" w:eastAsiaTheme="minorHAnsi" w:hAnsi="Times New Roman"/>
          <w:i/>
          <w:sz w:val="24"/>
        </w:rPr>
        <w:t>.</w:t>
      </w:r>
    </w:p>
    <w:tbl>
      <w:tblPr>
        <w:tblW w:w="6575" w:type="dxa"/>
        <w:tblLook w:val="04A0" w:firstRow="1" w:lastRow="0" w:firstColumn="1" w:lastColumn="0" w:noHBand="0" w:noVBand="1"/>
      </w:tblPr>
      <w:tblGrid>
        <w:gridCol w:w="2324"/>
        <w:gridCol w:w="1417"/>
        <w:gridCol w:w="1417"/>
        <w:gridCol w:w="1417"/>
      </w:tblGrid>
      <w:tr w:rsidR="00C82F43" w:rsidRPr="00C82F43" w:rsidTr="00C14096">
        <w:trPr>
          <w:trHeight w:val="340"/>
        </w:trPr>
        <w:tc>
          <w:tcPr>
            <w:tcW w:w="2324"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Variable</w:t>
            </w:r>
          </w:p>
        </w:tc>
        <w:tc>
          <w:tcPr>
            <w:tcW w:w="1417"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Estimate (β)</w:t>
            </w:r>
          </w:p>
        </w:tc>
        <w:tc>
          <w:tcPr>
            <w:tcW w:w="1417"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proofErr w:type="spellStart"/>
            <w:r w:rsidRPr="00C82F43">
              <w:rPr>
                <w:rFonts w:ascii="Times New Roman" w:eastAsia="Times New Roman" w:hAnsi="Times New Roman"/>
                <w:b/>
                <w:bCs/>
                <w:sz w:val="24"/>
                <w:szCs w:val="24"/>
                <w:lang w:eastAsia="en-GB"/>
              </w:rPr>
              <w:t>Std</w:t>
            </w:r>
            <w:proofErr w:type="spellEnd"/>
            <w:r w:rsidRPr="00C82F43">
              <w:rPr>
                <w:rFonts w:ascii="Times New Roman" w:eastAsia="Times New Roman" w:hAnsi="Times New Roman"/>
                <w:b/>
                <w:bCs/>
                <w:sz w:val="24"/>
                <w:szCs w:val="24"/>
                <w:lang w:eastAsia="en-GB"/>
              </w:rPr>
              <w:t xml:space="preserve"> Error (SE)</w:t>
            </w:r>
          </w:p>
        </w:tc>
        <w:tc>
          <w:tcPr>
            <w:tcW w:w="1417" w:type="dxa"/>
            <w:tcBorders>
              <w:top w:val="single" w:sz="4" w:space="0" w:color="auto"/>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P-value (p)</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Intercept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0.0136  </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0.00808   </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0.564  </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0.0380  </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-0.247  </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0.0547  </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NPP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0.121  </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0.0875   </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0.05</w:t>
            </w:r>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0.00115  </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0.000267   </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-0.00628  </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0.00174  </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NPP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0.0103  </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0.00495   </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0.05</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 x NPP</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C14096">
        <w:trPr>
          <w:trHeight w:val="340"/>
        </w:trPr>
        <w:tc>
          <w:tcPr>
            <w:tcW w:w="2324" w:type="dxa"/>
            <w:tcBorders>
              <w:top w:val="nil"/>
              <w:left w:val="nil"/>
              <w:bottom w:val="nil"/>
              <w:right w:val="nil"/>
            </w:tcBorders>
            <w:shd w:val="clear" w:color="auto" w:fill="auto"/>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NPP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C14096">
        <w:trPr>
          <w:trHeight w:val="340"/>
        </w:trPr>
        <w:tc>
          <w:tcPr>
            <w:tcW w:w="2324"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genotype</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C14096">
        <w:trPr>
          <w:trHeight w:val="340"/>
        </w:trPr>
        <w:tc>
          <w:tcPr>
            <w:tcW w:w="2324" w:type="dxa"/>
            <w:tcBorders>
              <w:top w:val="nil"/>
              <w:left w:val="nil"/>
              <w:bottom w:val="single" w:sz="8" w:space="0" w:color="auto"/>
              <w:right w:val="nil"/>
            </w:tcBorders>
            <w:shd w:val="clear" w:color="auto" w:fill="auto"/>
            <w:noWrap/>
            <w:vAlign w:val="bottom"/>
            <w:hideMark/>
          </w:tcPr>
          <w:p w:rsidR="00C14096" w:rsidRPr="00C82F43" w:rsidRDefault="00C14096" w:rsidP="00C14096">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gender</w:t>
            </w:r>
          </w:p>
        </w:tc>
        <w:tc>
          <w:tcPr>
            <w:tcW w:w="1417" w:type="dxa"/>
            <w:tcBorders>
              <w:top w:val="nil"/>
              <w:left w:val="nil"/>
              <w:bottom w:val="single" w:sz="8" w:space="0" w:color="auto"/>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bottom"/>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center"/>
            <w:hideMark/>
          </w:tcPr>
          <w:p w:rsidR="00C14096" w:rsidRPr="00C82F43" w:rsidRDefault="00C14096" w:rsidP="00C14096">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bl>
    <w:p w:rsidR="00C14096" w:rsidRPr="00C82F43" w:rsidRDefault="00C14096" w:rsidP="00C14096">
      <w:pPr>
        <w:spacing w:line="259" w:lineRule="auto"/>
        <w:rPr>
          <w:rFonts w:ascii="Times New Roman" w:eastAsiaTheme="minorHAnsi" w:hAnsi="Times New Roman"/>
          <w:sz w:val="24"/>
          <w:szCs w:val="24"/>
        </w:rPr>
      </w:pPr>
      <w:proofErr w:type="spellStart"/>
      <w:r w:rsidRPr="00C82F43">
        <w:rPr>
          <w:rFonts w:ascii="Times New Roman" w:eastAsiaTheme="minorHAnsi" w:hAnsi="Times New Roman"/>
          <w:b/>
          <w:sz w:val="24"/>
          <w:szCs w:val="24"/>
        </w:rPr>
        <w:t>TCa</w:t>
      </w:r>
      <w:proofErr w:type="spellEnd"/>
      <w:r w:rsidRPr="00C82F43">
        <w:rPr>
          <w:rFonts w:ascii="Times New Roman" w:eastAsiaTheme="minorHAnsi" w:hAnsi="Times New Roman"/>
          <w:b/>
          <w:sz w:val="24"/>
          <w:szCs w:val="24"/>
        </w:rPr>
        <w:t xml:space="preserve"> </w:t>
      </w:r>
      <w:r w:rsidRPr="00C82F43">
        <w:rPr>
          <w:rFonts w:ascii="Times New Roman" w:eastAsiaTheme="minorHAnsi" w:hAnsi="Times New Roman"/>
          <w:sz w:val="24"/>
          <w:szCs w:val="24"/>
        </w:rPr>
        <w:t xml:space="preserve">– total Ca intake; </w:t>
      </w:r>
      <w:r w:rsidRPr="00C82F43">
        <w:rPr>
          <w:rFonts w:ascii="Times New Roman" w:eastAsiaTheme="minorHAnsi" w:hAnsi="Times New Roman"/>
          <w:b/>
          <w:sz w:val="24"/>
          <w:szCs w:val="24"/>
        </w:rPr>
        <w:t>TP</w:t>
      </w:r>
      <w:r w:rsidRPr="00C82F43">
        <w:rPr>
          <w:rFonts w:ascii="Times New Roman" w:eastAsiaTheme="minorHAnsi" w:hAnsi="Times New Roman"/>
          <w:sz w:val="24"/>
          <w:szCs w:val="24"/>
        </w:rPr>
        <w:t xml:space="preserve"> – total P intake; </w:t>
      </w:r>
      <w:r w:rsidRPr="00C82F43">
        <w:rPr>
          <w:rFonts w:ascii="Times New Roman" w:eastAsiaTheme="minorHAnsi" w:hAnsi="Times New Roman"/>
          <w:b/>
          <w:sz w:val="24"/>
          <w:szCs w:val="24"/>
        </w:rPr>
        <w:t>PP</w:t>
      </w:r>
      <w:r w:rsidRPr="00C82F43">
        <w:rPr>
          <w:rFonts w:ascii="Times New Roman" w:eastAsiaTheme="minorHAnsi" w:hAnsi="Times New Roman"/>
          <w:sz w:val="24"/>
          <w:szCs w:val="24"/>
        </w:rPr>
        <w:t xml:space="preserve"> – </w:t>
      </w:r>
      <w:proofErr w:type="spellStart"/>
      <w:r w:rsidRPr="00C82F43">
        <w:rPr>
          <w:rFonts w:ascii="Times New Roman" w:eastAsiaTheme="minorHAnsi" w:hAnsi="Times New Roman"/>
          <w:sz w:val="24"/>
          <w:szCs w:val="24"/>
        </w:rPr>
        <w:t>phytate</w:t>
      </w:r>
      <w:proofErr w:type="spellEnd"/>
      <w:r w:rsidRPr="00C82F43">
        <w:rPr>
          <w:rFonts w:ascii="Times New Roman" w:eastAsiaTheme="minorHAnsi" w:hAnsi="Times New Roman"/>
          <w:sz w:val="24"/>
          <w:szCs w:val="24"/>
        </w:rPr>
        <w:t xml:space="preserve">-P intake; </w:t>
      </w:r>
      <w:r w:rsidRPr="00C82F43">
        <w:rPr>
          <w:rFonts w:ascii="Times New Roman" w:eastAsiaTheme="minorHAnsi" w:hAnsi="Times New Roman"/>
          <w:b/>
          <w:sz w:val="24"/>
          <w:szCs w:val="24"/>
        </w:rPr>
        <w:t>NPP</w:t>
      </w:r>
      <w:r w:rsidRPr="00C82F43">
        <w:rPr>
          <w:rFonts w:ascii="Times New Roman" w:eastAsiaTheme="minorHAnsi" w:hAnsi="Times New Roman"/>
          <w:sz w:val="24"/>
          <w:szCs w:val="24"/>
        </w:rPr>
        <w:t xml:space="preserve"> – non-</w:t>
      </w:r>
      <w:proofErr w:type="spellStart"/>
      <w:r w:rsidRPr="00C82F43">
        <w:rPr>
          <w:rFonts w:ascii="Times New Roman" w:eastAsiaTheme="minorHAnsi" w:hAnsi="Times New Roman"/>
          <w:sz w:val="24"/>
          <w:szCs w:val="24"/>
        </w:rPr>
        <w:t>phytate</w:t>
      </w:r>
      <w:proofErr w:type="spellEnd"/>
      <w:r w:rsidRPr="00C82F43">
        <w:rPr>
          <w:rFonts w:ascii="Times New Roman" w:eastAsiaTheme="minorHAnsi" w:hAnsi="Times New Roman"/>
          <w:sz w:val="24"/>
          <w:szCs w:val="24"/>
        </w:rPr>
        <w:t xml:space="preserve">-P intake; </w:t>
      </w:r>
      <w:proofErr w:type="spellStart"/>
      <w:r w:rsidRPr="00C82F43">
        <w:rPr>
          <w:rFonts w:ascii="Times New Roman" w:eastAsiaTheme="minorHAnsi" w:hAnsi="Times New Roman"/>
          <w:b/>
          <w:sz w:val="24"/>
          <w:szCs w:val="24"/>
        </w:rPr>
        <w:t>ExPhyt</w:t>
      </w:r>
      <w:proofErr w:type="spellEnd"/>
      <w:r w:rsidRPr="00C82F43">
        <w:rPr>
          <w:rFonts w:ascii="Times New Roman" w:eastAsiaTheme="minorHAnsi" w:hAnsi="Times New Roman"/>
          <w:sz w:val="24"/>
          <w:szCs w:val="24"/>
        </w:rPr>
        <w:t xml:space="preserve"> – exogenous </w:t>
      </w:r>
      <w:proofErr w:type="spellStart"/>
      <w:r w:rsidRPr="00C82F43">
        <w:rPr>
          <w:rFonts w:ascii="Times New Roman" w:eastAsiaTheme="minorHAnsi" w:hAnsi="Times New Roman"/>
          <w:sz w:val="24"/>
          <w:szCs w:val="24"/>
        </w:rPr>
        <w:t>phytase</w:t>
      </w:r>
      <w:proofErr w:type="spellEnd"/>
      <w:r w:rsidRPr="00C82F43">
        <w:rPr>
          <w:rFonts w:ascii="Times New Roman" w:eastAsiaTheme="minorHAnsi" w:hAnsi="Times New Roman"/>
          <w:sz w:val="24"/>
          <w:szCs w:val="24"/>
        </w:rPr>
        <w:t xml:space="preserve"> intake.</w:t>
      </w:r>
    </w:p>
    <w:p w:rsidR="004A107A" w:rsidRPr="00C82F43" w:rsidRDefault="004A107A" w:rsidP="00CB1AB5">
      <w:pPr>
        <w:pStyle w:val="ListParagraph"/>
        <w:numPr>
          <w:ilvl w:val="0"/>
          <w:numId w:val="20"/>
        </w:numPr>
        <w:spacing w:after="0"/>
        <w:rPr>
          <w:rFonts w:ascii="Times New Roman" w:hAnsi="Times New Roman" w:cs="Times New Roman"/>
          <w:sz w:val="24"/>
        </w:rPr>
      </w:pPr>
    </w:p>
    <w:p w:rsidR="004A107A" w:rsidRPr="00C82F43" w:rsidRDefault="004A107A">
      <w:pPr>
        <w:spacing w:line="259" w:lineRule="auto"/>
        <w:rPr>
          <w:rFonts w:ascii="Times New Roman" w:eastAsiaTheme="minorHAnsi" w:hAnsi="Times New Roman"/>
          <w:sz w:val="24"/>
        </w:rPr>
      </w:pPr>
      <w:r w:rsidRPr="00C82F43">
        <w:rPr>
          <w:rFonts w:ascii="Times New Roman" w:hAnsi="Times New Roman"/>
          <w:sz w:val="24"/>
        </w:rPr>
        <w:br w:type="page"/>
      </w:r>
    </w:p>
    <w:p w:rsidR="004A107A" w:rsidRPr="00C82F43" w:rsidRDefault="004A107A" w:rsidP="004A107A">
      <w:pPr>
        <w:numPr>
          <w:ilvl w:val="0"/>
          <w:numId w:val="22"/>
        </w:numPr>
        <w:spacing w:line="259" w:lineRule="auto"/>
        <w:contextualSpacing/>
        <w:rPr>
          <w:rFonts w:ascii="Times New Roman" w:eastAsiaTheme="minorHAnsi" w:hAnsi="Times New Roman"/>
          <w:b/>
          <w:sz w:val="24"/>
        </w:rPr>
      </w:pPr>
      <w:r w:rsidRPr="00C82F43">
        <w:rPr>
          <w:rFonts w:ascii="Times New Roman" w:eastAsiaTheme="minorHAnsi" w:hAnsi="Times New Roman"/>
          <w:b/>
          <w:sz w:val="24"/>
        </w:rPr>
        <w:t>Ca retention model linear mixed effects regression): model summary</w:t>
      </w:r>
    </w:p>
    <w:p w:rsidR="004A107A" w:rsidRPr="00C82F43" w:rsidRDefault="004A107A" w:rsidP="004A107A">
      <w:pPr>
        <w:spacing w:line="259" w:lineRule="auto"/>
        <w:contextualSpacing/>
        <w:rPr>
          <w:rFonts w:ascii="Times New Roman" w:eastAsiaTheme="minorHAnsi" w:hAnsi="Times New Roman"/>
          <w:sz w:val="28"/>
        </w:rPr>
      </w:pPr>
      <w:r w:rsidRPr="00C82F43">
        <w:rPr>
          <w:rFonts w:ascii="Times New Roman" w:eastAsiaTheme="minorHAnsi" w:hAnsi="Times New Roman"/>
          <w:b/>
          <w:sz w:val="24"/>
        </w:rPr>
        <w:t>Table C.</w:t>
      </w:r>
      <w:r w:rsidRPr="00C82F43">
        <w:rPr>
          <w:rFonts w:ascii="Times New Roman" w:eastAsiaTheme="minorHAnsi" w:hAnsi="Times New Roman"/>
          <w:sz w:val="24"/>
        </w:rPr>
        <w:t xml:space="preserve"> Parameter estimates, standard errors and significance levels of the main significant fixed effects and their two-way interactions in the final LMER model for Ca retention</w:t>
      </w:r>
      <w:r w:rsidRPr="00C82F43">
        <w:rPr>
          <w:rFonts w:ascii="Times New Roman" w:eastAsiaTheme="minorHAnsi" w:hAnsi="Times New Roman"/>
          <w:i/>
          <w:sz w:val="24"/>
        </w:rPr>
        <w:t>.</w:t>
      </w:r>
    </w:p>
    <w:tbl>
      <w:tblPr>
        <w:tblW w:w="6575" w:type="dxa"/>
        <w:tblLook w:val="04A0" w:firstRow="1" w:lastRow="0" w:firstColumn="1" w:lastColumn="0" w:noHBand="0" w:noVBand="1"/>
      </w:tblPr>
      <w:tblGrid>
        <w:gridCol w:w="2324"/>
        <w:gridCol w:w="1417"/>
        <w:gridCol w:w="1417"/>
        <w:gridCol w:w="1417"/>
      </w:tblGrid>
      <w:tr w:rsidR="00C82F43" w:rsidRPr="00C82F43" w:rsidTr="002A1360">
        <w:trPr>
          <w:trHeight w:val="340"/>
        </w:trPr>
        <w:tc>
          <w:tcPr>
            <w:tcW w:w="2324"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Variable</w:t>
            </w:r>
          </w:p>
        </w:tc>
        <w:tc>
          <w:tcPr>
            <w:tcW w:w="1417"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Estimate (β)</w:t>
            </w:r>
          </w:p>
        </w:tc>
        <w:tc>
          <w:tcPr>
            <w:tcW w:w="1417"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proofErr w:type="spellStart"/>
            <w:r w:rsidRPr="00C82F43">
              <w:rPr>
                <w:rFonts w:ascii="Times New Roman" w:eastAsia="Times New Roman" w:hAnsi="Times New Roman"/>
                <w:b/>
                <w:bCs/>
                <w:sz w:val="24"/>
                <w:szCs w:val="24"/>
                <w:lang w:eastAsia="en-GB"/>
              </w:rPr>
              <w:t>Std</w:t>
            </w:r>
            <w:proofErr w:type="spellEnd"/>
            <w:r w:rsidRPr="00C82F43">
              <w:rPr>
                <w:rFonts w:ascii="Times New Roman" w:eastAsia="Times New Roman" w:hAnsi="Times New Roman"/>
                <w:b/>
                <w:bCs/>
                <w:sz w:val="24"/>
                <w:szCs w:val="24"/>
                <w:lang w:eastAsia="en-GB"/>
              </w:rPr>
              <w:t xml:space="preserve"> Error (SE)</w:t>
            </w:r>
          </w:p>
        </w:tc>
        <w:tc>
          <w:tcPr>
            <w:tcW w:w="1417"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P-value (p)</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Intercept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-0.0179</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0.00954</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0.430</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0.0298</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-0.0188</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0.0814558</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0.01</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NPP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0.313</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0.0524</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0.00157</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0.000298</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-0.00431</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0.000870</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0.001</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NPP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0.00553</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0.002584</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0.05</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 x NPP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NPP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genotype</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2A1360">
        <w:trPr>
          <w:trHeight w:val="340"/>
        </w:trPr>
        <w:tc>
          <w:tcPr>
            <w:tcW w:w="2324" w:type="dxa"/>
            <w:tcBorders>
              <w:top w:val="nil"/>
              <w:left w:val="nil"/>
              <w:bottom w:val="single" w:sz="8" w:space="0" w:color="auto"/>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gender</w:t>
            </w:r>
          </w:p>
        </w:tc>
        <w:tc>
          <w:tcPr>
            <w:tcW w:w="1417" w:type="dxa"/>
            <w:tcBorders>
              <w:top w:val="nil"/>
              <w:left w:val="nil"/>
              <w:bottom w:val="single" w:sz="8" w:space="0" w:color="auto"/>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bl>
    <w:p w:rsidR="004A107A" w:rsidRPr="00C82F43" w:rsidRDefault="004A107A" w:rsidP="004A107A">
      <w:pPr>
        <w:spacing w:line="259" w:lineRule="auto"/>
        <w:rPr>
          <w:rFonts w:ascii="Times New Roman" w:eastAsiaTheme="minorHAnsi" w:hAnsi="Times New Roman"/>
          <w:sz w:val="24"/>
          <w:szCs w:val="24"/>
        </w:rPr>
      </w:pPr>
      <w:proofErr w:type="spellStart"/>
      <w:r w:rsidRPr="00C82F43">
        <w:rPr>
          <w:rFonts w:ascii="Times New Roman" w:eastAsiaTheme="minorHAnsi" w:hAnsi="Times New Roman"/>
          <w:b/>
          <w:sz w:val="24"/>
          <w:szCs w:val="24"/>
        </w:rPr>
        <w:t>TCa</w:t>
      </w:r>
      <w:proofErr w:type="spellEnd"/>
      <w:r w:rsidRPr="00C82F43">
        <w:rPr>
          <w:rFonts w:ascii="Times New Roman" w:eastAsiaTheme="minorHAnsi" w:hAnsi="Times New Roman"/>
          <w:b/>
          <w:sz w:val="24"/>
          <w:szCs w:val="24"/>
        </w:rPr>
        <w:t xml:space="preserve"> </w:t>
      </w:r>
      <w:r w:rsidRPr="00C82F43">
        <w:rPr>
          <w:rFonts w:ascii="Times New Roman" w:eastAsiaTheme="minorHAnsi" w:hAnsi="Times New Roman"/>
          <w:sz w:val="24"/>
          <w:szCs w:val="24"/>
        </w:rPr>
        <w:t xml:space="preserve">– total Ca intake; </w:t>
      </w:r>
      <w:r w:rsidRPr="00C82F43">
        <w:rPr>
          <w:rFonts w:ascii="Times New Roman" w:eastAsiaTheme="minorHAnsi" w:hAnsi="Times New Roman"/>
          <w:b/>
          <w:sz w:val="24"/>
          <w:szCs w:val="24"/>
        </w:rPr>
        <w:t>TP</w:t>
      </w:r>
      <w:r w:rsidRPr="00C82F43">
        <w:rPr>
          <w:rFonts w:ascii="Times New Roman" w:eastAsiaTheme="minorHAnsi" w:hAnsi="Times New Roman"/>
          <w:sz w:val="24"/>
          <w:szCs w:val="24"/>
        </w:rPr>
        <w:t xml:space="preserve"> – total P intake; </w:t>
      </w:r>
      <w:r w:rsidRPr="00C82F43">
        <w:rPr>
          <w:rFonts w:ascii="Times New Roman" w:eastAsiaTheme="minorHAnsi" w:hAnsi="Times New Roman"/>
          <w:b/>
          <w:sz w:val="24"/>
          <w:szCs w:val="24"/>
        </w:rPr>
        <w:t>PP</w:t>
      </w:r>
      <w:r w:rsidRPr="00C82F43">
        <w:rPr>
          <w:rFonts w:ascii="Times New Roman" w:eastAsiaTheme="minorHAnsi" w:hAnsi="Times New Roman"/>
          <w:sz w:val="24"/>
          <w:szCs w:val="24"/>
        </w:rPr>
        <w:t xml:space="preserve"> – </w:t>
      </w:r>
      <w:proofErr w:type="spellStart"/>
      <w:r w:rsidRPr="00C82F43">
        <w:rPr>
          <w:rFonts w:ascii="Times New Roman" w:eastAsiaTheme="minorHAnsi" w:hAnsi="Times New Roman"/>
          <w:sz w:val="24"/>
          <w:szCs w:val="24"/>
        </w:rPr>
        <w:t>phytate</w:t>
      </w:r>
      <w:proofErr w:type="spellEnd"/>
      <w:r w:rsidRPr="00C82F43">
        <w:rPr>
          <w:rFonts w:ascii="Times New Roman" w:eastAsiaTheme="minorHAnsi" w:hAnsi="Times New Roman"/>
          <w:sz w:val="24"/>
          <w:szCs w:val="24"/>
        </w:rPr>
        <w:t xml:space="preserve">-P intake; </w:t>
      </w:r>
      <w:r w:rsidRPr="00C82F43">
        <w:rPr>
          <w:rFonts w:ascii="Times New Roman" w:eastAsiaTheme="minorHAnsi" w:hAnsi="Times New Roman"/>
          <w:b/>
          <w:sz w:val="24"/>
          <w:szCs w:val="24"/>
        </w:rPr>
        <w:t>NPP</w:t>
      </w:r>
      <w:r w:rsidRPr="00C82F43">
        <w:rPr>
          <w:rFonts w:ascii="Times New Roman" w:eastAsiaTheme="minorHAnsi" w:hAnsi="Times New Roman"/>
          <w:sz w:val="24"/>
          <w:szCs w:val="24"/>
        </w:rPr>
        <w:t xml:space="preserve"> – non-</w:t>
      </w:r>
      <w:proofErr w:type="spellStart"/>
      <w:r w:rsidRPr="00C82F43">
        <w:rPr>
          <w:rFonts w:ascii="Times New Roman" w:eastAsiaTheme="minorHAnsi" w:hAnsi="Times New Roman"/>
          <w:sz w:val="24"/>
          <w:szCs w:val="24"/>
        </w:rPr>
        <w:t>phytate</w:t>
      </w:r>
      <w:proofErr w:type="spellEnd"/>
      <w:r w:rsidRPr="00C82F43">
        <w:rPr>
          <w:rFonts w:ascii="Times New Roman" w:eastAsiaTheme="minorHAnsi" w:hAnsi="Times New Roman"/>
          <w:sz w:val="24"/>
          <w:szCs w:val="24"/>
        </w:rPr>
        <w:t xml:space="preserve">-P intake; </w:t>
      </w:r>
      <w:proofErr w:type="spellStart"/>
      <w:r w:rsidRPr="00C82F43">
        <w:rPr>
          <w:rFonts w:ascii="Times New Roman" w:eastAsiaTheme="minorHAnsi" w:hAnsi="Times New Roman"/>
          <w:b/>
          <w:sz w:val="24"/>
          <w:szCs w:val="24"/>
        </w:rPr>
        <w:t>ExPhyt</w:t>
      </w:r>
      <w:proofErr w:type="spellEnd"/>
      <w:r w:rsidRPr="00C82F43">
        <w:rPr>
          <w:rFonts w:ascii="Times New Roman" w:eastAsiaTheme="minorHAnsi" w:hAnsi="Times New Roman"/>
          <w:sz w:val="24"/>
          <w:szCs w:val="24"/>
        </w:rPr>
        <w:t xml:space="preserve"> – exogenous </w:t>
      </w:r>
      <w:proofErr w:type="spellStart"/>
      <w:r w:rsidRPr="00C82F43">
        <w:rPr>
          <w:rFonts w:ascii="Times New Roman" w:eastAsiaTheme="minorHAnsi" w:hAnsi="Times New Roman"/>
          <w:sz w:val="24"/>
          <w:szCs w:val="24"/>
        </w:rPr>
        <w:t>phytase</w:t>
      </w:r>
      <w:proofErr w:type="spellEnd"/>
      <w:r w:rsidRPr="00C82F43">
        <w:rPr>
          <w:rFonts w:ascii="Times New Roman" w:eastAsiaTheme="minorHAnsi" w:hAnsi="Times New Roman"/>
          <w:sz w:val="24"/>
          <w:szCs w:val="24"/>
        </w:rPr>
        <w:t xml:space="preserve"> intake.</w:t>
      </w:r>
    </w:p>
    <w:p w:rsidR="004A107A" w:rsidRPr="00C82F43" w:rsidRDefault="004A107A" w:rsidP="004A107A">
      <w:pPr>
        <w:spacing w:line="259" w:lineRule="auto"/>
        <w:rPr>
          <w:rFonts w:ascii="Times New Roman" w:eastAsiaTheme="minorHAnsi" w:hAnsi="Times New Roman"/>
          <w:sz w:val="24"/>
          <w:szCs w:val="24"/>
        </w:rPr>
      </w:pPr>
    </w:p>
    <w:p w:rsidR="004A107A" w:rsidRPr="00C82F43" w:rsidRDefault="004A107A" w:rsidP="004A107A">
      <w:pPr>
        <w:spacing w:line="259" w:lineRule="auto"/>
        <w:rPr>
          <w:rFonts w:ascii="Times New Roman" w:eastAsiaTheme="minorHAnsi" w:hAnsi="Times New Roman"/>
          <w:sz w:val="24"/>
          <w:szCs w:val="24"/>
        </w:rPr>
      </w:pPr>
    </w:p>
    <w:p w:rsidR="004A107A" w:rsidRPr="00C82F43" w:rsidRDefault="004A107A" w:rsidP="004A107A">
      <w:pPr>
        <w:spacing w:line="259" w:lineRule="auto"/>
        <w:rPr>
          <w:rFonts w:ascii="Times New Roman" w:eastAsiaTheme="minorHAnsi" w:hAnsi="Times New Roman"/>
          <w:sz w:val="24"/>
          <w:szCs w:val="24"/>
        </w:rPr>
      </w:pPr>
    </w:p>
    <w:p w:rsidR="004A107A" w:rsidRPr="00C82F43" w:rsidRDefault="004A107A" w:rsidP="004A107A">
      <w:pPr>
        <w:spacing w:line="259" w:lineRule="auto"/>
        <w:rPr>
          <w:rFonts w:ascii="Times New Roman" w:eastAsiaTheme="minorHAnsi" w:hAnsi="Times New Roman"/>
          <w:sz w:val="24"/>
          <w:szCs w:val="24"/>
        </w:rPr>
      </w:pPr>
    </w:p>
    <w:p w:rsidR="004A107A" w:rsidRPr="00C82F43" w:rsidRDefault="004A107A" w:rsidP="004A107A">
      <w:pPr>
        <w:spacing w:line="259" w:lineRule="auto"/>
        <w:rPr>
          <w:rFonts w:ascii="Times New Roman" w:eastAsiaTheme="minorHAnsi" w:hAnsi="Times New Roman"/>
          <w:sz w:val="24"/>
          <w:szCs w:val="24"/>
        </w:rPr>
      </w:pPr>
    </w:p>
    <w:p w:rsidR="004A107A" w:rsidRPr="00C82F43" w:rsidRDefault="004A107A" w:rsidP="004A107A">
      <w:pPr>
        <w:numPr>
          <w:ilvl w:val="0"/>
          <w:numId w:val="22"/>
        </w:numPr>
        <w:spacing w:line="259" w:lineRule="auto"/>
        <w:contextualSpacing/>
        <w:rPr>
          <w:rFonts w:ascii="Times New Roman" w:eastAsiaTheme="minorHAnsi" w:hAnsi="Times New Roman"/>
          <w:b/>
          <w:sz w:val="24"/>
        </w:rPr>
      </w:pPr>
      <w:r w:rsidRPr="00C82F43">
        <w:rPr>
          <w:rFonts w:ascii="Times New Roman" w:eastAsiaTheme="minorHAnsi" w:hAnsi="Times New Roman"/>
          <w:b/>
          <w:sz w:val="24"/>
        </w:rPr>
        <w:t>Ca retention model (linear regression with cluster robust variances): model summary</w:t>
      </w:r>
    </w:p>
    <w:p w:rsidR="004A107A" w:rsidRPr="00C82F43" w:rsidRDefault="004A107A" w:rsidP="004A107A">
      <w:pPr>
        <w:spacing w:line="259" w:lineRule="auto"/>
        <w:contextualSpacing/>
        <w:rPr>
          <w:rFonts w:ascii="Times New Roman" w:eastAsiaTheme="minorHAnsi" w:hAnsi="Times New Roman"/>
          <w:sz w:val="28"/>
        </w:rPr>
      </w:pPr>
      <w:r w:rsidRPr="00C82F43">
        <w:rPr>
          <w:rFonts w:ascii="Times New Roman" w:eastAsiaTheme="minorHAnsi" w:hAnsi="Times New Roman"/>
          <w:b/>
          <w:sz w:val="24"/>
        </w:rPr>
        <w:t>Table D.</w:t>
      </w:r>
      <w:r w:rsidRPr="00C82F43">
        <w:rPr>
          <w:rFonts w:ascii="Times New Roman" w:eastAsiaTheme="minorHAnsi" w:hAnsi="Times New Roman"/>
          <w:sz w:val="24"/>
        </w:rPr>
        <w:t xml:space="preserve"> Parameter estimates, standard errors and significance levels of the main significant fixed effects and their two-way interactions in the final cluster regression model for Ca retention</w:t>
      </w:r>
      <w:r w:rsidRPr="00C82F43">
        <w:rPr>
          <w:rFonts w:ascii="Times New Roman" w:eastAsiaTheme="minorHAnsi" w:hAnsi="Times New Roman"/>
          <w:i/>
          <w:sz w:val="24"/>
        </w:rPr>
        <w:t>.</w:t>
      </w:r>
    </w:p>
    <w:tbl>
      <w:tblPr>
        <w:tblW w:w="6575" w:type="dxa"/>
        <w:tblLook w:val="04A0" w:firstRow="1" w:lastRow="0" w:firstColumn="1" w:lastColumn="0" w:noHBand="0" w:noVBand="1"/>
      </w:tblPr>
      <w:tblGrid>
        <w:gridCol w:w="2324"/>
        <w:gridCol w:w="1417"/>
        <w:gridCol w:w="1417"/>
        <w:gridCol w:w="1417"/>
      </w:tblGrid>
      <w:tr w:rsidR="00C82F43" w:rsidRPr="00C82F43" w:rsidTr="002A1360">
        <w:trPr>
          <w:trHeight w:val="340"/>
        </w:trPr>
        <w:tc>
          <w:tcPr>
            <w:tcW w:w="2324"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Variable</w:t>
            </w:r>
          </w:p>
        </w:tc>
        <w:tc>
          <w:tcPr>
            <w:tcW w:w="1417"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Estimate (β)</w:t>
            </w:r>
          </w:p>
        </w:tc>
        <w:tc>
          <w:tcPr>
            <w:tcW w:w="1417"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proofErr w:type="spellStart"/>
            <w:r w:rsidRPr="00C82F43">
              <w:rPr>
                <w:rFonts w:ascii="Times New Roman" w:eastAsia="Times New Roman" w:hAnsi="Times New Roman"/>
                <w:b/>
                <w:bCs/>
                <w:sz w:val="24"/>
                <w:szCs w:val="24"/>
                <w:lang w:eastAsia="en-GB"/>
              </w:rPr>
              <w:t>Std</w:t>
            </w:r>
            <w:proofErr w:type="spellEnd"/>
            <w:r w:rsidRPr="00C82F43">
              <w:rPr>
                <w:rFonts w:ascii="Times New Roman" w:eastAsia="Times New Roman" w:hAnsi="Times New Roman"/>
                <w:b/>
                <w:bCs/>
                <w:sz w:val="24"/>
                <w:szCs w:val="24"/>
                <w:lang w:eastAsia="en-GB"/>
              </w:rPr>
              <w:t xml:space="preserve"> Error (SE)</w:t>
            </w:r>
          </w:p>
        </w:tc>
        <w:tc>
          <w:tcPr>
            <w:tcW w:w="1417" w:type="dxa"/>
            <w:tcBorders>
              <w:top w:val="single" w:sz="4" w:space="0" w:color="auto"/>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b/>
                <w:bCs/>
                <w:sz w:val="24"/>
                <w:szCs w:val="24"/>
                <w:lang w:eastAsia="en-GB"/>
              </w:rPr>
            </w:pPr>
            <w:r w:rsidRPr="00C82F43">
              <w:rPr>
                <w:rFonts w:ascii="Times New Roman" w:eastAsia="Times New Roman" w:hAnsi="Times New Roman"/>
                <w:b/>
                <w:bCs/>
                <w:sz w:val="24"/>
                <w:szCs w:val="24"/>
                <w:lang w:eastAsia="en-GB"/>
              </w:rPr>
              <w:t>P-value (p)</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Intercept</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-0.0151</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0.0136</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0.433</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  0.0486</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center"/>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 </w:t>
            </w:r>
            <w:r w:rsidR="004A107A" w:rsidRPr="00C82F43">
              <w:rPr>
                <w:rFonts w:ascii="Times New Roman" w:eastAsia="Times New Roman" w:hAnsi="Times New Roman"/>
                <w:sz w:val="24"/>
                <w:szCs w:val="24"/>
                <w:lang w:eastAsia="en-GB"/>
              </w:rPr>
              <w:t>&lt; 0.001</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-0.0503</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0.0910</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NPP</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 0.213</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0.107</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center"/>
            <w:hideMark/>
          </w:tcPr>
          <w:p w:rsidR="004A107A" w:rsidRPr="00C82F43" w:rsidRDefault="0086439A" w:rsidP="0086439A">
            <w:pPr>
              <w:spacing w:after="0" w:line="240" w:lineRule="auto"/>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     </w:t>
            </w:r>
            <w:r w:rsidR="004A107A" w:rsidRPr="00C82F43">
              <w:rPr>
                <w:rFonts w:ascii="Times New Roman" w:eastAsia="Times New Roman" w:hAnsi="Times New Roman"/>
                <w:sz w:val="24"/>
                <w:szCs w:val="24"/>
                <w:lang w:eastAsia="en-GB"/>
              </w:rPr>
              <w:t>&lt; 0.05</w:t>
            </w:r>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0.00122</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0.000356</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center"/>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 </w:t>
            </w:r>
            <w:r w:rsidR="004A107A" w:rsidRPr="00C82F43">
              <w:rPr>
                <w:rFonts w:ascii="Times New Roman" w:eastAsia="Times New Roman" w:hAnsi="Times New Roman"/>
                <w:sz w:val="24"/>
                <w:szCs w:val="24"/>
                <w:lang w:eastAsia="en-GB"/>
              </w:rPr>
              <w:t>&lt; 0.001</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-0.00416</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0.00183</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0.05</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TCa</w:t>
            </w:r>
            <w:proofErr w:type="spellEnd"/>
            <w:r w:rsidRPr="00C82F43">
              <w:rPr>
                <w:rFonts w:ascii="Times New Roman" w:eastAsia="Times New Roman" w:hAnsi="Times New Roman"/>
                <w:sz w:val="24"/>
                <w:szCs w:val="24"/>
                <w:lang w:eastAsia="en-GB"/>
              </w:rPr>
              <w:t xml:space="preserve"> x NPP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0.00478</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bottom"/>
            <w:hideMark/>
          </w:tcPr>
          <w:p w:rsidR="004A107A" w:rsidRPr="00C82F43" w:rsidRDefault="0086439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0.00298</w:t>
            </w:r>
            <w:r w:rsidR="004A107A" w:rsidRPr="00C82F43">
              <w:rPr>
                <w:rFonts w:ascii="Times New Roman" w:eastAsia="Times New Roman" w:hAnsi="Times New Roman"/>
                <w:sz w:val="24"/>
                <w:szCs w:val="24"/>
                <w:lang w:eastAsia="en-GB"/>
              </w:rPr>
              <w:t xml:space="preserve">   </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&lt; 0.05</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PP x NPP</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r w:rsidRPr="00C82F43">
              <w:rPr>
                <w:rFonts w:ascii="Times New Roman" w:eastAsia="Times New Roman" w:hAnsi="Times New Roman"/>
                <w:sz w:val="24"/>
                <w:szCs w:val="24"/>
                <w:lang w:eastAsia="en-GB"/>
              </w:rPr>
              <w:t>.</w:t>
            </w:r>
          </w:p>
        </w:tc>
      </w:tr>
      <w:tr w:rsidR="00C82F43" w:rsidRPr="00C82F43" w:rsidTr="002A1360">
        <w:trPr>
          <w:trHeight w:val="340"/>
        </w:trPr>
        <w:tc>
          <w:tcPr>
            <w:tcW w:w="2324" w:type="dxa"/>
            <w:tcBorders>
              <w:top w:val="nil"/>
              <w:left w:val="nil"/>
              <w:bottom w:val="nil"/>
              <w:right w:val="nil"/>
            </w:tcBorders>
            <w:shd w:val="clear" w:color="auto" w:fill="auto"/>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 xml:space="preserve">NPP x </w:t>
            </w:r>
            <w:proofErr w:type="spellStart"/>
            <w:r w:rsidRPr="00C82F43">
              <w:rPr>
                <w:rFonts w:ascii="Times New Roman" w:eastAsia="Times New Roman" w:hAnsi="Times New Roman"/>
                <w:sz w:val="24"/>
                <w:szCs w:val="24"/>
                <w:lang w:eastAsia="en-GB"/>
              </w:rPr>
              <w:t>ExPhyt</w:t>
            </w:r>
            <w:proofErr w:type="spellEnd"/>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2A1360">
        <w:trPr>
          <w:trHeight w:val="340"/>
        </w:trPr>
        <w:tc>
          <w:tcPr>
            <w:tcW w:w="2324"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genotype</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nil"/>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r w:rsidR="00C82F43" w:rsidRPr="00C82F43" w:rsidTr="002A1360">
        <w:trPr>
          <w:trHeight w:val="340"/>
        </w:trPr>
        <w:tc>
          <w:tcPr>
            <w:tcW w:w="2324" w:type="dxa"/>
            <w:tcBorders>
              <w:top w:val="nil"/>
              <w:left w:val="nil"/>
              <w:bottom w:val="single" w:sz="8" w:space="0" w:color="auto"/>
              <w:right w:val="nil"/>
            </w:tcBorders>
            <w:shd w:val="clear" w:color="auto" w:fill="auto"/>
            <w:noWrap/>
            <w:vAlign w:val="bottom"/>
            <w:hideMark/>
          </w:tcPr>
          <w:p w:rsidR="004A107A" w:rsidRPr="00C82F43" w:rsidRDefault="004A107A" w:rsidP="004A107A">
            <w:pPr>
              <w:spacing w:after="0" w:line="240" w:lineRule="auto"/>
              <w:ind w:left="720"/>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Pig gender</w:t>
            </w:r>
          </w:p>
        </w:tc>
        <w:tc>
          <w:tcPr>
            <w:tcW w:w="1417" w:type="dxa"/>
            <w:tcBorders>
              <w:top w:val="nil"/>
              <w:left w:val="nil"/>
              <w:bottom w:val="single" w:sz="8" w:space="0" w:color="auto"/>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bottom"/>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r w:rsidRPr="00C82F43">
              <w:rPr>
                <w:rFonts w:ascii="Times New Roman" w:eastAsia="Times New Roman" w:hAnsi="Times New Roman"/>
                <w:sz w:val="24"/>
                <w:szCs w:val="24"/>
                <w:lang w:eastAsia="en-GB"/>
              </w:rPr>
              <w:t>-</w:t>
            </w:r>
          </w:p>
        </w:tc>
        <w:tc>
          <w:tcPr>
            <w:tcW w:w="1417" w:type="dxa"/>
            <w:tcBorders>
              <w:top w:val="nil"/>
              <w:left w:val="nil"/>
              <w:bottom w:val="single" w:sz="8" w:space="0" w:color="auto"/>
              <w:right w:val="nil"/>
            </w:tcBorders>
            <w:shd w:val="clear" w:color="auto" w:fill="auto"/>
            <w:noWrap/>
            <w:vAlign w:val="center"/>
            <w:hideMark/>
          </w:tcPr>
          <w:p w:rsidR="004A107A" w:rsidRPr="00C82F43" w:rsidRDefault="004A107A" w:rsidP="004A107A">
            <w:pPr>
              <w:spacing w:after="0" w:line="240" w:lineRule="auto"/>
              <w:jc w:val="center"/>
              <w:rPr>
                <w:rFonts w:ascii="Times New Roman" w:eastAsia="Times New Roman" w:hAnsi="Times New Roman"/>
                <w:sz w:val="24"/>
                <w:szCs w:val="24"/>
                <w:lang w:eastAsia="en-GB"/>
              </w:rPr>
            </w:pPr>
            <w:proofErr w:type="spellStart"/>
            <w:r w:rsidRPr="00C82F43">
              <w:rPr>
                <w:rFonts w:ascii="Times New Roman" w:eastAsia="Times New Roman" w:hAnsi="Times New Roman"/>
                <w:sz w:val="24"/>
                <w:szCs w:val="24"/>
                <w:lang w:eastAsia="en-GB"/>
              </w:rPr>
              <w:t>n.s</w:t>
            </w:r>
            <w:proofErr w:type="spellEnd"/>
          </w:p>
        </w:tc>
      </w:tr>
    </w:tbl>
    <w:p w:rsidR="00C14096" w:rsidRPr="00C82F43" w:rsidRDefault="004A107A" w:rsidP="00520FA5">
      <w:pPr>
        <w:spacing w:line="259" w:lineRule="auto"/>
        <w:rPr>
          <w:rFonts w:ascii="Times New Roman" w:eastAsiaTheme="minorHAnsi" w:hAnsi="Times New Roman"/>
          <w:sz w:val="24"/>
          <w:szCs w:val="24"/>
        </w:rPr>
      </w:pPr>
      <w:proofErr w:type="spellStart"/>
      <w:r w:rsidRPr="00C82F43">
        <w:rPr>
          <w:rFonts w:ascii="Times New Roman" w:hAnsi="Times New Roman"/>
          <w:b/>
          <w:sz w:val="24"/>
          <w:szCs w:val="24"/>
        </w:rPr>
        <w:t>TCa</w:t>
      </w:r>
      <w:proofErr w:type="spellEnd"/>
      <w:r w:rsidRPr="00C82F43">
        <w:rPr>
          <w:rFonts w:ascii="Times New Roman" w:hAnsi="Times New Roman"/>
          <w:b/>
          <w:sz w:val="24"/>
          <w:szCs w:val="24"/>
        </w:rPr>
        <w:t xml:space="preserve"> </w:t>
      </w:r>
      <w:r w:rsidRPr="00C82F43">
        <w:rPr>
          <w:rFonts w:ascii="Times New Roman" w:hAnsi="Times New Roman"/>
          <w:sz w:val="24"/>
          <w:szCs w:val="24"/>
        </w:rPr>
        <w:t xml:space="preserve">– total Ca intake; </w:t>
      </w:r>
      <w:r w:rsidRPr="00C82F43">
        <w:rPr>
          <w:rFonts w:ascii="Times New Roman" w:hAnsi="Times New Roman"/>
          <w:b/>
          <w:sz w:val="24"/>
          <w:szCs w:val="24"/>
        </w:rPr>
        <w:t>TP</w:t>
      </w:r>
      <w:r w:rsidRPr="00C82F43">
        <w:rPr>
          <w:rFonts w:ascii="Times New Roman" w:hAnsi="Times New Roman"/>
          <w:sz w:val="24"/>
          <w:szCs w:val="24"/>
        </w:rPr>
        <w:t xml:space="preserve"> – total P intake; </w:t>
      </w:r>
      <w:r w:rsidRPr="00C82F43">
        <w:rPr>
          <w:rFonts w:ascii="Times New Roman" w:hAnsi="Times New Roman"/>
          <w:b/>
          <w:sz w:val="24"/>
          <w:szCs w:val="24"/>
        </w:rPr>
        <w:t>PP</w:t>
      </w:r>
      <w:r w:rsidRPr="00C82F43">
        <w:rPr>
          <w:rFonts w:ascii="Times New Roman" w:hAnsi="Times New Roman"/>
          <w:sz w:val="24"/>
          <w:szCs w:val="24"/>
        </w:rPr>
        <w:t xml:space="preserve"> – </w:t>
      </w:r>
      <w:proofErr w:type="spellStart"/>
      <w:r w:rsidRPr="00C82F43">
        <w:rPr>
          <w:rFonts w:ascii="Times New Roman" w:hAnsi="Times New Roman"/>
          <w:sz w:val="24"/>
          <w:szCs w:val="24"/>
        </w:rPr>
        <w:t>phytate</w:t>
      </w:r>
      <w:proofErr w:type="spellEnd"/>
      <w:r w:rsidRPr="00C82F43">
        <w:rPr>
          <w:rFonts w:ascii="Times New Roman" w:hAnsi="Times New Roman"/>
          <w:sz w:val="24"/>
          <w:szCs w:val="24"/>
        </w:rPr>
        <w:t xml:space="preserve">-P intake; </w:t>
      </w:r>
      <w:r w:rsidRPr="00C82F43">
        <w:rPr>
          <w:rFonts w:ascii="Times New Roman" w:hAnsi="Times New Roman"/>
          <w:b/>
          <w:sz w:val="24"/>
          <w:szCs w:val="24"/>
        </w:rPr>
        <w:t>NPP</w:t>
      </w:r>
      <w:r w:rsidRPr="00C82F43">
        <w:rPr>
          <w:rFonts w:ascii="Times New Roman" w:hAnsi="Times New Roman"/>
          <w:sz w:val="24"/>
          <w:szCs w:val="24"/>
        </w:rPr>
        <w:t xml:space="preserve"> – non-</w:t>
      </w:r>
      <w:proofErr w:type="spellStart"/>
      <w:r w:rsidRPr="00C82F43">
        <w:rPr>
          <w:rFonts w:ascii="Times New Roman" w:hAnsi="Times New Roman"/>
          <w:sz w:val="24"/>
          <w:szCs w:val="24"/>
        </w:rPr>
        <w:t>phytate</w:t>
      </w:r>
      <w:proofErr w:type="spellEnd"/>
      <w:r w:rsidRPr="00C82F43">
        <w:rPr>
          <w:rFonts w:ascii="Times New Roman" w:hAnsi="Times New Roman"/>
          <w:sz w:val="24"/>
          <w:szCs w:val="24"/>
        </w:rPr>
        <w:t>-P intake</w:t>
      </w:r>
      <w:r w:rsidR="00520FA5" w:rsidRPr="00C82F43">
        <w:rPr>
          <w:rFonts w:ascii="Times New Roman" w:eastAsiaTheme="minorHAnsi" w:hAnsi="Times New Roman"/>
          <w:sz w:val="24"/>
          <w:szCs w:val="24"/>
        </w:rPr>
        <w:t xml:space="preserve">; </w:t>
      </w:r>
      <w:proofErr w:type="spellStart"/>
      <w:r w:rsidR="00520FA5" w:rsidRPr="00C82F43">
        <w:rPr>
          <w:rFonts w:ascii="Times New Roman" w:eastAsiaTheme="minorHAnsi" w:hAnsi="Times New Roman"/>
          <w:b/>
          <w:sz w:val="24"/>
          <w:szCs w:val="24"/>
        </w:rPr>
        <w:t>ExPhyt</w:t>
      </w:r>
      <w:proofErr w:type="spellEnd"/>
      <w:r w:rsidR="00520FA5" w:rsidRPr="00C82F43">
        <w:rPr>
          <w:rFonts w:ascii="Times New Roman" w:eastAsiaTheme="minorHAnsi" w:hAnsi="Times New Roman"/>
          <w:sz w:val="24"/>
          <w:szCs w:val="24"/>
        </w:rPr>
        <w:t xml:space="preserve"> – exogenous </w:t>
      </w:r>
      <w:proofErr w:type="spellStart"/>
      <w:r w:rsidR="00520FA5" w:rsidRPr="00C82F43">
        <w:rPr>
          <w:rFonts w:ascii="Times New Roman" w:eastAsiaTheme="minorHAnsi" w:hAnsi="Times New Roman"/>
          <w:sz w:val="24"/>
          <w:szCs w:val="24"/>
        </w:rPr>
        <w:t>phytase</w:t>
      </w:r>
      <w:proofErr w:type="spellEnd"/>
      <w:r w:rsidR="00520FA5" w:rsidRPr="00C82F43">
        <w:rPr>
          <w:rFonts w:ascii="Times New Roman" w:eastAsiaTheme="minorHAnsi" w:hAnsi="Times New Roman"/>
          <w:sz w:val="24"/>
          <w:szCs w:val="24"/>
        </w:rPr>
        <w:t xml:space="preserve"> intake.</w:t>
      </w:r>
      <w:bookmarkEnd w:id="0"/>
    </w:p>
    <w:sectPr w:rsidR="00C14096" w:rsidRPr="00C82F43" w:rsidSect="00C14096">
      <w:type w:val="continuous"/>
      <w:pgSz w:w="16838" w:h="11906" w:orient="landscape"/>
      <w:pgMar w:top="1134" w:right="1134" w:bottom="1134" w:left="1134" w:header="709" w:footer="709" w:gutter="0"/>
      <w:lnNumType w:countBy="1" w:restart="continuou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7BB" w:rsidRDefault="004857BB" w:rsidP="00285234">
      <w:pPr>
        <w:spacing w:after="0" w:line="240" w:lineRule="auto"/>
      </w:pPr>
      <w:r>
        <w:separator/>
      </w:r>
    </w:p>
  </w:endnote>
  <w:endnote w:type="continuationSeparator" w:id="0">
    <w:p w:rsidR="004857BB" w:rsidRDefault="004857BB" w:rsidP="0028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Sorts">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604900"/>
      <w:docPartObj>
        <w:docPartGallery w:val="Page Numbers (Bottom of Page)"/>
        <w:docPartUnique/>
      </w:docPartObj>
    </w:sdtPr>
    <w:sdtEndPr>
      <w:rPr>
        <w:noProof/>
      </w:rPr>
    </w:sdtEndPr>
    <w:sdtContent>
      <w:p w:rsidR="004857BB" w:rsidRDefault="004857BB">
        <w:pPr>
          <w:pStyle w:val="Footer"/>
          <w:jc w:val="right"/>
        </w:pPr>
        <w:r>
          <w:fldChar w:fldCharType="begin"/>
        </w:r>
        <w:r>
          <w:instrText xml:space="preserve"> PAGE   \* MERGEFORMAT </w:instrText>
        </w:r>
        <w:r>
          <w:fldChar w:fldCharType="separate"/>
        </w:r>
        <w:r w:rsidR="00C82F43">
          <w:rPr>
            <w:noProof/>
          </w:rPr>
          <w:t>15</w:t>
        </w:r>
        <w:r>
          <w:rPr>
            <w:noProof/>
          </w:rPr>
          <w:fldChar w:fldCharType="end"/>
        </w:r>
      </w:p>
    </w:sdtContent>
  </w:sdt>
  <w:p w:rsidR="004857BB" w:rsidRDefault="00485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7BB" w:rsidRDefault="004857BB" w:rsidP="00285234">
      <w:pPr>
        <w:spacing w:after="0" w:line="240" w:lineRule="auto"/>
      </w:pPr>
      <w:r>
        <w:separator/>
      </w:r>
    </w:p>
  </w:footnote>
  <w:footnote w:type="continuationSeparator" w:id="0">
    <w:p w:rsidR="004857BB" w:rsidRDefault="004857BB" w:rsidP="00285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54B"/>
    <w:multiLevelType w:val="hybridMultilevel"/>
    <w:tmpl w:val="F8E86340"/>
    <w:lvl w:ilvl="0" w:tplc="CF743FF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6F4CF9"/>
    <w:multiLevelType w:val="hybridMultilevel"/>
    <w:tmpl w:val="4FF6F6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8B36D02"/>
    <w:multiLevelType w:val="hybridMultilevel"/>
    <w:tmpl w:val="EFD2D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A5615"/>
    <w:multiLevelType w:val="hybridMultilevel"/>
    <w:tmpl w:val="35767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D3ACD"/>
    <w:multiLevelType w:val="hybridMultilevel"/>
    <w:tmpl w:val="EB40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958C6"/>
    <w:multiLevelType w:val="hybridMultilevel"/>
    <w:tmpl w:val="E3B65262"/>
    <w:lvl w:ilvl="0" w:tplc="F21E1D58">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F2A89"/>
    <w:multiLevelType w:val="hybridMultilevel"/>
    <w:tmpl w:val="ED964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7064E4"/>
    <w:multiLevelType w:val="hybridMultilevel"/>
    <w:tmpl w:val="9FF02A28"/>
    <w:lvl w:ilvl="0" w:tplc="E202ECA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50E0D"/>
    <w:multiLevelType w:val="hybridMultilevel"/>
    <w:tmpl w:val="5B121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AB0CBA"/>
    <w:multiLevelType w:val="hybridMultilevel"/>
    <w:tmpl w:val="B7F244DA"/>
    <w:lvl w:ilvl="0" w:tplc="BC2EDA46">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453EC"/>
    <w:multiLevelType w:val="hybridMultilevel"/>
    <w:tmpl w:val="8D2EAB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F5D4756"/>
    <w:multiLevelType w:val="hybridMultilevel"/>
    <w:tmpl w:val="D03ADD14"/>
    <w:lvl w:ilvl="0" w:tplc="DEFAC136">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E765489"/>
    <w:multiLevelType w:val="hybridMultilevel"/>
    <w:tmpl w:val="1CC2820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4A0455"/>
    <w:multiLevelType w:val="hybridMultilevel"/>
    <w:tmpl w:val="A9C696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1AF7AAC"/>
    <w:multiLevelType w:val="hybridMultilevel"/>
    <w:tmpl w:val="830CC3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DF6C0A"/>
    <w:multiLevelType w:val="hybridMultilevel"/>
    <w:tmpl w:val="C2248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84746"/>
    <w:multiLevelType w:val="hybridMultilevel"/>
    <w:tmpl w:val="42FAFCD4"/>
    <w:lvl w:ilvl="0" w:tplc="FB489EE2">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7760E"/>
    <w:multiLevelType w:val="hybridMultilevel"/>
    <w:tmpl w:val="984C0310"/>
    <w:lvl w:ilvl="0" w:tplc="76B8FED4">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21D82"/>
    <w:multiLevelType w:val="hybridMultilevel"/>
    <w:tmpl w:val="5D202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E14EDD"/>
    <w:multiLevelType w:val="hybridMultilevel"/>
    <w:tmpl w:val="84B6C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7D7686"/>
    <w:multiLevelType w:val="hybridMultilevel"/>
    <w:tmpl w:val="6E60D22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7B53C5"/>
    <w:multiLevelType w:val="hybridMultilevel"/>
    <w:tmpl w:val="D450A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9"/>
  </w:num>
  <w:num w:numId="9">
    <w:abstractNumId w:val="8"/>
  </w:num>
  <w:num w:numId="10">
    <w:abstractNumId w:val="6"/>
  </w:num>
  <w:num w:numId="11">
    <w:abstractNumId w:val="11"/>
  </w:num>
  <w:num w:numId="12">
    <w:abstractNumId w:val="3"/>
  </w:num>
  <w:num w:numId="13">
    <w:abstractNumId w:val="18"/>
  </w:num>
  <w:num w:numId="14">
    <w:abstractNumId w:val="15"/>
  </w:num>
  <w:num w:numId="15">
    <w:abstractNumId w:val="20"/>
  </w:num>
  <w:num w:numId="16">
    <w:abstractNumId w:val="12"/>
  </w:num>
  <w:num w:numId="17">
    <w:abstractNumId w:val="2"/>
  </w:num>
  <w:num w:numId="18">
    <w:abstractNumId w:val="17"/>
  </w:num>
  <w:num w:numId="19">
    <w:abstractNumId w:val="5"/>
  </w:num>
  <w:num w:numId="20">
    <w:abstractNumId w:val="9"/>
  </w:num>
  <w:num w:numId="21">
    <w:abstractNumId w:val="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B4"/>
    <w:rsid w:val="00001532"/>
    <w:rsid w:val="0004599C"/>
    <w:rsid w:val="00060627"/>
    <w:rsid w:val="000F112D"/>
    <w:rsid w:val="001443A2"/>
    <w:rsid w:val="001457F2"/>
    <w:rsid w:val="002103C3"/>
    <w:rsid w:val="00285234"/>
    <w:rsid w:val="002A1360"/>
    <w:rsid w:val="002C70FA"/>
    <w:rsid w:val="00317E41"/>
    <w:rsid w:val="003A3C97"/>
    <w:rsid w:val="003C19DA"/>
    <w:rsid w:val="003C4001"/>
    <w:rsid w:val="00451D3A"/>
    <w:rsid w:val="004857BB"/>
    <w:rsid w:val="004A107A"/>
    <w:rsid w:val="004B1AF5"/>
    <w:rsid w:val="00520FA5"/>
    <w:rsid w:val="0053160A"/>
    <w:rsid w:val="00667745"/>
    <w:rsid w:val="006D299B"/>
    <w:rsid w:val="00811B5E"/>
    <w:rsid w:val="00852698"/>
    <w:rsid w:val="0086439A"/>
    <w:rsid w:val="00871ABF"/>
    <w:rsid w:val="00881766"/>
    <w:rsid w:val="008F60B4"/>
    <w:rsid w:val="00912825"/>
    <w:rsid w:val="00987A4C"/>
    <w:rsid w:val="00A02150"/>
    <w:rsid w:val="00AC7781"/>
    <w:rsid w:val="00B91552"/>
    <w:rsid w:val="00BB14E9"/>
    <w:rsid w:val="00BD4351"/>
    <w:rsid w:val="00C14096"/>
    <w:rsid w:val="00C82F43"/>
    <w:rsid w:val="00CB1AB5"/>
    <w:rsid w:val="00D6139A"/>
    <w:rsid w:val="00DA5EAD"/>
    <w:rsid w:val="00E42E8A"/>
    <w:rsid w:val="00EB0D29"/>
    <w:rsid w:val="00F2061D"/>
    <w:rsid w:val="00F368BF"/>
    <w:rsid w:val="00F460B0"/>
    <w:rsid w:val="00F56AD1"/>
    <w:rsid w:val="00F75257"/>
    <w:rsid w:val="00F82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7E028-813C-40A7-A1A8-8441AB11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B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F60B4"/>
  </w:style>
  <w:style w:type="paragraph" w:styleId="ListParagraph">
    <w:name w:val="List Paragraph"/>
    <w:basedOn w:val="Normal"/>
    <w:link w:val="ListParagraphChar"/>
    <w:uiPriority w:val="34"/>
    <w:qFormat/>
    <w:rsid w:val="008F60B4"/>
    <w:pPr>
      <w:ind w:left="720"/>
      <w:contextualSpacing/>
    </w:pPr>
    <w:rPr>
      <w:rFonts w:asciiTheme="minorHAnsi" w:eastAsiaTheme="minorHAnsi" w:hAnsiTheme="minorHAnsi" w:cstheme="minorBidi"/>
    </w:rPr>
  </w:style>
  <w:style w:type="character" w:styleId="LineNumber">
    <w:name w:val="line number"/>
    <w:basedOn w:val="DefaultParagraphFont"/>
    <w:uiPriority w:val="99"/>
    <w:semiHidden/>
    <w:unhideWhenUsed/>
    <w:rsid w:val="00285234"/>
  </w:style>
  <w:style w:type="paragraph" w:styleId="Header">
    <w:name w:val="header"/>
    <w:basedOn w:val="Normal"/>
    <w:link w:val="HeaderChar"/>
    <w:uiPriority w:val="99"/>
    <w:unhideWhenUsed/>
    <w:rsid w:val="00285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234"/>
    <w:rPr>
      <w:rFonts w:ascii="Calibri" w:eastAsia="Calibri" w:hAnsi="Calibri" w:cs="Times New Roman"/>
    </w:rPr>
  </w:style>
  <w:style w:type="paragraph" w:styleId="Footer">
    <w:name w:val="footer"/>
    <w:basedOn w:val="Normal"/>
    <w:link w:val="FooterChar"/>
    <w:uiPriority w:val="99"/>
    <w:unhideWhenUsed/>
    <w:rsid w:val="00285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234"/>
    <w:rPr>
      <w:rFonts w:ascii="Calibri" w:eastAsia="Calibri" w:hAnsi="Calibri" w:cs="Times New Roman"/>
    </w:rPr>
  </w:style>
  <w:style w:type="paragraph" w:styleId="BalloonText">
    <w:name w:val="Balloon Text"/>
    <w:basedOn w:val="Normal"/>
    <w:link w:val="BalloonTextChar"/>
    <w:uiPriority w:val="99"/>
    <w:semiHidden/>
    <w:unhideWhenUsed/>
    <w:rsid w:val="00852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9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9099">
      <w:bodyDiv w:val="1"/>
      <w:marLeft w:val="0"/>
      <w:marRight w:val="0"/>
      <w:marTop w:val="0"/>
      <w:marBottom w:val="0"/>
      <w:divBdr>
        <w:top w:val="none" w:sz="0" w:space="0" w:color="auto"/>
        <w:left w:val="none" w:sz="0" w:space="0" w:color="auto"/>
        <w:bottom w:val="none" w:sz="0" w:space="0" w:color="auto"/>
        <w:right w:val="none" w:sz="0" w:space="0" w:color="auto"/>
      </w:divBdr>
    </w:div>
    <w:div w:id="65689606">
      <w:bodyDiv w:val="1"/>
      <w:marLeft w:val="0"/>
      <w:marRight w:val="0"/>
      <w:marTop w:val="0"/>
      <w:marBottom w:val="0"/>
      <w:divBdr>
        <w:top w:val="none" w:sz="0" w:space="0" w:color="auto"/>
        <w:left w:val="none" w:sz="0" w:space="0" w:color="auto"/>
        <w:bottom w:val="none" w:sz="0" w:space="0" w:color="auto"/>
        <w:right w:val="none" w:sz="0" w:space="0" w:color="auto"/>
      </w:divBdr>
    </w:div>
    <w:div w:id="134957147">
      <w:bodyDiv w:val="1"/>
      <w:marLeft w:val="0"/>
      <w:marRight w:val="0"/>
      <w:marTop w:val="0"/>
      <w:marBottom w:val="0"/>
      <w:divBdr>
        <w:top w:val="none" w:sz="0" w:space="0" w:color="auto"/>
        <w:left w:val="none" w:sz="0" w:space="0" w:color="auto"/>
        <w:bottom w:val="none" w:sz="0" w:space="0" w:color="auto"/>
        <w:right w:val="none" w:sz="0" w:space="0" w:color="auto"/>
      </w:divBdr>
    </w:div>
    <w:div w:id="236519566">
      <w:bodyDiv w:val="1"/>
      <w:marLeft w:val="0"/>
      <w:marRight w:val="0"/>
      <w:marTop w:val="0"/>
      <w:marBottom w:val="0"/>
      <w:divBdr>
        <w:top w:val="none" w:sz="0" w:space="0" w:color="auto"/>
        <w:left w:val="none" w:sz="0" w:space="0" w:color="auto"/>
        <w:bottom w:val="none" w:sz="0" w:space="0" w:color="auto"/>
        <w:right w:val="none" w:sz="0" w:space="0" w:color="auto"/>
      </w:divBdr>
    </w:div>
    <w:div w:id="250047188">
      <w:bodyDiv w:val="1"/>
      <w:marLeft w:val="0"/>
      <w:marRight w:val="0"/>
      <w:marTop w:val="0"/>
      <w:marBottom w:val="0"/>
      <w:divBdr>
        <w:top w:val="none" w:sz="0" w:space="0" w:color="auto"/>
        <w:left w:val="none" w:sz="0" w:space="0" w:color="auto"/>
        <w:bottom w:val="none" w:sz="0" w:space="0" w:color="auto"/>
        <w:right w:val="none" w:sz="0" w:space="0" w:color="auto"/>
      </w:divBdr>
    </w:div>
    <w:div w:id="283967538">
      <w:bodyDiv w:val="1"/>
      <w:marLeft w:val="0"/>
      <w:marRight w:val="0"/>
      <w:marTop w:val="0"/>
      <w:marBottom w:val="0"/>
      <w:divBdr>
        <w:top w:val="none" w:sz="0" w:space="0" w:color="auto"/>
        <w:left w:val="none" w:sz="0" w:space="0" w:color="auto"/>
        <w:bottom w:val="none" w:sz="0" w:space="0" w:color="auto"/>
        <w:right w:val="none" w:sz="0" w:space="0" w:color="auto"/>
      </w:divBdr>
    </w:div>
    <w:div w:id="452528383">
      <w:bodyDiv w:val="1"/>
      <w:marLeft w:val="0"/>
      <w:marRight w:val="0"/>
      <w:marTop w:val="0"/>
      <w:marBottom w:val="0"/>
      <w:divBdr>
        <w:top w:val="none" w:sz="0" w:space="0" w:color="auto"/>
        <w:left w:val="none" w:sz="0" w:space="0" w:color="auto"/>
        <w:bottom w:val="none" w:sz="0" w:space="0" w:color="auto"/>
        <w:right w:val="none" w:sz="0" w:space="0" w:color="auto"/>
      </w:divBdr>
    </w:div>
    <w:div w:id="528419156">
      <w:bodyDiv w:val="1"/>
      <w:marLeft w:val="0"/>
      <w:marRight w:val="0"/>
      <w:marTop w:val="0"/>
      <w:marBottom w:val="0"/>
      <w:divBdr>
        <w:top w:val="none" w:sz="0" w:space="0" w:color="auto"/>
        <w:left w:val="none" w:sz="0" w:space="0" w:color="auto"/>
        <w:bottom w:val="none" w:sz="0" w:space="0" w:color="auto"/>
        <w:right w:val="none" w:sz="0" w:space="0" w:color="auto"/>
      </w:divBdr>
    </w:div>
    <w:div w:id="539785697">
      <w:bodyDiv w:val="1"/>
      <w:marLeft w:val="0"/>
      <w:marRight w:val="0"/>
      <w:marTop w:val="0"/>
      <w:marBottom w:val="0"/>
      <w:divBdr>
        <w:top w:val="none" w:sz="0" w:space="0" w:color="auto"/>
        <w:left w:val="none" w:sz="0" w:space="0" w:color="auto"/>
        <w:bottom w:val="none" w:sz="0" w:space="0" w:color="auto"/>
        <w:right w:val="none" w:sz="0" w:space="0" w:color="auto"/>
      </w:divBdr>
    </w:div>
    <w:div w:id="544949620">
      <w:bodyDiv w:val="1"/>
      <w:marLeft w:val="0"/>
      <w:marRight w:val="0"/>
      <w:marTop w:val="0"/>
      <w:marBottom w:val="0"/>
      <w:divBdr>
        <w:top w:val="none" w:sz="0" w:space="0" w:color="auto"/>
        <w:left w:val="none" w:sz="0" w:space="0" w:color="auto"/>
        <w:bottom w:val="none" w:sz="0" w:space="0" w:color="auto"/>
        <w:right w:val="none" w:sz="0" w:space="0" w:color="auto"/>
      </w:divBdr>
    </w:div>
    <w:div w:id="604967077">
      <w:bodyDiv w:val="1"/>
      <w:marLeft w:val="0"/>
      <w:marRight w:val="0"/>
      <w:marTop w:val="0"/>
      <w:marBottom w:val="0"/>
      <w:divBdr>
        <w:top w:val="none" w:sz="0" w:space="0" w:color="auto"/>
        <w:left w:val="none" w:sz="0" w:space="0" w:color="auto"/>
        <w:bottom w:val="none" w:sz="0" w:space="0" w:color="auto"/>
        <w:right w:val="none" w:sz="0" w:space="0" w:color="auto"/>
      </w:divBdr>
    </w:div>
    <w:div w:id="622660471">
      <w:bodyDiv w:val="1"/>
      <w:marLeft w:val="0"/>
      <w:marRight w:val="0"/>
      <w:marTop w:val="0"/>
      <w:marBottom w:val="0"/>
      <w:divBdr>
        <w:top w:val="none" w:sz="0" w:space="0" w:color="auto"/>
        <w:left w:val="none" w:sz="0" w:space="0" w:color="auto"/>
        <w:bottom w:val="none" w:sz="0" w:space="0" w:color="auto"/>
        <w:right w:val="none" w:sz="0" w:space="0" w:color="auto"/>
      </w:divBdr>
    </w:div>
    <w:div w:id="867986070">
      <w:bodyDiv w:val="1"/>
      <w:marLeft w:val="0"/>
      <w:marRight w:val="0"/>
      <w:marTop w:val="0"/>
      <w:marBottom w:val="0"/>
      <w:divBdr>
        <w:top w:val="none" w:sz="0" w:space="0" w:color="auto"/>
        <w:left w:val="none" w:sz="0" w:space="0" w:color="auto"/>
        <w:bottom w:val="none" w:sz="0" w:space="0" w:color="auto"/>
        <w:right w:val="none" w:sz="0" w:space="0" w:color="auto"/>
      </w:divBdr>
    </w:div>
    <w:div w:id="917977629">
      <w:bodyDiv w:val="1"/>
      <w:marLeft w:val="0"/>
      <w:marRight w:val="0"/>
      <w:marTop w:val="0"/>
      <w:marBottom w:val="0"/>
      <w:divBdr>
        <w:top w:val="none" w:sz="0" w:space="0" w:color="auto"/>
        <w:left w:val="none" w:sz="0" w:space="0" w:color="auto"/>
        <w:bottom w:val="none" w:sz="0" w:space="0" w:color="auto"/>
        <w:right w:val="none" w:sz="0" w:space="0" w:color="auto"/>
      </w:divBdr>
    </w:div>
    <w:div w:id="933854861">
      <w:bodyDiv w:val="1"/>
      <w:marLeft w:val="0"/>
      <w:marRight w:val="0"/>
      <w:marTop w:val="0"/>
      <w:marBottom w:val="0"/>
      <w:divBdr>
        <w:top w:val="none" w:sz="0" w:space="0" w:color="auto"/>
        <w:left w:val="none" w:sz="0" w:space="0" w:color="auto"/>
        <w:bottom w:val="none" w:sz="0" w:space="0" w:color="auto"/>
        <w:right w:val="none" w:sz="0" w:space="0" w:color="auto"/>
      </w:divBdr>
    </w:div>
    <w:div w:id="963534597">
      <w:bodyDiv w:val="1"/>
      <w:marLeft w:val="0"/>
      <w:marRight w:val="0"/>
      <w:marTop w:val="0"/>
      <w:marBottom w:val="0"/>
      <w:divBdr>
        <w:top w:val="none" w:sz="0" w:space="0" w:color="auto"/>
        <w:left w:val="none" w:sz="0" w:space="0" w:color="auto"/>
        <w:bottom w:val="none" w:sz="0" w:space="0" w:color="auto"/>
        <w:right w:val="none" w:sz="0" w:space="0" w:color="auto"/>
      </w:divBdr>
    </w:div>
    <w:div w:id="1027216911">
      <w:bodyDiv w:val="1"/>
      <w:marLeft w:val="0"/>
      <w:marRight w:val="0"/>
      <w:marTop w:val="0"/>
      <w:marBottom w:val="0"/>
      <w:divBdr>
        <w:top w:val="none" w:sz="0" w:space="0" w:color="auto"/>
        <w:left w:val="none" w:sz="0" w:space="0" w:color="auto"/>
        <w:bottom w:val="none" w:sz="0" w:space="0" w:color="auto"/>
        <w:right w:val="none" w:sz="0" w:space="0" w:color="auto"/>
      </w:divBdr>
    </w:div>
    <w:div w:id="1120731732">
      <w:bodyDiv w:val="1"/>
      <w:marLeft w:val="0"/>
      <w:marRight w:val="0"/>
      <w:marTop w:val="0"/>
      <w:marBottom w:val="0"/>
      <w:divBdr>
        <w:top w:val="none" w:sz="0" w:space="0" w:color="auto"/>
        <w:left w:val="none" w:sz="0" w:space="0" w:color="auto"/>
        <w:bottom w:val="none" w:sz="0" w:space="0" w:color="auto"/>
        <w:right w:val="none" w:sz="0" w:space="0" w:color="auto"/>
      </w:divBdr>
    </w:div>
    <w:div w:id="1155493933">
      <w:bodyDiv w:val="1"/>
      <w:marLeft w:val="0"/>
      <w:marRight w:val="0"/>
      <w:marTop w:val="0"/>
      <w:marBottom w:val="0"/>
      <w:divBdr>
        <w:top w:val="none" w:sz="0" w:space="0" w:color="auto"/>
        <w:left w:val="none" w:sz="0" w:space="0" w:color="auto"/>
        <w:bottom w:val="none" w:sz="0" w:space="0" w:color="auto"/>
        <w:right w:val="none" w:sz="0" w:space="0" w:color="auto"/>
      </w:divBdr>
    </w:div>
    <w:div w:id="1176263572">
      <w:bodyDiv w:val="1"/>
      <w:marLeft w:val="0"/>
      <w:marRight w:val="0"/>
      <w:marTop w:val="0"/>
      <w:marBottom w:val="0"/>
      <w:divBdr>
        <w:top w:val="none" w:sz="0" w:space="0" w:color="auto"/>
        <w:left w:val="none" w:sz="0" w:space="0" w:color="auto"/>
        <w:bottom w:val="none" w:sz="0" w:space="0" w:color="auto"/>
        <w:right w:val="none" w:sz="0" w:space="0" w:color="auto"/>
      </w:divBdr>
    </w:div>
    <w:div w:id="1253202301">
      <w:bodyDiv w:val="1"/>
      <w:marLeft w:val="0"/>
      <w:marRight w:val="0"/>
      <w:marTop w:val="0"/>
      <w:marBottom w:val="0"/>
      <w:divBdr>
        <w:top w:val="none" w:sz="0" w:space="0" w:color="auto"/>
        <w:left w:val="none" w:sz="0" w:space="0" w:color="auto"/>
        <w:bottom w:val="none" w:sz="0" w:space="0" w:color="auto"/>
        <w:right w:val="none" w:sz="0" w:space="0" w:color="auto"/>
      </w:divBdr>
    </w:div>
    <w:div w:id="1274362022">
      <w:bodyDiv w:val="1"/>
      <w:marLeft w:val="0"/>
      <w:marRight w:val="0"/>
      <w:marTop w:val="0"/>
      <w:marBottom w:val="0"/>
      <w:divBdr>
        <w:top w:val="none" w:sz="0" w:space="0" w:color="auto"/>
        <w:left w:val="none" w:sz="0" w:space="0" w:color="auto"/>
        <w:bottom w:val="none" w:sz="0" w:space="0" w:color="auto"/>
        <w:right w:val="none" w:sz="0" w:space="0" w:color="auto"/>
      </w:divBdr>
    </w:div>
    <w:div w:id="1304889694">
      <w:bodyDiv w:val="1"/>
      <w:marLeft w:val="0"/>
      <w:marRight w:val="0"/>
      <w:marTop w:val="0"/>
      <w:marBottom w:val="0"/>
      <w:divBdr>
        <w:top w:val="none" w:sz="0" w:space="0" w:color="auto"/>
        <w:left w:val="none" w:sz="0" w:space="0" w:color="auto"/>
        <w:bottom w:val="none" w:sz="0" w:space="0" w:color="auto"/>
        <w:right w:val="none" w:sz="0" w:space="0" w:color="auto"/>
      </w:divBdr>
    </w:div>
    <w:div w:id="1410467599">
      <w:bodyDiv w:val="1"/>
      <w:marLeft w:val="0"/>
      <w:marRight w:val="0"/>
      <w:marTop w:val="0"/>
      <w:marBottom w:val="0"/>
      <w:divBdr>
        <w:top w:val="none" w:sz="0" w:space="0" w:color="auto"/>
        <w:left w:val="none" w:sz="0" w:space="0" w:color="auto"/>
        <w:bottom w:val="none" w:sz="0" w:space="0" w:color="auto"/>
        <w:right w:val="none" w:sz="0" w:space="0" w:color="auto"/>
      </w:divBdr>
    </w:div>
    <w:div w:id="1490829941">
      <w:bodyDiv w:val="1"/>
      <w:marLeft w:val="0"/>
      <w:marRight w:val="0"/>
      <w:marTop w:val="0"/>
      <w:marBottom w:val="0"/>
      <w:divBdr>
        <w:top w:val="none" w:sz="0" w:space="0" w:color="auto"/>
        <w:left w:val="none" w:sz="0" w:space="0" w:color="auto"/>
        <w:bottom w:val="none" w:sz="0" w:space="0" w:color="auto"/>
        <w:right w:val="none" w:sz="0" w:space="0" w:color="auto"/>
      </w:divBdr>
    </w:div>
    <w:div w:id="1501509147">
      <w:bodyDiv w:val="1"/>
      <w:marLeft w:val="0"/>
      <w:marRight w:val="0"/>
      <w:marTop w:val="0"/>
      <w:marBottom w:val="0"/>
      <w:divBdr>
        <w:top w:val="none" w:sz="0" w:space="0" w:color="auto"/>
        <w:left w:val="none" w:sz="0" w:space="0" w:color="auto"/>
        <w:bottom w:val="none" w:sz="0" w:space="0" w:color="auto"/>
        <w:right w:val="none" w:sz="0" w:space="0" w:color="auto"/>
      </w:divBdr>
    </w:div>
    <w:div w:id="1584684799">
      <w:bodyDiv w:val="1"/>
      <w:marLeft w:val="0"/>
      <w:marRight w:val="0"/>
      <w:marTop w:val="0"/>
      <w:marBottom w:val="0"/>
      <w:divBdr>
        <w:top w:val="none" w:sz="0" w:space="0" w:color="auto"/>
        <w:left w:val="none" w:sz="0" w:space="0" w:color="auto"/>
        <w:bottom w:val="none" w:sz="0" w:space="0" w:color="auto"/>
        <w:right w:val="none" w:sz="0" w:space="0" w:color="auto"/>
      </w:divBdr>
    </w:div>
    <w:div w:id="1613903809">
      <w:bodyDiv w:val="1"/>
      <w:marLeft w:val="0"/>
      <w:marRight w:val="0"/>
      <w:marTop w:val="0"/>
      <w:marBottom w:val="0"/>
      <w:divBdr>
        <w:top w:val="none" w:sz="0" w:space="0" w:color="auto"/>
        <w:left w:val="none" w:sz="0" w:space="0" w:color="auto"/>
        <w:bottom w:val="none" w:sz="0" w:space="0" w:color="auto"/>
        <w:right w:val="none" w:sz="0" w:space="0" w:color="auto"/>
      </w:divBdr>
    </w:div>
    <w:div w:id="1623226594">
      <w:bodyDiv w:val="1"/>
      <w:marLeft w:val="0"/>
      <w:marRight w:val="0"/>
      <w:marTop w:val="0"/>
      <w:marBottom w:val="0"/>
      <w:divBdr>
        <w:top w:val="none" w:sz="0" w:space="0" w:color="auto"/>
        <w:left w:val="none" w:sz="0" w:space="0" w:color="auto"/>
        <w:bottom w:val="none" w:sz="0" w:space="0" w:color="auto"/>
        <w:right w:val="none" w:sz="0" w:space="0" w:color="auto"/>
      </w:divBdr>
    </w:div>
    <w:div w:id="1735160912">
      <w:bodyDiv w:val="1"/>
      <w:marLeft w:val="0"/>
      <w:marRight w:val="0"/>
      <w:marTop w:val="0"/>
      <w:marBottom w:val="0"/>
      <w:divBdr>
        <w:top w:val="none" w:sz="0" w:space="0" w:color="auto"/>
        <w:left w:val="none" w:sz="0" w:space="0" w:color="auto"/>
        <w:bottom w:val="none" w:sz="0" w:space="0" w:color="auto"/>
        <w:right w:val="none" w:sz="0" w:space="0" w:color="auto"/>
      </w:divBdr>
    </w:div>
    <w:div w:id="1830906762">
      <w:bodyDiv w:val="1"/>
      <w:marLeft w:val="0"/>
      <w:marRight w:val="0"/>
      <w:marTop w:val="0"/>
      <w:marBottom w:val="0"/>
      <w:divBdr>
        <w:top w:val="none" w:sz="0" w:space="0" w:color="auto"/>
        <w:left w:val="none" w:sz="0" w:space="0" w:color="auto"/>
        <w:bottom w:val="none" w:sz="0" w:space="0" w:color="auto"/>
        <w:right w:val="none" w:sz="0" w:space="0" w:color="auto"/>
      </w:divBdr>
    </w:div>
    <w:div w:id="1855261311">
      <w:bodyDiv w:val="1"/>
      <w:marLeft w:val="0"/>
      <w:marRight w:val="0"/>
      <w:marTop w:val="0"/>
      <w:marBottom w:val="0"/>
      <w:divBdr>
        <w:top w:val="none" w:sz="0" w:space="0" w:color="auto"/>
        <w:left w:val="none" w:sz="0" w:space="0" w:color="auto"/>
        <w:bottom w:val="none" w:sz="0" w:space="0" w:color="auto"/>
        <w:right w:val="none" w:sz="0" w:space="0" w:color="auto"/>
      </w:divBdr>
    </w:div>
    <w:div w:id="2000770940">
      <w:bodyDiv w:val="1"/>
      <w:marLeft w:val="0"/>
      <w:marRight w:val="0"/>
      <w:marTop w:val="0"/>
      <w:marBottom w:val="0"/>
      <w:divBdr>
        <w:top w:val="none" w:sz="0" w:space="0" w:color="auto"/>
        <w:left w:val="none" w:sz="0" w:space="0" w:color="auto"/>
        <w:bottom w:val="none" w:sz="0" w:space="0" w:color="auto"/>
        <w:right w:val="none" w:sz="0" w:space="0" w:color="auto"/>
      </w:divBdr>
    </w:div>
    <w:div w:id="2054694091">
      <w:bodyDiv w:val="1"/>
      <w:marLeft w:val="0"/>
      <w:marRight w:val="0"/>
      <w:marTop w:val="0"/>
      <w:marBottom w:val="0"/>
      <w:divBdr>
        <w:top w:val="none" w:sz="0" w:space="0" w:color="auto"/>
        <w:left w:val="none" w:sz="0" w:space="0" w:color="auto"/>
        <w:bottom w:val="none" w:sz="0" w:space="0" w:color="auto"/>
        <w:right w:val="none" w:sz="0" w:space="0" w:color="auto"/>
      </w:divBdr>
    </w:div>
    <w:div w:id="2078699006">
      <w:bodyDiv w:val="1"/>
      <w:marLeft w:val="0"/>
      <w:marRight w:val="0"/>
      <w:marTop w:val="0"/>
      <w:marBottom w:val="0"/>
      <w:divBdr>
        <w:top w:val="none" w:sz="0" w:space="0" w:color="auto"/>
        <w:left w:val="none" w:sz="0" w:space="0" w:color="auto"/>
        <w:bottom w:val="none" w:sz="0" w:space="0" w:color="auto"/>
        <w:right w:val="none" w:sz="0" w:space="0" w:color="auto"/>
      </w:divBdr>
    </w:div>
    <w:div w:id="21160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Sheet6!$A$2</c:f>
              <c:strCache>
                <c:ptCount val="1"/>
                <c:pt idx="0">
                  <c:v>low</c:v>
                </c:pt>
              </c:strCache>
            </c:strRef>
          </c:tx>
          <c:spPr>
            <a:solidFill>
              <a:schemeClr val="accent6"/>
            </a:solidFill>
            <a:ln>
              <a:noFill/>
            </a:ln>
            <a:effectLst/>
          </c:spPr>
          <c:invertIfNegative val="0"/>
          <c:cat>
            <c:strRef>
              <c:f>Sheet6!$B$1:$K$1</c:f>
              <c:strCache>
                <c:ptCount val="10"/>
                <c:pt idx="0">
                  <c:v>J. Other sources of bias: methodological bias</c:v>
                </c:pt>
                <c:pt idx="1">
                  <c:v>I. Reporting bias: selective outcome reporting</c:v>
                </c:pt>
                <c:pt idx="2">
                  <c:v>H. Attirtion bias: incomplete outcome data</c:v>
                </c:pt>
                <c:pt idx="3">
                  <c:v>G. Detection bias: blinding</c:v>
                </c:pt>
                <c:pt idx="4">
                  <c:v>F. Detection bias: random outcome assessment</c:v>
                </c:pt>
                <c:pt idx="5">
                  <c:v>E. Performance bias: blinding</c:v>
                </c:pt>
                <c:pt idx="6">
                  <c:v>D. Performance bias: random housing</c:v>
                </c:pt>
                <c:pt idx="7">
                  <c:v>C. Selection bias: allocation concealment</c:v>
                </c:pt>
                <c:pt idx="8">
                  <c:v>B. Selection bias: baseline characteristics</c:v>
                </c:pt>
                <c:pt idx="9">
                  <c:v>A. Selection bias: sequence generation</c:v>
                </c:pt>
              </c:strCache>
            </c:strRef>
          </c:cat>
          <c:val>
            <c:numRef>
              <c:f>Sheet6!$B$2:$K$2</c:f>
              <c:numCache>
                <c:formatCode>General</c:formatCode>
                <c:ptCount val="10"/>
                <c:pt idx="0">
                  <c:v>0</c:v>
                </c:pt>
                <c:pt idx="1">
                  <c:v>39</c:v>
                </c:pt>
                <c:pt idx="2">
                  <c:v>39</c:v>
                </c:pt>
                <c:pt idx="3">
                  <c:v>0</c:v>
                </c:pt>
                <c:pt idx="4">
                  <c:v>0</c:v>
                </c:pt>
                <c:pt idx="5">
                  <c:v>0</c:v>
                </c:pt>
                <c:pt idx="6">
                  <c:v>0</c:v>
                </c:pt>
                <c:pt idx="7">
                  <c:v>0</c:v>
                </c:pt>
                <c:pt idx="8">
                  <c:v>39</c:v>
                </c:pt>
                <c:pt idx="9">
                  <c:v>35</c:v>
                </c:pt>
              </c:numCache>
            </c:numRef>
          </c:val>
        </c:ser>
        <c:ser>
          <c:idx val="1"/>
          <c:order val="1"/>
          <c:tx>
            <c:strRef>
              <c:f>Sheet6!$A$3</c:f>
              <c:strCache>
                <c:ptCount val="1"/>
                <c:pt idx="0">
                  <c:v>unknown</c:v>
                </c:pt>
              </c:strCache>
            </c:strRef>
          </c:tx>
          <c:spPr>
            <a:solidFill>
              <a:schemeClr val="accent2"/>
            </a:solidFill>
            <a:ln>
              <a:noFill/>
            </a:ln>
            <a:effectLst/>
          </c:spPr>
          <c:invertIfNegative val="0"/>
          <c:cat>
            <c:strRef>
              <c:f>Sheet6!$B$1:$K$1</c:f>
              <c:strCache>
                <c:ptCount val="10"/>
                <c:pt idx="0">
                  <c:v>J. Other sources of bias: methodological bias</c:v>
                </c:pt>
                <c:pt idx="1">
                  <c:v>I. Reporting bias: selective outcome reporting</c:v>
                </c:pt>
                <c:pt idx="2">
                  <c:v>H. Attirtion bias: incomplete outcome data</c:v>
                </c:pt>
                <c:pt idx="3">
                  <c:v>G. Detection bias: blinding</c:v>
                </c:pt>
                <c:pt idx="4">
                  <c:v>F. Detection bias: random outcome assessment</c:v>
                </c:pt>
                <c:pt idx="5">
                  <c:v>E. Performance bias: blinding</c:v>
                </c:pt>
                <c:pt idx="6">
                  <c:v>D. Performance bias: random housing</c:v>
                </c:pt>
                <c:pt idx="7">
                  <c:v>C. Selection bias: allocation concealment</c:v>
                </c:pt>
                <c:pt idx="8">
                  <c:v>B. Selection bias: baseline characteristics</c:v>
                </c:pt>
                <c:pt idx="9">
                  <c:v>A. Selection bias: sequence generation</c:v>
                </c:pt>
              </c:strCache>
            </c:strRef>
          </c:cat>
          <c:val>
            <c:numRef>
              <c:f>Sheet6!$B$3:$K$3</c:f>
              <c:numCache>
                <c:formatCode>General</c:formatCode>
                <c:ptCount val="10"/>
                <c:pt idx="0">
                  <c:v>0</c:v>
                </c:pt>
                <c:pt idx="1">
                  <c:v>1</c:v>
                </c:pt>
                <c:pt idx="2">
                  <c:v>1</c:v>
                </c:pt>
                <c:pt idx="3">
                  <c:v>1</c:v>
                </c:pt>
                <c:pt idx="4">
                  <c:v>1</c:v>
                </c:pt>
                <c:pt idx="5">
                  <c:v>1</c:v>
                </c:pt>
                <c:pt idx="6">
                  <c:v>40</c:v>
                </c:pt>
                <c:pt idx="7">
                  <c:v>1</c:v>
                </c:pt>
                <c:pt idx="8">
                  <c:v>1</c:v>
                </c:pt>
                <c:pt idx="9">
                  <c:v>1</c:v>
                </c:pt>
              </c:numCache>
            </c:numRef>
          </c:val>
        </c:ser>
        <c:ser>
          <c:idx val="2"/>
          <c:order val="2"/>
          <c:tx>
            <c:strRef>
              <c:f>Sheet6!$A$4</c:f>
              <c:strCache>
                <c:ptCount val="1"/>
                <c:pt idx="0">
                  <c:v>high</c:v>
                </c:pt>
              </c:strCache>
            </c:strRef>
          </c:tx>
          <c:spPr>
            <a:solidFill>
              <a:srgbClr val="C00000"/>
            </a:solidFill>
            <a:ln>
              <a:noFill/>
            </a:ln>
            <a:effectLst/>
          </c:spPr>
          <c:invertIfNegative val="0"/>
          <c:cat>
            <c:strRef>
              <c:f>Sheet6!$B$1:$K$1</c:f>
              <c:strCache>
                <c:ptCount val="10"/>
                <c:pt idx="0">
                  <c:v>J. Other sources of bias: methodological bias</c:v>
                </c:pt>
                <c:pt idx="1">
                  <c:v>I. Reporting bias: selective outcome reporting</c:v>
                </c:pt>
                <c:pt idx="2">
                  <c:v>H. Attirtion bias: incomplete outcome data</c:v>
                </c:pt>
                <c:pt idx="3">
                  <c:v>G. Detection bias: blinding</c:v>
                </c:pt>
                <c:pt idx="4">
                  <c:v>F. Detection bias: random outcome assessment</c:v>
                </c:pt>
                <c:pt idx="5">
                  <c:v>E. Performance bias: blinding</c:v>
                </c:pt>
                <c:pt idx="6">
                  <c:v>D. Performance bias: random housing</c:v>
                </c:pt>
                <c:pt idx="7">
                  <c:v>C. Selection bias: allocation concealment</c:v>
                </c:pt>
                <c:pt idx="8">
                  <c:v>B. Selection bias: baseline characteristics</c:v>
                </c:pt>
                <c:pt idx="9">
                  <c:v>A. Selection bias: sequence generation</c:v>
                </c:pt>
              </c:strCache>
            </c:strRef>
          </c:cat>
          <c:val>
            <c:numRef>
              <c:f>Sheet6!$B$4:$K$4</c:f>
              <c:numCache>
                <c:formatCode>General</c:formatCode>
                <c:ptCount val="10"/>
                <c:pt idx="0">
                  <c:v>40</c:v>
                </c:pt>
                <c:pt idx="1">
                  <c:v>0</c:v>
                </c:pt>
                <c:pt idx="2">
                  <c:v>0</c:v>
                </c:pt>
                <c:pt idx="3">
                  <c:v>39</c:v>
                </c:pt>
                <c:pt idx="4">
                  <c:v>39</c:v>
                </c:pt>
                <c:pt idx="5">
                  <c:v>39</c:v>
                </c:pt>
                <c:pt idx="6">
                  <c:v>0</c:v>
                </c:pt>
                <c:pt idx="7">
                  <c:v>39</c:v>
                </c:pt>
                <c:pt idx="8">
                  <c:v>0</c:v>
                </c:pt>
                <c:pt idx="9">
                  <c:v>4</c:v>
                </c:pt>
              </c:numCache>
            </c:numRef>
          </c:val>
        </c:ser>
        <c:dLbls>
          <c:showLegendKey val="0"/>
          <c:showVal val="0"/>
          <c:showCatName val="0"/>
          <c:showSerName val="0"/>
          <c:showPercent val="0"/>
          <c:showBubbleSize val="0"/>
        </c:dLbls>
        <c:gapWidth val="150"/>
        <c:overlap val="100"/>
        <c:axId val="162284592"/>
        <c:axId val="162284984"/>
      </c:barChart>
      <c:catAx>
        <c:axId val="162284592"/>
        <c:scaling>
          <c:orientation val="minMax"/>
        </c:scaling>
        <c:delete val="0"/>
        <c:axPos val="l"/>
        <c:numFmt formatCode="General" sourceLinked="1"/>
        <c:majorTickMark val="none"/>
        <c:minorTickMark val="none"/>
        <c:tickLblPos val="nextTo"/>
        <c:spPr>
          <a:noFill/>
          <a:ln w="9525" cap="flat" cmpd="sng" algn="ctr">
            <a:solidFill>
              <a:schemeClr val="accent1">
                <a:alpha val="94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284984"/>
        <c:crosses val="autoZero"/>
        <c:auto val="1"/>
        <c:lblAlgn val="ctr"/>
        <c:lblOffset val="100"/>
        <c:noMultiLvlLbl val="0"/>
      </c:catAx>
      <c:valAx>
        <c:axId val="162284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28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1D9F-0662-49A3-8780-BD3415ED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Misiura (Student)</dc:creator>
  <cp:keywords/>
  <dc:description/>
  <cp:lastModifiedBy>Maciek Misiura (Student)</cp:lastModifiedBy>
  <cp:revision>9</cp:revision>
  <dcterms:created xsi:type="dcterms:W3CDTF">2018-01-22T09:52:00Z</dcterms:created>
  <dcterms:modified xsi:type="dcterms:W3CDTF">2018-02-12T15:24:00Z</dcterms:modified>
</cp:coreProperties>
</file>