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19" w:rsidRDefault="001700E3" w:rsidP="00170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Material</w:t>
      </w:r>
      <w:r w:rsidR="005C13E9" w:rsidRPr="002C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3E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C1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619">
        <w:rPr>
          <w:rFonts w:ascii="Times New Roman" w:hAnsi="Times New Roman" w:cs="Times New Roman"/>
          <w:sz w:val="24"/>
          <w:szCs w:val="24"/>
          <w:lang w:val="en-US"/>
        </w:rPr>
        <w:t>Computation of the investigated dietary</w:t>
      </w:r>
      <w:r w:rsidR="00BB3619" w:rsidRPr="0001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619">
        <w:rPr>
          <w:rFonts w:ascii="Times New Roman" w:hAnsi="Times New Roman" w:cs="Times New Roman"/>
          <w:sz w:val="24"/>
          <w:szCs w:val="24"/>
          <w:lang w:val="en-US"/>
        </w:rPr>
        <w:t>scores</w:t>
      </w:r>
      <w:r w:rsidR="00BB3619" w:rsidRPr="00E35B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5C5D" w:rsidRPr="00DB13D4" w:rsidRDefault="00225C5D" w:rsidP="00225C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B3619">
        <w:rPr>
          <w:rFonts w:ascii="Times New Roman" w:hAnsi="Times New Roman" w:cs="Times New Roman"/>
          <w:b/>
          <w:i/>
          <w:sz w:val="24"/>
          <w:szCs w:val="24"/>
        </w:rPr>
        <w:t>Programme National Nutrition Santé-Guideline Score</w:t>
      </w:r>
      <w:r w:rsidRPr="00BB3619">
        <w:rPr>
          <w:rFonts w:ascii="Times New Roman" w:hAnsi="Times New Roman" w:cs="Times New Roman"/>
          <w:sz w:val="24"/>
          <w:szCs w:val="24"/>
        </w:rPr>
        <w:t>.</w:t>
      </w:r>
      <w:r w:rsidRPr="00BB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The PNNS-GS </w:t>
      </w:r>
      <w:r w:rsidRPr="00DB1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includes 1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physical activity component and </w:t>
      </w:r>
      <w:r w:rsidRPr="00DB1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 dietary components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begin"/>
      </w:r>
      <w:r w:rsidR="000B3E21">
        <w:rPr>
          <w:rFonts w:ascii="Times New Roman" w:eastAsia="AdvOT1ef757c0" w:hAnsi="Times New Roman" w:cs="Times New Roman"/>
          <w:sz w:val="24"/>
          <w:szCs w:val="24"/>
          <w:lang w:val="en-US"/>
        </w:rPr>
        <w:instrText xml:space="preserve"> ADDIN REFMGR.CITE &lt;Refman&gt;&lt;Cite&gt;&lt;Author&gt;Estaquio&lt;/Author&gt;&lt;Year&gt;2009&lt;/Year&gt;&lt;RecNum&gt;32&lt;/RecNum&gt;&lt;IDText&gt;Adherence to the French Programme National Nutrition Sante Guideline Score is associated with better nutrient intake and nutritional status&lt;/IDText&gt;&lt;MDL Ref_Type="Journal"&gt;&lt;Ref_Type&gt;Journal&lt;/Ref_Type&gt;&lt;Ref_ID&gt;32&lt;/Ref_ID&gt;&lt;Title_Primary&gt;Adherence to the French Programme National Nutrition Sante Guideline Score is associated with better nutrient intake and nutritional status&lt;/Title_Primary&gt;&lt;Authors_Primary&gt;Estaquio,C.&lt;/Authors_Primary&gt;&lt;Authors_Primary&gt;Kesse-Guyot,E.&lt;/Authors_Primary&gt;&lt;Authors_Primary&gt;Deschamps,V.&lt;/Authors_Primary&gt;&lt;Authors_Primary&gt;Bertrais,S.&lt;/Authors_Primary&gt;&lt;Authors_Primary&gt;Dauchet,L.&lt;/Authors_Primary&gt;&lt;Authors_Primary&gt;Galan,P.&lt;/Authors_Primary&gt;&lt;Authors_Primary&gt;Hercberg,S.&lt;/Authors_Primary&gt;&lt;Authors_Primary&gt;Castetbon,K.&lt;/Authors_Primary&gt;&lt;Date_Primary&gt;2009/6&lt;/Date_Primary&gt;&lt;Keywords&gt;Adult&lt;/Keywords&gt;&lt;Keywords&gt;Age Factors&lt;/Keywords&gt;&lt;Keywords&gt;analysis&lt;/Keywords&gt;&lt;Keywords&gt;Biomarkers&lt;/Keywords&gt;&lt;Keywords&gt;Body Mass Index&lt;/Keywords&gt;&lt;Keywords&gt;Cohort Studies&lt;/Keywords&gt;&lt;Keywords&gt;Cross-Sectional Studies&lt;/Keywords&gt;&lt;Keywords&gt;Diet&lt;/Keywords&gt;&lt;Keywords&gt;epidemiology&lt;/Keywords&gt;&lt;Keywords&gt;Female&lt;/Keywords&gt;&lt;Keywords&gt;France&lt;/Keywords&gt;&lt;Keywords&gt;Health&lt;/Keywords&gt;&lt;Keywords&gt;Health Behavior&lt;/Keywords&gt;&lt;Keywords&gt;Humans&lt;/Keywords&gt;&lt;Keywords&gt;Logistic Models&lt;/Keywords&gt;&lt;Keywords&gt;Male&lt;/Keywords&gt;&lt;Keywords&gt;Middle Aged&lt;/Keywords&gt;&lt;Keywords&gt;Nutrition Policy&lt;/Keywords&gt;&lt;Keywords&gt;Nutritional Status&lt;/Keywords&gt;&lt;Keywords&gt;Occupations&lt;/Keywords&gt;&lt;Keywords&gt;Odds Ratio&lt;/Keywords&gt;&lt;Keywords&gt;Patient Compliance&lt;/Keywords&gt;&lt;Keywords&gt;Research&lt;/Keywords&gt;&lt;Keywords&gt;Retrospective Studies&lt;/Keywords&gt;&lt;Keywords&gt;Smoking&lt;/Keywords&gt;&lt;Keywords&gt;standards&lt;/Keywords&gt;&lt;Reprint&gt;Not in File&lt;/Reprint&gt;&lt;Start_Page&gt;1031&lt;/Start_Page&gt;&lt;End_Page&gt;1041&lt;/End_Page&gt;&lt;Periodical&gt;J.Am.Diet.Assoc.&lt;/Periodical&gt;&lt;Volume&gt;109&lt;/Volume&gt;&lt;Issue&gt;6&lt;/Issue&gt;&lt;ZZ_JournalStdAbbrev&gt;&lt;f name="System"&gt;J.Am.Diet.Assoc.&lt;/f&gt;&lt;/ZZ_JournalStdAbbrev&gt;&lt;ZZ_WorkformID&gt;1&lt;/ZZ_WorkformID&gt;&lt;/MDL&gt;&lt;/Cite&gt;&lt;/Refman&gt;</w:instrTex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separate"/>
      </w:r>
      <w:r w:rsidR="000B3E21">
        <w:rPr>
          <w:rFonts w:ascii="Times New Roman" w:eastAsia="AdvOT1ef757c0" w:hAnsi="Times New Roman" w:cs="Times New Roman"/>
          <w:noProof/>
          <w:sz w:val="24"/>
          <w:szCs w:val="24"/>
          <w:lang w:val="en-US"/>
        </w:rPr>
        <w:t>(</w:t>
      </w:r>
      <w:r w:rsidR="000B3E21" w:rsidRPr="000B3E21">
        <w:rPr>
          <w:rFonts w:ascii="Times New Roman" w:eastAsia="AdvOT1ef757c0" w:hAnsi="Times New Roman" w:cs="Times New Roman"/>
          <w:noProof/>
          <w:sz w:val="24"/>
          <w:szCs w:val="24"/>
          <w:vertAlign w:val="superscript"/>
          <w:lang w:val="en-US"/>
        </w:rPr>
        <w:t>2</w:t>
      </w:r>
      <w:r w:rsidR="000B3E21">
        <w:rPr>
          <w:rFonts w:ascii="Times New Roman" w:eastAsia="AdvOT1ef757c0" w:hAnsi="Times New Roman" w:cs="Times New Roman"/>
          <w:noProof/>
          <w:sz w:val="24"/>
          <w:szCs w:val="24"/>
          <w:lang w:val="en-US"/>
        </w:rPr>
        <w:t>)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end"/>
      </w:r>
      <w:r w:rsidRPr="00DB1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8 components refer to food serving recommendations (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fruit and vegetables without potatoes;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starchy foods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whole grain products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; milk and dairy products; meat, poultry eggs,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fish and seafood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vegetable fat; water vs soda)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 and 4 refer to moderation in consumption (</w:t>
      </w:r>
      <w:r w:rsidRPr="00DB13D4">
        <w:rPr>
          <w:rStyle w:val="shorttext"/>
          <w:rFonts w:ascii="Times New Roman" w:hAnsi="Times New Roman" w:cs="Times New Roman"/>
          <w:sz w:val="24"/>
          <w:szCs w:val="24"/>
          <w:lang w:val="en"/>
        </w:rPr>
        <w:t>sweetened foods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>, salt, added fats, alcohol).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A penalty for overconsumption was assigned to individuals whose energy intake exceeded their energy needs by at least 5%, based on basal metabolic rate (using Schofield equation) and physical activity level. In this study, we used a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modified version of the PNNS-GS without the physical activity component, for a better comparison with the other tested dietary scores that were exclusively based on diet.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 The mPNNS-</w:t>
      </w:r>
      <w:r w:rsidR="0026142F" w:rsidRPr="00DB13D4">
        <w:rPr>
          <w:rFonts w:ascii="Times New Roman" w:hAnsi="Times New Roman" w:cs="Times New Roman"/>
          <w:sz w:val="24"/>
          <w:szCs w:val="24"/>
          <w:lang w:val="en-GB"/>
        </w:rPr>
        <w:t>GS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 has a maximum of 13.5 points, with a higher score indicating better adherence to French dietary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Negative scores are theoretically possible due to the penalty system.</w:t>
      </w:r>
    </w:p>
    <w:p w:rsidR="00225C5D" w:rsidRPr="00DB13D4" w:rsidRDefault="00225C5D" w:rsidP="00225C5D">
      <w:pPr>
        <w:autoSpaceDE w:val="0"/>
        <w:autoSpaceDN w:val="0"/>
        <w:adjustRightInd w:val="0"/>
        <w:spacing w:before="240" w:line="360" w:lineRule="auto"/>
        <w:rPr>
          <w:rFonts w:ascii="Times New Roman" w:eastAsia="AdvOT1ef757c0" w:hAnsi="Times New Roman" w:cs="Times New Roman"/>
          <w:sz w:val="24"/>
          <w:szCs w:val="24"/>
          <w:lang w:val="en-US"/>
        </w:rPr>
      </w:pPr>
      <w:r w:rsidRPr="00DB13D4">
        <w:rPr>
          <w:rFonts w:ascii="Times New Roman" w:hAnsi="Times New Roman" w:cs="Times New Roman"/>
          <w:b/>
          <w:i/>
          <w:sz w:val="24"/>
          <w:szCs w:val="24"/>
          <w:lang w:val="en-US"/>
        </w:rPr>
        <w:t>Alternative Healthy Eating Index-2010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The AHEI-2010 is based on 7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“desirable”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components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(including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vegetables, fruit, whole grains, nuts and legumes, long chain omega-3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fatty acids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, polyunsaturated fatty acids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and moderate alcohol consumption) and 4 “undesirable”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components (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 sugar sweetened drinks and fruit juice, red and processed meat, </w:t>
      </w:r>
      <w:r w:rsidRPr="00DB13D4">
        <w:rPr>
          <w:rFonts w:ascii="Times New Roman" w:eastAsia="AdvOT1ef757c0" w:hAnsi="Times New Roman" w:cs="Times New Roman"/>
          <w:i/>
          <w:sz w:val="24"/>
          <w:szCs w:val="24"/>
          <w:lang w:val="en-US"/>
        </w:rPr>
        <w:t>trans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 fatty acids and sodium)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begin"/>
      </w:r>
      <w:r w:rsidR="000B3E21">
        <w:rPr>
          <w:rFonts w:ascii="Times New Roman" w:eastAsia="AdvOT1ef757c0" w:hAnsi="Times New Roman" w:cs="Times New Roman"/>
          <w:sz w:val="24"/>
          <w:szCs w:val="24"/>
          <w:lang w:val="en-US"/>
        </w:rPr>
        <w:instrText xml:space="preserve"> ADDIN REFMGR.CITE &lt;Refman&gt;&lt;Cite&gt;&lt;Author&gt;Chiuve&lt;/Author&gt;&lt;Year&gt;2012&lt;/Year&gt;&lt;RecNum&gt;285&lt;/RecNum&gt;&lt;IDText&gt;Alternative dietary indices both strongly predict risk of chronic disease&lt;/IDText&gt;&lt;MDL Ref_Type="Journal"&gt;&lt;Ref_Type&gt;Journal&lt;/Ref_Type&gt;&lt;Ref_ID&gt;285&lt;/Ref_ID&gt;&lt;Title_Primary&gt;Alternative dietary indices both strongly predict risk of chronic disease&lt;/Title_Primary&gt;&lt;Authors_Primary&gt;Chiuve,S.E.&lt;/Authors_Primary&gt;&lt;Authors_Primary&gt;Fung,T.T.&lt;/Authors_Primary&gt;&lt;Authors_Primary&gt;Rimm,E.B.&lt;/Authors_Primary&gt;&lt;Authors_Primary&gt;Hu,F.B.&lt;/Authors_Primary&gt;&lt;Authors_Primary&gt;McCullough,M.L.&lt;/Authors_Primary&gt;&lt;Authors_Primary&gt;Wang,M.&lt;/Authors_Primary&gt;&lt;Authors_Primary&gt;Stampfer,M.J.&lt;/Authors_Primary&gt;&lt;Authors_Primary&gt;Willett,W.C.&lt;/Authors_Primary&gt;&lt;Date_Primary&gt;2012/6&lt;/Date_Primary&gt;&lt;Keywords&gt;Adult&lt;/Keywords&gt;&lt;Keywords&gt;Aged&lt;/Keywords&gt;&lt;Keywords&gt;Boston&lt;/Keywords&gt;&lt;Keywords&gt;Cardiovascular Diseases&lt;/Keywords&gt;&lt;Keywords&gt;Chronic Disease&lt;/Keywords&gt;&lt;Keywords&gt;Cohort Studies&lt;/Keywords&gt;&lt;Keywords&gt;Diabetes Mellitus&lt;/Keywords&gt;&lt;Keywords&gt;Diet&lt;/Keywords&gt;&lt;Keywords&gt;Diet Surveys&lt;/Keywords&gt;&lt;Keywords&gt;Disease&lt;/Keywords&gt;&lt;Keywords&gt;Eating&lt;/Keywords&gt;&lt;Keywords&gt;etiology&lt;/Keywords&gt;&lt;Keywords&gt;Female&lt;/Keywords&gt;&lt;Keywords&gt;Food&lt;/Keywords&gt;&lt;Keywords&gt;Food Habits&lt;/Keywords&gt;&lt;Keywords&gt;Health&lt;/Keywords&gt;&lt;Keywords&gt;Humans&lt;/Keywords&gt;&lt;Keywords&gt;Male&lt;/Keywords&gt;&lt;Keywords&gt;Middle Aged&lt;/Keywords&gt;&lt;Keywords&gt;Neoplasms&lt;/Keywords&gt;&lt;Keywords&gt;Nutrition Policy&lt;/Keywords&gt;&lt;Keywords&gt;Nutritional Physiological Phenomena&lt;/Keywords&gt;&lt;Keywords&gt;Risk&lt;/Keywords&gt;&lt;Keywords&gt;Risk Factors&lt;/Keywords&gt;&lt;Keywords&gt;standards&lt;/Keywords&gt;&lt;Keywords&gt;Stroke&lt;/Keywords&gt;&lt;Keywords&gt;Surveys and Questionnaires&lt;/Keywords&gt;&lt;Reprint&gt;Not in File&lt;/Reprint&gt;&lt;Start_Page&gt;1009&lt;/Start_Page&gt;&lt;End_Page&gt;1018&lt;/End_Page&gt;&lt;Periodical&gt;J.Nutr.&lt;/Periodical&gt;&lt;Volume&gt;142&lt;/Volume&gt;&lt;Issue&gt;6&lt;/Issue&gt;&lt;ZZ_JournalStdAbbrev&gt;&lt;f name="System"&gt;J.Nutr.&lt;/f&gt;&lt;/ZZ_JournalStdAbbrev&gt;&lt;ZZ_WorkformID&gt;1&lt;/ZZ_WorkformID&gt;&lt;/MDL&gt;&lt;/Cite&gt;&lt;/Refman&gt;</w:instrTex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separate"/>
      </w:r>
      <w:r w:rsidR="000B3E21">
        <w:rPr>
          <w:rFonts w:ascii="Times New Roman" w:eastAsia="AdvOT1ef757c0" w:hAnsi="Times New Roman" w:cs="Times New Roman"/>
          <w:noProof/>
          <w:sz w:val="24"/>
          <w:szCs w:val="24"/>
          <w:lang w:val="en-US"/>
        </w:rPr>
        <w:t>(</w:t>
      </w:r>
      <w:r w:rsidR="000B3E21" w:rsidRPr="000B3E21">
        <w:rPr>
          <w:rFonts w:ascii="Times New Roman" w:eastAsia="AdvOT1ef757c0" w:hAnsi="Times New Roman" w:cs="Times New Roman"/>
          <w:noProof/>
          <w:sz w:val="24"/>
          <w:szCs w:val="24"/>
          <w:vertAlign w:val="superscript"/>
          <w:lang w:val="en-US"/>
        </w:rPr>
        <w:t>1</w:t>
      </w:r>
      <w:r w:rsidR="000B3E21">
        <w:rPr>
          <w:rFonts w:ascii="Times New Roman" w:eastAsia="AdvOT1ef757c0" w:hAnsi="Times New Roman" w:cs="Times New Roman"/>
          <w:noProof/>
          <w:sz w:val="24"/>
          <w:szCs w:val="24"/>
          <w:lang w:val="en-US"/>
        </w:rPr>
        <w:t>)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fldChar w:fldCharType="end"/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. Each component leads to a sub-score between 0 (less healthy diet) and 10 (healthier diet), with intermediate values scored proportionally to their intake.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The “desirable” components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contribute positively to the score, while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“undesirable”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components contribute negatively. </w:t>
      </w:r>
      <w:r w:rsidRPr="00DB13D4">
        <w:rPr>
          <w:rFonts w:ascii="Times New Roman" w:eastAsia="AdvOT1ef757c0" w:hAnsi="Times New Roman" w:cs="Times New Roman"/>
          <w:color w:val="000000"/>
          <w:sz w:val="24"/>
          <w:szCs w:val="24"/>
          <w:lang w:val="en-US"/>
        </w:rPr>
        <w:t xml:space="preserve">In the present study, the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AHEI-2010 score, as the sum of </w:t>
      </w:r>
      <w:r w:rsidR="008D40DC"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the components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,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 range</w:t>
      </w:r>
      <w:r w:rsidR="00C656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from 0 point to 100 points (</w:t>
      </w:r>
      <w:r w:rsidRPr="00DB13D4">
        <w:rPr>
          <w:rFonts w:ascii="Times New Roman" w:eastAsia="AdvOT1ef757c0" w:hAnsi="Times New Roman" w:cs="Times New Roman"/>
          <w:i/>
          <w:sz w:val="24"/>
          <w:szCs w:val="24"/>
          <w:lang w:val="en-US"/>
        </w:rPr>
        <w:t>t</w:t>
      </w:r>
      <w:r w:rsidRPr="00DB13D4">
        <w:rPr>
          <w:rFonts w:ascii="Times New Roman" w:eastAsia="AdvOT1ef757c0" w:hAnsi="Times New Roman" w:cs="Times New Roman"/>
          <w:i/>
          <w:color w:val="000000"/>
          <w:sz w:val="24"/>
          <w:szCs w:val="24"/>
          <w:lang w:val="en-US"/>
        </w:rPr>
        <w:t>rans</w:t>
      </w:r>
      <w:r w:rsidRPr="00DB13D4">
        <w:rPr>
          <w:rFonts w:ascii="Times New Roman" w:eastAsia="AdvOT1ef757c0" w:hAnsi="Times New Roman" w:cs="Times New Roman"/>
          <w:color w:val="000000"/>
          <w:sz w:val="24"/>
          <w:szCs w:val="24"/>
          <w:lang w:val="en-US"/>
        </w:rPr>
        <w:t xml:space="preserve"> fatty acids intakes were not available in our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study)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 xml:space="preserve">with a higher score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>representing better adherence to US dietary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guidelines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25C5D" w:rsidRPr="00DB13D4" w:rsidRDefault="00225C5D" w:rsidP="00225C5D">
      <w:pPr>
        <w:spacing w:after="0" w:line="360" w:lineRule="auto"/>
        <w:rPr>
          <w:rFonts w:ascii="Times New Roman" w:eastAsia="AdvOT1ef757c0" w:hAnsi="Times New Roman" w:cs="Times New Roman"/>
          <w:strike/>
          <w:sz w:val="24"/>
          <w:szCs w:val="24"/>
          <w:lang w:val="en-US"/>
        </w:rPr>
      </w:pPr>
      <w:r w:rsidRPr="00DB13D4">
        <w:rPr>
          <w:rFonts w:ascii="Times New Roman" w:hAnsi="Times New Roman" w:cs="Times New Roman"/>
          <w:b/>
          <w:i/>
          <w:sz w:val="24"/>
          <w:szCs w:val="24"/>
          <w:lang w:val="en-US"/>
        </w:rPr>
        <w:t>Probability of Adequate Nutrient Intake Dietary score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13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The PANDiet  is composed of two sub-scores: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adequacy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moderation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sub-score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B3E21">
        <w:rPr>
          <w:rFonts w:ascii="Times New Roman" w:hAnsi="Times New Roman" w:cs="Times New Roman"/>
          <w:sz w:val="24"/>
          <w:szCs w:val="24"/>
          <w:lang w:val="en-US"/>
        </w:rPr>
        <w:instrText xml:space="preserve"> ADDIN REFMGR.CITE &lt;Refman&gt;&lt;Cite&gt;&lt;Author&gt;Verger&lt;/Author&gt;&lt;Year&gt;2012&lt;/Year&gt;&lt;RecNum&gt;287&lt;/RecNum&gt;&lt;IDText&gt;Evaluation of a diet quality index based on the probability of adequate nutrient intake (PANDiet) using national French and US dietary surveys&lt;/IDText&gt;&lt;MDL Ref_Type="Journal"&gt;&lt;Ref_Type&gt;Journal&lt;/Ref_Type&gt;&lt;Ref_ID&gt;287&lt;/Ref_ID&gt;&lt;Title_Primary&gt;Evaluation of a diet quality index based on the probability of adequate nutrient intake (PANDiet) using national French and US dietary surveys&lt;/Title_Primary&gt;&lt;Authors_Primary&gt;Verger,E.O.&lt;/Authors_Primary&gt;&lt;Authors_Primary&gt;Mariotti,F.&lt;/Authors_Primary&gt;&lt;Authors_Primary&gt;Holmes,B.A.&lt;/Authors_Primary&gt;&lt;Authors_Primary&gt;Paineau,D.&lt;/Authors_Primary&gt;&lt;Authors_Primary&gt;Huneau,J.F.&lt;/Authors_Primary&gt;&lt;Date_Primary&gt;2012&lt;/Date_Primary&gt;&lt;Keywords&gt;Adult&lt;/Keywords&gt;&lt;Keywords&gt;blood&lt;/Keywords&gt;&lt;Keywords&gt;Carotenoids&lt;/Keywords&gt;&lt;Keywords&gt;Dairy Products&lt;/Keywords&gt;&lt;Keywords&gt;Data Collection&lt;/Keywords&gt;&lt;Keywords&gt;Diet&lt;/Keywords&gt;&lt;Keywords&gt;Energy Intake&lt;/Keywords&gt;&lt;Keywords&gt;Female&lt;/Keywords&gt;&lt;Keywords&gt;Folic Acid&lt;/Keywords&gt;&lt;Keywords&gt;Food&lt;/Keywords&gt;&lt;Keywords&gt;Food Quality&lt;/Keywords&gt;&lt;Keywords&gt;France&lt;/Keywords&gt;&lt;Keywords&gt;Fruit&lt;/Keywords&gt;&lt;Keywords&gt;Humans&lt;/Keywords&gt;&lt;Keywords&gt;Male&lt;/Keywords&gt;&lt;Keywords&gt;Meat&lt;/Keywords&gt;&lt;Keywords&gt;methods&lt;/Keywords&gt;&lt;Keywords&gt;physiology&lt;/Keywords&gt;&lt;Keywords&gt;Probability&lt;/Keywords&gt;&lt;Keywords&gt;Smoking&lt;/Keywords&gt;&lt;Keywords&gt;United States&lt;/Keywords&gt;&lt;Keywords&gt;Vegetables&lt;/Keywords&gt;&lt;Reprint&gt;Not in File&lt;/Reprint&gt;&lt;Start_Page&gt;e42155&lt;/Start_Page&gt;&lt;Periodical&gt;PLoS.One.&lt;/Periodical&gt;&lt;Volume&gt;7&lt;/Volume&gt;&lt;Issue&gt;8&lt;/Issue&gt;&lt;ZZ_JournalStdAbbrev&gt;&lt;f name="System"&gt;PLoS.One.&lt;/f&gt;&lt;/ZZ_JournalStdAbbrev&gt;&lt;ZZ_WorkformID&gt;1&lt;/ZZ_WorkformID&gt;&lt;/MDL&gt;&lt;/Cite&gt;&lt;/Refman&gt;</w:instrTex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B3E21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0B3E21" w:rsidRPr="000B3E21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5</w:t>
      </w:r>
      <w:r w:rsidR="000B3E21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. For each nutrient include, the “probability of adequacy” is calculated (intake above minimum values for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adequacy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sub-score or below maximum values for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moderation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sub-score) </w:t>
      </w:r>
      <w:r w:rsidRPr="00DB13D4">
        <w:rPr>
          <w:rFonts w:ascii="Times New Roman" w:hAnsi="Times New Roman" w:cs="Times New Roman"/>
          <w:sz w:val="24"/>
          <w:szCs w:val="24"/>
          <w:lang w:val="en"/>
        </w:rPr>
        <w:t>on the basis of recommended nutritional intakes for the French population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B3E21">
        <w:rPr>
          <w:rFonts w:ascii="Times New Roman" w:hAnsi="Times New Roman" w:cs="Times New Roman"/>
          <w:sz w:val="24"/>
          <w:szCs w:val="24"/>
          <w:lang w:val="en-US"/>
        </w:rPr>
        <w:instrText xml:space="preserve"> ADDIN REFMGR.CITE &lt;Refman&gt;&lt;Cite&gt;&lt;Author&gt;Martin&lt;/Author&gt;&lt;Year&gt;2001&lt;/Year&gt;&lt;RecNum&gt;481&lt;/RecNum&gt;&lt;IDText&gt;Apports nutritionnels conseillés pour la population Française [Recommended dietary allowances for the French population]&lt;/IDText&gt;&lt;MDL Ref_Type="Book, Whole"&gt;&lt;Ref_Type&gt;Book, Whole&lt;/Ref_Type&gt;&lt;Ref_ID&gt;481&lt;/Ref_ID&gt;&lt;Title_Primary&gt;Apports nutritionnels conseill&amp;#xE9;s pour la population Fran&amp;#xE7;aise [Recommended dietary allowances for the French population]&lt;/Title_Primary&gt;&lt;Authors_Primary&gt;Martin,A&lt;/Authors_Primary&gt;&lt;Date_Primary&gt;2001&lt;/Date_Primary&gt;&lt;Keywords&gt;Population&lt;/Keywords&gt;&lt;Reprint&gt;Not in File&lt;/Reprint&gt;&lt;Volume&gt;3&lt;super&gt;e&lt;/super&gt;&lt;/Volume&gt;&lt;Publisher&gt;Paris:Tec &amp;amp; Doc, Lavoisier&lt;/Publisher&gt;&lt;ZZ_WorkformID&gt;2&lt;/ZZ_WorkformID&gt;&lt;/MDL&gt;&lt;/Cite&gt;&lt;/Refman&gt;</w:instrTex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B6F3F">
        <w:rPr>
          <w:rFonts w:ascii="Times New Roman" w:hAnsi="Times New Roman" w:cs="Times New Roman"/>
          <w:noProof/>
          <w:sz w:val="24"/>
          <w:szCs w:val="24"/>
          <w:lang w:val="en-US"/>
        </w:rPr>
        <w:t>(4)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13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our study, nutrients included in the computation of the PANDiet are: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Protein, total carbohydrate, total fat,</w:t>
      </w:r>
      <w:r w:rsidRPr="00DB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polyunsaturated fatty acids, omega 3 and omega 6 fatty acids, fiber, thiamin, riboflavin, niacin, folate, vitamins A, B5, B6, B12, C, D and E, iodine, selenium, calcium, magnesium, zinc, phosphorus, potassium, iron, saturated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lastRenderedPageBreak/>
        <w:t>fatty acids, cholesterol, free sugars, sodium, and retinol. The PANDiet range</w:t>
      </w:r>
      <w:r w:rsidR="00E606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from 0 to 100 points, with a higher score reflecting better adherence to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French nutritional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recommendations and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adequate nutrient intake.</w:t>
      </w:r>
    </w:p>
    <w:p w:rsidR="00225C5D" w:rsidRPr="00DB13D4" w:rsidRDefault="00225C5D" w:rsidP="00225C5D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13D4">
        <w:rPr>
          <w:rFonts w:ascii="Times New Roman" w:eastAsia="AdvOT1ef757c0" w:hAnsi="Times New Roman" w:cs="Times New Roman"/>
          <w:b/>
          <w:i/>
          <w:sz w:val="24"/>
          <w:szCs w:val="24"/>
          <w:lang w:val="en-US"/>
        </w:rPr>
        <w:t>Diet Quality Index-International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. The DQI-I is composed of four groups of components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B3E21">
        <w:rPr>
          <w:rFonts w:ascii="Times New Roman" w:hAnsi="Times New Roman" w:cs="Times New Roman"/>
          <w:sz w:val="24"/>
          <w:szCs w:val="24"/>
          <w:lang w:val="en-US"/>
        </w:rPr>
        <w:instrText xml:space="preserve"> ADDIN REFMGR.CITE &lt;Refman&gt;&lt;Cite&gt;&lt;Author&gt;Kim&lt;/Author&gt;&lt;Year&gt;2003&lt;/Year&gt;&lt;RecNum&gt;480&lt;/RecNum&gt;&lt;IDText&gt;The Diet Quality Index-International (DQI-I) provides an effective tool for cross-national comparison of diet quality as illustrated by China and the United States&lt;/IDText&gt;&lt;MDL Ref_Type="Journal"&gt;&lt;Ref_Type&gt;Journal&lt;/Ref_Type&gt;&lt;Ref_ID&gt;480&lt;/Ref_ID&gt;&lt;Title_Primary&gt;The Diet Quality Index-International (DQI-I) provides an effective tool for cross-national comparison of diet quality as illustrated by China and the United States&lt;/Title_Primary&gt;&lt;Authors_Primary&gt;Kim,S.&lt;/Authors_Primary&gt;&lt;Authors_Primary&gt;Haines,P.S.&lt;/Authors_Primary&gt;&lt;Authors_Primary&gt;Siega-Riz,A.M.&lt;/Authors_Primary&gt;&lt;Authors_Primary&gt;Popkin,B.M.&lt;/Authors_Primary&gt;&lt;Date_Primary&gt;2003/11&lt;/Date_Primary&gt;&lt;Keywords&gt;China&lt;/Keywords&gt;&lt;Keywords&gt;Cross-Cultural Comparison&lt;/Keywords&gt;&lt;Keywords&gt;Diet&lt;/Keywords&gt;&lt;Keywords&gt;Energy Intake&lt;/Keywords&gt;&lt;Keywords&gt;Food&lt;/Keywords&gt;&lt;Keywords&gt;Health&lt;/Keywords&gt;&lt;Keywords&gt;Health Status&lt;/Keywords&gt;&lt;Keywords&gt;Humans&lt;/Keywords&gt;&lt;Keywords&gt;Population&lt;/Keywords&gt;&lt;Keywords&gt;Public Health&lt;/Keywords&gt;&lt;Keywords&gt;Research&lt;/Keywords&gt;&lt;Keywords&gt;standards&lt;/Keywords&gt;&lt;Keywords&gt;United States&lt;/Keywords&gt;&lt;Reprint&gt;Not in File&lt;/Reprint&gt;&lt;Start_Page&gt;3476&lt;/Start_Page&gt;&lt;End_Page&gt;3484&lt;/End_Page&gt;&lt;Periodical&gt;J.Nutr.&lt;/Periodical&gt;&lt;Volume&gt;133&lt;/Volume&gt;&lt;Issue&gt;11&lt;/Issue&gt;&lt;ZZ_JournalStdAbbrev&gt;&lt;f name="System"&gt;J.Nutr.&lt;/f&gt;&lt;/ZZ_JournalStdAbbrev&gt;&lt;ZZ_WorkformID&gt;1&lt;/ZZ_WorkformID&gt;&lt;/MDL&gt;&lt;/Cite&gt;&lt;/Refman&gt;</w:instrTex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B3E21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0B3E21" w:rsidRPr="000B3E21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3</w:t>
      </w:r>
      <w:r w:rsidR="000B3E21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variety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(overall food group variety and within-group variety for protein source),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adequacy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(vegetable group, fruit group, grain group, fiber, protein, iron, calcium and vitamin C),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moderation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B13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total fat, saturated fat, cholesterol, sodium, and empty calorie foods)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B13D4">
        <w:rPr>
          <w:rFonts w:ascii="Times New Roman" w:hAnsi="Times New Roman" w:cs="Times New Roman"/>
          <w:i/>
          <w:sz w:val="24"/>
          <w:szCs w:val="24"/>
          <w:lang w:val="en-US"/>
        </w:rPr>
        <w:t>overall balance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B13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macronutrient ratio and fatty acid ratio). For nutrients included in the DQI-I computation, we used the recommended intakes for the French population (similar to those used in the PANDiet). The DQI-I score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E606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from 0 to 100 points, with a higher score representing </w:t>
      </w:r>
      <w:r w:rsidRPr="00DB13D4">
        <w:rPr>
          <w:rFonts w:ascii="Times New Roman" w:hAnsi="Times New Roman" w:cs="Times New Roman"/>
          <w:sz w:val="24"/>
          <w:szCs w:val="24"/>
          <w:lang w:val="en-GB"/>
        </w:rPr>
        <w:t xml:space="preserve">better adherence to international 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guidelines and </w:t>
      </w:r>
      <w:r w:rsidRPr="00DB13D4">
        <w:rPr>
          <w:rFonts w:ascii="Times New Roman" w:eastAsia="AdvOT1ef757c0" w:hAnsi="Times New Roman" w:cs="Times New Roman"/>
          <w:sz w:val="24"/>
          <w:szCs w:val="24"/>
          <w:lang w:val="en-US"/>
        </w:rPr>
        <w:t>healthier eating habits.</w:t>
      </w:r>
      <w:r w:rsidRPr="00DB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5081" w:rsidRDefault="006350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B6F3F" w:rsidRDefault="002B6F3F">
      <w:pPr>
        <w:rPr>
          <w:lang w:val="en-US"/>
        </w:rPr>
      </w:pPr>
    </w:p>
    <w:p w:rsidR="002B6F3F" w:rsidRDefault="002B6F3F">
      <w:pPr>
        <w:rPr>
          <w:lang w:val="en-US"/>
        </w:rPr>
      </w:pPr>
    </w:p>
    <w:p w:rsidR="000B3E21" w:rsidRPr="000B3E21" w:rsidRDefault="002B6F3F" w:rsidP="000B3E21">
      <w:pPr>
        <w:jc w:val="center"/>
        <w:rPr>
          <w:rFonts w:ascii="Times New Roman" w:hAnsi="Times New Roman" w:cs="Times New Roman"/>
          <w:noProof/>
          <w:sz w:val="24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REFMGR.REFLIST </w:instrText>
      </w:r>
      <w:r>
        <w:rPr>
          <w:lang w:val="en-US"/>
        </w:rPr>
        <w:fldChar w:fldCharType="separate"/>
      </w:r>
      <w:r w:rsidR="000B3E21" w:rsidRPr="000B3E21">
        <w:rPr>
          <w:rFonts w:ascii="Times New Roman" w:hAnsi="Times New Roman" w:cs="Times New Roman"/>
          <w:noProof/>
          <w:sz w:val="24"/>
          <w:lang w:val="en-US"/>
        </w:rPr>
        <w:t>Reference List</w:t>
      </w:r>
    </w:p>
    <w:p w:rsidR="000B3E21" w:rsidRPr="000B3E21" w:rsidRDefault="000B3E21" w:rsidP="000B3E21">
      <w:pPr>
        <w:jc w:val="center"/>
        <w:rPr>
          <w:rFonts w:ascii="Times New Roman" w:hAnsi="Times New Roman" w:cs="Times New Roman"/>
          <w:noProof/>
          <w:sz w:val="24"/>
          <w:lang w:val="en-US"/>
        </w:rPr>
      </w:pPr>
    </w:p>
    <w:p w:rsidR="000B3E21" w:rsidRPr="00E6067E" w:rsidRDefault="000B3E21" w:rsidP="000B3E21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ab/>
        <w:t xml:space="preserve">1. </w:t>
      </w:r>
      <w:r>
        <w:rPr>
          <w:rFonts w:ascii="Times New Roman" w:hAnsi="Times New Roman" w:cs="Times New Roman"/>
          <w:noProof/>
          <w:sz w:val="24"/>
          <w:lang w:val="en-US"/>
        </w:rPr>
        <w:tab/>
        <w:t>Chiuve SE, Fung TT, Rimm EB</w:t>
      </w:r>
      <w:r w:rsidRPr="000B3E21">
        <w:rPr>
          <w:rFonts w:ascii="Times New Roman" w:hAnsi="Times New Roman" w:cs="Times New Roman"/>
          <w:i/>
          <w:noProof/>
          <w:sz w:val="24"/>
          <w:lang w:val="en-US"/>
        </w:rPr>
        <w:t>, et al.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(2012) Alternative dietary indices both strongly predict risk of chronic disease. </w:t>
      </w:r>
      <w:r w:rsidRPr="00E6067E">
        <w:rPr>
          <w:rFonts w:ascii="Times New Roman" w:hAnsi="Times New Roman" w:cs="Times New Roman"/>
          <w:i/>
          <w:noProof/>
          <w:sz w:val="24"/>
        </w:rPr>
        <w:t>J Nutr</w:t>
      </w:r>
      <w:r w:rsidRPr="00E6067E">
        <w:rPr>
          <w:rFonts w:ascii="Times New Roman" w:hAnsi="Times New Roman" w:cs="Times New Roman"/>
          <w:noProof/>
          <w:sz w:val="24"/>
        </w:rPr>
        <w:t xml:space="preserve"> </w:t>
      </w:r>
      <w:r w:rsidRPr="00E6067E">
        <w:rPr>
          <w:rFonts w:ascii="Times New Roman" w:hAnsi="Times New Roman" w:cs="Times New Roman"/>
          <w:b/>
          <w:noProof/>
          <w:sz w:val="24"/>
        </w:rPr>
        <w:t>142</w:t>
      </w:r>
      <w:r w:rsidRPr="00E6067E">
        <w:rPr>
          <w:rFonts w:ascii="Times New Roman" w:hAnsi="Times New Roman" w:cs="Times New Roman"/>
          <w:noProof/>
          <w:sz w:val="24"/>
        </w:rPr>
        <w:t>, 1009-1018.</w:t>
      </w:r>
    </w:p>
    <w:p w:rsidR="000B3E21" w:rsidRDefault="000B3E21" w:rsidP="000B3E21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Times New Roman" w:hAnsi="Times New Roman" w:cs="Times New Roman"/>
          <w:noProof/>
          <w:sz w:val="24"/>
          <w:lang w:val="en-US"/>
        </w:rPr>
      </w:pPr>
      <w:r w:rsidRPr="00E6067E">
        <w:rPr>
          <w:rFonts w:ascii="Times New Roman" w:hAnsi="Times New Roman" w:cs="Times New Roman"/>
          <w:noProof/>
          <w:sz w:val="24"/>
        </w:rPr>
        <w:tab/>
        <w:t xml:space="preserve">2. </w:t>
      </w:r>
      <w:r w:rsidRPr="00E6067E">
        <w:rPr>
          <w:rFonts w:ascii="Times New Roman" w:hAnsi="Times New Roman" w:cs="Times New Roman"/>
          <w:noProof/>
          <w:sz w:val="24"/>
        </w:rPr>
        <w:tab/>
        <w:t>Estaquio C, Kesse-Guyot E, Deschamps V</w:t>
      </w:r>
      <w:r w:rsidRPr="00E6067E">
        <w:rPr>
          <w:rFonts w:ascii="Times New Roman" w:hAnsi="Times New Roman" w:cs="Times New Roman"/>
          <w:i/>
          <w:noProof/>
          <w:sz w:val="24"/>
        </w:rPr>
        <w:t>, et al.</w:t>
      </w:r>
      <w:r w:rsidRPr="00E6067E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(2009) Adherence to the French Programme National Nutrition Sante Guideline Score is associated with better nutrient intake and nutritional status. </w:t>
      </w:r>
      <w:r w:rsidRPr="000B3E21">
        <w:rPr>
          <w:rFonts w:ascii="Times New Roman" w:hAnsi="Times New Roman" w:cs="Times New Roman"/>
          <w:i/>
          <w:noProof/>
          <w:sz w:val="24"/>
          <w:lang w:val="en-US"/>
        </w:rPr>
        <w:t>J Am Diet Assoc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</w:t>
      </w:r>
      <w:r w:rsidRPr="000B3E21">
        <w:rPr>
          <w:rFonts w:ascii="Times New Roman" w:hAnsi="Times New Roman" w:cs="Times New Roman"/>
          <w:b/>
          <w:noProof/>
          <w:sz w:val="24"/>
          <w:lang w:val="en-US"/>
        </w:rPr>
        <w:t>109</w:t>
      </w:r>
      <w:r>
        <w:rPr>
          <w:rFonts w:ascii="Times New Roman" w:hAnsi="Times New Roman" w:cs="Times New Roman"/>
          <w:noProof/>
          <w:sz w:val="24"/>
          <w:lang w:val="en-US"/>
        </w:rPr>
        <w:t>, 1031-1041.</w:t>
      </w:r>
    </w:p>
    <w:p w:rsidR="000B3E21" w:rsidRPr="00E6067E" w:rsidRDefault="000B3E21" w:rsidP="000B3E21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ab/>
        <w:t xml:space="preserve">3. </w:t>
      </w:r>
      <w:r>
        <w:rPr>
          <w:rFonts w:ascii="Times New Roman" w:hAnsi="Times New Roman" w:cs="Times New Roman"/>
          <w:noProof/>
          <w:sz w:val="24"/>
          <w:lang w:val="en-US"/>
        </w:rPr>
        <w:tab/>
        <w:t>Kim S, Haines PS, Siega-Riz AM</w:t>
      </w:r>
      <w:r w:rsidRPr="000B3E21">
        <w:rPr>
          <w:rFonts w:ascii="Times New Roman" w:hAnsi="Times New Roman" w:cs="Times New Roman"/>
          <w:i/>
          <w:noProof/>
          <w:sz w:val="24"/>
          <w:lang w:val="en-US"/>
        </w:rPr>
        <w:t>, et al.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(2003) The Diet Quality Index-International (DQI-I) provides an effective tool for cross-national comparison of diet quality as illustrated by China and the United States. </w:t>
      </w:r>
      <w:r w:rsidRPr="00E6067E">
        <w:rPr>
          <w:rFonts w:ascii="Times New Roman" w:hAnsi="Times New Roman" w:cs="Times New Roman"/>
          <w:i/>
          <w:noProof/>
          <w:sz w:val="24"/>
        </w:rPr>
        <w:t>J Nutr</w:t>
      </w:r>
      <w:r w:rsidRPr="00E6067E">
        <w:rPr>
          <w:rFonts w:ascii="Times New Roman" w:hAnsi="Times New Roman" w:cs="Times New Roman"/>
          <w:noProof/>
          <w:sz w:val="24"/>
        </w:rPr>
        <w:t xml:space="preserve"> </w:t>
      </w:r>
      <w:r w:rsidRPr="00E6067E">
        <w:rPr>
          <w:rFonts w:ascii="Times New Roman" w:hAnsi="Times New Roman" w:cs="Times New Roman"/>
          <w:b/>
          <w:noProof/>
          <w:sz w:val="24"/>
        </w:rPr>
        <w:t>133</w:t>
      </w:r>
      <w:r w:rsidRPr="00E6067E">
        <w:rPr>
          <w:rFonts w:ascii="Times New Roman" w:hAnsi="Times New Roman" w:cs="Times New Roman"/>
          <w:noProof/>
          <w:sz w:val="24"/>
        </w:rPr>
        <w:t>, 3476-3484.</w:t>
      </w:r>
    </w:p>
    <w:p w:rsidR="000B3E21" w:rsidRPr="00E6067E" w:rsidRDefault="000B3E21" w:rsidP="000B3E21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Times New Roman" w:hAnsi="Times New Roman" w:cs="Times New Roman"/>
          <w:noProof/>
          <w:sz w:val="24"/>
        </w:rPr>
      </w:pPr>
      <w:r w:rsidRPr="00E6067E">
        <w:rPr>
          <w:rFonts w:ascii="Times New Roman" w:hAnsi="Times New Roman" w:cs="Times New Roman"/>
          <w:noProof/>
          <w:sz w:val="24"/>
        </w:rPr>
        <w:tab/>
        <w:t xml:space="preserve">4. </w:t>
      </w:r>
      <w:r w:rsidRPr="00E6067E">
        <w:rPr>
          <w:rFonts w:ascii="Times New Roman" w:hAnsi="Times New Roman" w:cs="Times New Roman"/>
          <w:noProof/>
          <w:sz w:val="24"/>
        </w:rPr>
        <w:tab/>
        <w:t xml:space="preserve">Martin A (2001) </w:t>
      </w:r>
      <w:r w:rsidRPr="00E6067E">
        <w:rPr>
          <w:rFonts w:ascii="Times New Roman" w:hAnsi="Times New Roman" w:cs="Times New Roman"/>
          <w:i/>
          <w:noProof/>
          <w:sz w:val="24"/>
        </w:rPr>
        <w:t>Apports nutritionnels conseillés pour la population Française [Recommended dietary allowances for the French population]</w:t>
      </w:r>
      <w:r w:rsidRPr="00E6067E">
        <w:rPr>
          <w:rFonts w:ascii="Times New Roman" w:hAnsi="Times New Roman" w:cs="Times New Roman"/>
          <w:noProof/>
          <w:sz w:val="24"/>
        </w:rPr>
        <w:t>, 3</w:t>
      </w:r>
      <w:r w:rsidRPr="00E6067E">
        <w:rPr>
          <w:rFonts w:ascii="Times New Roman" w:hAnsi="Times New Roman" w:cs="Times New Roman"/>
          <w:noProof/>
          <w:sz w:val="24"/>
          <w:vertAlign w:val="superscript"/>
        </w:rPr>
        <w:t>e</w:t>
      </w:r>
      <w:r w:rsidRPr="00E6067E">
        <w:rPr>
          <w:rFonts w:ascii="Times New Roman" w:hAnsi="Times New Roman" w:cs="Times New Roman"/>
          <w:noProof/>
          <w:sz w:val="24"/>
        </w:rPr>
        <w:t xml:space="preserve"> ed.: Paris:Tec &amp; Doc, Lavoisier.</w:t>
      </w:r>
    </w:p>
    <w:p w:rsidR="000B3E21" w:rsidRDefault="000B3E21" w:rsidP="000B3E21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noProof/>
          <w:sz w:val="24"/>
          <w:lang w:val="en-US"/>
        </w:rPr>
      </w:pPr>
      <w:r w:rsidRPr="00E6067E">
        <w:rPr>
          <w:rFonts w:ascii="Times New Roman" w:hAnsi="Times New Roman" w:cs="Times New Roman"/>
          <w:noProof/>
          <w:sz w:val="24"/>
        </w:rPr>
        <w:tab/>
        <w:t xml:space="preserve">5. </w:t>
      </w:r>
      <w:r w:rsidRPr="00E6067E">
        <w:rPr>
          <w:rFonts w:ascii="Times New Roman" w:hAnsi="Times New Roman" w:cs="Times New Roman"/>
          <w:noProof/>
          <w:sz w:val="24"/>
        </w:rPr>
        <w:tab/>
        <w:t>Verger EO, Mariotti F, Holmes BA</w:t>
      </w:r>
      <w:r w:rsidRPr="00E6067E">
        <w:rPr>
          <w:rFonts w:ascii="Times New Roman" w:hAnsi="Times New Roman" w:cs="Times New Roman"/>
          <w:i/>
          <w:noProof/>
          <w:sz w:val="24"/>
        </w:rPr>
        <w:t>, et al.</w:t>
      </w:r>
      <w:r w:rsidRPr="00E6067E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(2012) Evaluation of a diet quality index based on the probability of adequate nutrient intake (PANDiet) using national French and US dietary surveys. </w:t>
      </w:r>
      <w:r w:rsidRPr="000B3E21">
        <w:rPr>
          <w:rFonts w:ascii="Times New Roman" w:hAnsi="Times New Roman" w:cs="Times New Roman"/>
          <w:i/>
          <w:noProof/>
          <w:sz w:val="24"/>
          <w:lang w:val="en-US"/>
        </w:rPr>
        <w:t>PLoS One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</w:t>
      </w:r>
      <w:r w:rsidRPr="000B3E21">
        <w:rPr>
          <w:rFonts w:ascii="Times New Roman" w:hAnsi="Times New Roman" w:cs="Times New Roman"/>
          <w:b/>
          <w:noProof/>
          <w:sz w:val="24"/>
          <w:lang w:val="en-US"/>
        </w:rPr>
        <w:t>7</w:t>
      </w:r>
      <w:r>
        <w:rPr>
          <w:rFonts w:ascii="Times New Roman" w:hAnsi="Times New Roman" w:cs="Times New Roman"/>
          <w:noProof/>
          <w:sz w:val="24"/>
          <w:lang w:val="en-US"/>
        </w:rPr>
        <w:t>, e42155.</w:t>
      </w:r>
    </w:p>
    <w:p w:rsidR="000B3E21" w:rsidRDefault="000B3E21" w:rsidP="000B3E21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noProof/>
          <w:sz w:val="24"/>
          <w:lang w:val="en-US"/>
        </w:rPr>
      </w:pPr>
    </w:p>
    <w:p w:rsidR="002914DC" w:rsidRPr="00BC27CB" w:rsidRDefault="002B6F3F">
      <w:pPr>
        <w:rPr>
          <w:lang w:val="en-US"/>
        </w:rPr>
      </w:pPr>
      <w:r>
        <w:rPr>
          <w:lang w:val="en-US"/>
        </w:rPr>
        <w:fldChar w:fldCharType="end"/>
      </w:r>
      <w:bookmarkStart w:id="0" w:name="_GoBack"/>
      <w:bookmarkEnd w:id="0"/>
    </w:p>
    <w:sectPr w:rsidR="002914DC" w:rsidRPr="00BC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British Journal of Nutrition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2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épression&lt;/item&gt;&lt;/Libraries&gt;&lt;/ENLibraries&gt;"/>
  </w:docVars>
  <w:rsids>
    <w:rsidRoot w:val="00DE487B"/>
    <w:rsid w:val="000B3E21"/>
    <w:rsid w:val="001011D5"/>
    <w:rsid w:val="001700E3"/>
    <w:rsid w:val="00225C5D"/>
    <w:rsid w:val="0026142F"/>
    <w:rsid w:val="002914DC"/>
    <w:rsid w:val="002B6F3F"/>
    <w:rsid w:val="002C5CD4"/>
    <w:rsid w:val="005A19C3"/>
    <w:rsid w:val="005C13E9"/>
    <w:rsid w:val="00635081"/>
    <w:rsid w:val="007C716E"/>
    <w:rsid w:val="008D40DC"/>
    <w:rsid w:val="00BB3619"/>
    <w:rsid w:val="00BC27CB"/>
    <w:rsid w:val="00C656D5"/>
    <w:rsid w:val="00D057F5"/>
    <w:rsid w:val="00DB13D4"/>
    <w:rsid w:val="00DE487B"/>
    <w:rsid w:val="00E6067E"/>
    <w:rsid w:val="00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E4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8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487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87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29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E4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8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487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87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29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13</cp:revision>
  <dcterms:created xsi:type="dcterms:W3CDTF">2017-08-24T10:04:00Z</dcterms:created>
  <dcterms:modified xsi:type="dcterms:W3CDTF">2018-01-05T10:27:00Z</dcterms:modified>
</cp:coreProperties>
</file>