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A691" w14:textId="38909D8C" w:rsidR="00C6585C" w:rsidRPr="005B1AA4" w:rsidRDefault="00CA6148" w:rsidP="00727FD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1AA4">
        <w:rPr>
          <w:rFonts w:asciiTheme="majorBidi" w:hAnsiTheme="majorBidi" w:cstheme="majorBidi"/>
          <w:b/>
          <w:bCs/>
          <w:sz w:val="24"/>
          <w:szCs w:val="24"/>
        </w:rPr>
        <w:t xml:space="preserve">Supplementary data – </w:t>
      </w:r>
      <w:r w:rsidR="00F72B7A">
        <w:rPr>
          <w:rFonts w:asciiTheme="majorBidi" w:hAnsiTheme="majorBidi" w:cstheme="majorBidi"/>
          <w:b/>
          <w:bCs/>
          <w:sz w:val="24"/>
          <w:szCs w:val="24"/>
        </w:rPr>
        <w:t>Validation of the s</w:t>
      </w:r>
      <w:r w:rsidRPr="005B1AA4">
        <w:rPr>
          <w:rFonts w:asciiTheme="majorBidi" w:hAnsiTheme="majorBidi" w:cstheme="majorBidi"/>
          <w:b/>
          <w:bCs/>
          <w:sz w:val="24"/>
          <w:szCs w:val="24"/>
        </w:rPr>
        <w:t xml:space="preserve">pecificity of </w:t>
      </w:r>
      <w:r w:rsidR="00C105C5">
        <w:rPr>
          <w:rFonts w:asciiTheme="majorBidi" w:hAnsiTheme="majorBidi" w:cstheme="majorBidi"/>
          <w:b/>
          <w:bCs/>
          <w:sz w:val="24"/>
          <w:szCs w:val="24"/>
        </w:rPr>
        <w:t>primary antibodies</w:t>
      </w:r>
      <w:r w:rsidRPr="005B1AA4">
        <w:rPr>
          <w:rFonts w:asciiTheme="majorBidi" w:hAnsiTheme="majorBidi" w:cstheme="majorBidi"/>
          <w:b/>
          <w:bCs/>
          <w:sz w:val="24"/>
          <w:szCs w:val="24"/>
        </w:rPr>
        <w:t xml:space="preserve"> used for western blotting in the study</w:t>
      </w:r>
    </w:p>
    <w:p w14:paraId="798FEFEC" w14:textId="77777777" w:rsidR="00931FD2" w:rsidRPr="005B1AA4" w:rsidRDefault="00AE3078" w:rsidP="0076415A">
      <w:pPr>
        <w:jc w:val="both"/>
        <w:rPr>
          <w:rFonts w:asciiTheme="majorBidi" w:hAnsiTheme="majorBidi" w:cstheme="majorBidi"/>
          <w:sz w:val="24"/>
          <w:szCs w:val="24"/>
        </w:rPr>
      </w:pPr>
      <w:r w:rsidRPr="005B1AA4">
        <w:rPr>
          <w:rFonts w:asciiTheme="majorBidi" w:hAnsiTheme="majorBidi" w:cstheme="majorBidi"/>
          <w:sz w:val="24"/>
          <w:szCs w:val="24"/>
        </w:rPr>
        <w:t>To validate the specificity of the antibodies used in the western bl</w:t>
      </w:r>
      <w:r w:rsidR="00C75286" w:rsidRPr="005B1AA4">
        <w:rPr>
          <w:rFonts w:asciiTheme="majorBidi" w:hAnsiTheme="majorBidi" w:cstheme="majorBidi"/>
          <w:sz w:val="24"/>
          <w:szCs w:val="24"/>
        </w:rPr>
        <w:t xml:space="preserve">otting study, both negative controls excluding primary antibody incubation and positive controls with known expressed tissue type were conducted. </w:t>
      </w:r>
    </w:p>
    <w:p w14:paraId="3E09224D" w14:textId="72EB81BC" w:rsidR="001E1A0E" w:rsidRPr="005B1AA4" w:rsidRDefault="005B1AA4" w:rsidP="0076415A">
      <w:pPr>
        <w:jc w:val="both"/>
        <w:rPr>
          <w:rFonts w:asciiTheme="majorBidi" w:hAnsiTheme="majorBidi" w:cstheme="majorBidi"/>
          <w:sz w:val="24"/>
          <w:szCs w:val="24"/>
        </w:rPr>
      </w:pPr>
      <w:r w:rsidRPr="005B1AA4">
        <w:rPr>
          <w:rFonts w:asciiTheme="majorBidi" w:hAnsiTheme="majorBidi" w:cstheme="majorBidi"/>
          <w:sz w:val="24"/>
          <w:szCs w:val="24"/>
        </w:rPr>
        <w:t xml:space="preserve">For </w:t>
      </w:r>
      <w:r w:rsidR="00C37BC5">
        <w:rPr>
          <w:rFonts w:asciiTheme="majorBidi" w:hAnsiTheme="majorBidi" w:cstheme="majorBidi"/>
          <w:sz w:val="24"/>
          <w:szCs w:val="24"/>
        </w:rPr>
        <w:t xml:space="preserve">minus primary </w:t>
      </w:r>
      <w:r w:rsidRPr="005B1AA4">
        <w:rPr>
          <w:rFonts w:asciiTheme="majorBidi" w:hAnsiTheme="majorBidi" w:cstheme="majorBidi"/>
          <w:sz w:val="24"/>
          <w:szCs w:val="24"/>
        </w:rPr>
        <w:t>negative control, two 10% mini-Protean TGX gels (</w:t>
      </w:r>
      <w:proofErr w:type="spellStart"/>
      <w:r w:rsidRPr="005B1AA4">
        <w:rPr>
          <w:rFonts w:asciiTheme="majorBidi" w:hAnsiTheme="majorBidi" w:cstheme="majorBidi"/>
          <w:sz w:val="24"/>
          <w:szCs w:val="24"/>
        </w:rPr>
        <w:t>Biorad</w:t>
      </w:r>
      <w:proofErr w:type="spellEnd"/>
      <w:r w:rsidRPr="005B1AA4">
        <w:rPr>
          <w:rFonts w:asciiTheme="majorBidi" w:hAnsiTheme="majorBidi" w:cstheme="majorBidi"/>
          <w:sz w:val="24"/>
          <w:szCs w:val="24"/>
        </w:rPr>
        <w:t xml:space="preserve">, USA) were prepared. For each gel, 10 µg of the Precision Plus protein dual </w:t>
      </w:r>
      <w:proofErr w:type="spellStart"/>
      <w:r w:rsidRPr="005B1AA4">
        <w:rPr>
          <w:rFonts w:asciiTheme="majorBidi" w:hAnsiTheme="majorBidi" w:cstheme="majorBidi"/>
          <w:sz w:val="24"/>
          <w:szCs w:val="24"/>
        </w:rPr>
        <w:t>color</w:t>
      </w:r>
      <w:proofErr w:type="spellEnd"/>
      <w:r w:rsidRPr="005B1AA4">
        <w:rPr>
          <w:rFonts w:asciiTheme="majorBidi" w:hAnsiTheme="majorBidi" w:cstheme="majorBidi"/>
          <w:sz w:val="24"/>
          <w:szCs w:val="24"/>
        </w:rPr>
        <w:t xml:space="preserve"> standard (</w:t>
      </w:r>
      <w:proofErr w:type="spellStart"/>
      <w:r w:rsidRPr="005B1AA4">
        <w:rPr>
          <w:rFonts w:asciiTheme="majorBidi" w:hAnsiTheme="majorBidi" w:cstheme="majorBidi"/>
          <w:sz w:val="24"/>
          <w:szCs w:val="24"/>
        </w:rPr>
        <w:t>Biorad</w:t>
      </w:r>
      <w:proofErr w:type="spellEnd"/>
      <w:r w:rsidRPr="005B1AA4">
        <w:rPr>
          <w:rFonts w:asciiTheme="majorBidi" w:hAnsiTheme="majorBidi" w:cstheme="majorBidi"/>
          <w:sz w:val="24"/>
          <w:szCs w:val="24"/>
        </w:rPr>
        <w:t xml:space="preserve">, USA) and 20µg of each of the three human fungiform papillae protein samples were loaded. After being separated and transferred onto the PVDF membranes, both of the blots were blocked with 5% non-fat milk in </w:t>
      </w:r>
      <w:proofErr w:type="spellStart"/>
      <w:r w:rsidRPr="005B1AA4">
        <w:rPr>
          <w:rFonts w:asciiTheme="majorBidi" w:hAnsiTheme="majorBidi" w:cstheme="majorBidi"/>
          <w:sz w:val="24"/>
          <w:szCs w:val="24"/>
        </w:rPr>
        <w:t>Tris</w:t>
      </w:r>
      <w:proofErr w:type="spellEnd"/>
      <w:r w:rsidRPr="005B1AA4">
        <w:rPr>
          <w:rFonts w:asciiTheme="majorBidi" w:hAnsiTheme="majorBidi" w:cstheme="majorBidi"/>
          <w:sz w:val="24"/>
          <w:szCs w:val="24"/>
        </w:rPr>
        <w:t xml:space="preserve"> Buffered Saline containing 0.1% Tween-20 (TBST) for 1h at room temperature</w:t>
      </w:r>
      <w:r>
        <w:rPr>
          <w:rFonts w:asciiTheme="majorBidi" w:hAnsiTheme="majorBidi" w:cstheme="majorBidi"/>
          <w:sz w:val="24"/>
          <w:szCs w:val="24"/>
        </w:rPr>
        <w:t>. One blot was incubated in goat anti-mouse IgG-HRP (</w:t>
      </w:r>
      <w:proofErr w:type="spellStart"/>
      <w:r w:rsidR="00636F26">
        <w:rPr>
          <w:rFonts w:asciiTheme="majorBidi" w:hAnsiTheme="majorBidi" w:cstheme="majorBidi"/>
          <w:sz w:val="24"/>
          <w:szCs w:val="24"/>
        </w:rPr>
        <w:t>Biorad</w:t>
      </w:r>
      <w:proofErr w:type="spellEnd"/>
      <w:r w:rsidR="00636F2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secondary antibody used for anti-CD36 primary antibody) and the other with goat anti-rabbit IgG-HRP (</w:t>
      </w:r>
      <w:proofErr w:type="spellStart"/>
      <w:r w:rsidR="00636F26">
        <w:rPr>
          <w:rFonts w:asciiTheme="majorBidi" w:hAnsiTheme="majorBidi" w:cstheme="majorBidi"/>
          <w:sz w:val="24"/>
          <w:szCs w:val="24"/>
        </w:rPr>
        <w:t>Biorad</w:t>
      </w:r>
      <w:proofErr w:type="spellEnd"/>
      <w:r w:rsidR="00636F2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secondary antibody used for the other fat taste receptor and ion channel antibodies)</w:t>
      </w:r>
      <w:r w:rsidR="00F72B7A">
        <w:rPr>
          <w:rFonts w:asciiTheme="majorBidi" w:hAnsiTheme="majorBidi" w:cstheme="majorBidi"/>
          <w:sz w:val="24"/>
          <w:szCs w:val="24"/>
        </w:rPr>
        <w:t xml:space="preserve"> for </w:t>
      </w:r>
      <w:r w:rsidR="001B1E6C">
        <w:rPr>
          <w:rFonts w:asciiTheme="majorBidi" w:hAnsiTheme="majorBidi" w:cstheme="majorBidi"/>
          <w:sz w:val="24"/>
          <w:szCs w:val="24"/>
        </w:rPr>
        <w:t>1h at room temperature. After being rinsed in TBST for 5 times (5min each), the blots were visualised with the ECL system (</w:t>
      </w:r>
      <w:proofErr w:type="spellStart"/>
      <w:r w:rsidR="001B1E6C">
        <w:rPr>
          <w:rFonts w:asciiTheme="majorBidi" w:hAnsiTheme="majorBidi" w:cstheme="majorBidi"/>
          <w:sz w:val="24"/>
          <w:szCs w:val="24"/>
        </w:rPr>
        <w:t>Biorad</w:t>
      </w:r>
      <w:proofErr w:type="spellEnd"/>
      <w:r w:rsidR="001B1E6C">
        <w:rPr>
          <w:rFonts w:asciiTheme="majorBidi" w:hAnsiTheme="majorBidi" w:cstheme="majorBidi"/>
          <w:sz w:val="24"/>
          <w:szCs w:val="24"/>
        </w:rPr>
        <w:t xml:space="preserve">, USA). </w:t>
      </w:r>
      <w:r w:rsidR="00C37BC5">
        <w:rPr>
          <w:rFonts w:asciiTheme="majorBidi" w:hAnsiTheme="majorBidi" w:cstheme="majorBidi"/>
          <w:sz w:val="24"/>
          <w:szCs w:val="24"/>
        </w:rPr>
        <w:t xml:space="preserve">The results were shown in Supplementary Figure 1A and B. Both of the blots did not show any </w:t>
      </w:r>
      <w:r w:rsidR="0076415A">
        <w:rPr>
          <w:rFonts w:asciiTheme="majorBidi" w:hAnsiTheme="majorBidi" w:cstheme="majorBidi"/>
          <w:sz w:val="24"/>
          <w:szCs w:val="24"/>
        </w:rPr>
        <w:t xml:space="preserve">bands for any of the sample lanes. </w:t>
      </w:r>
      <w:r w:rsidR="00C37BC5">
        <w:rPr>
          <w:rFonts w:asciiTheme="majorBidi" w:hAnsiTheme="majorBidi" w:cstheme="majorBidi"/>
          <w:sz w:val="24"/>
          <w:szCs w:val="24"/>
        </w:rPr>
        <w:t xml:space="preserve"> </w:t>
      </w:r>
    </w:p>
    <w:p w14:paraId="31C0E505" w14:textId="57481DB3" w:rsidR="00931FD2" w:rsidRDefault="0014048C" w:rsidP="00763F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types of positive tissue used for validation were summaries in Table 1. </w:t>
      </w:r>
      <w:r w:rsidR="00AC6AB2">
        <w:rPr>
          <w:rFonts w:asciiTheme="majorBidi" w:hAnsiTheme="majorBidi" w:cstheme="majorBidi"/>
          <w:sz w:val="24"/>
          <w:szCs w:val="24"/>
        </w:rPr>
        <w:t xml:space="preserve">The mouse tissues were collected from three wild-type mice. </w:t>
      </w:r>
      <w:r w:rsidR="002A4007">
        <w:rPr>
          <w:rFonts w:asciiTheme="majorBidi" w:hAnsiTheme="majorBidi" w:cstheme="majorBidi"/>
          <w:sz w:val="24"/>
          <w:szCs w:val="24"/>
        </w:rPr>
        <w:t xml:space="preserve">Proteins were extracted from the </w:t>
      </w:r>
      <w:r w:rsidR="00993A30">
        <w:rPr>
          <w:rFonts w:asciiTheme="majorBidi" w:hAnsiTheme="majorBidi" w:cstheme="majorBidi"/>
          <w:sz w:val="24"/>
          <w:szCs w:val="24"/>
        </w:rPr>
        <w:t>mouse heart, intestine, spleen samples with PARIS kit (</w:t>
      </w:r>
      <w:proofErr w:type="spellStart"/>
      <w:r w:rsidR="00993A30">
        <w:rPr>
          <w:rFonts w:asciiTheme="majorBidi" w:hAnsiTheme="majorBidi" w:cstheme="majorBidi"/>
          <w:sz w:val="24"/>
          <w:szCs w:val="24"/>
        </w:rPr>
        <w:t>ThermoFisher</w:t>
      </w:r>
      <w:proofErr w:type="spellEnd"/>
      <w:r w:rsidR="00993A30">
        <w:rPr>
          <w:rFonts w:asciiTheme="majorBidi" w:hAnsiTheme="majorBidi" w:cstheme="majorBidi"/>
          <w:sz w:val="24"/>
          <w:szCs w:val="24"/>
        </w:rPr>
        <w:t xml:space="preserve">, USA). </w:t>
      </w:r>
      <w:r w:rsidR="006E4949">
        <w:rPr>
          <w:rFonts w:asciiTheme="majorBidi" w:hAnsiTheme="majorBidi" w:cstheme="majorBidi"/>
          <w:sz w:val="24"/>
          <w:szCs w:val="24"/>
        </w:rPr>
        <w:t>The positive control samples were gone through the western blotting analysis following the procedure described in the Materials and Methods section. Representative results were s</w:t>
      </w:r>
      <w:r w:rsidR="00382368">
        <w:rPr>
          <w:rFonts w:asciiTheme="majorBidi" w:hAnsiTheme="majorBidi" w:cstheme="majorBidi"/>
          <w:sz w:val="24"/>
          <w:szCs w:val="24"/>
        </w:rPr>
        <w:t>hown in Figure 1C.</w:t>
      </w:r>
      <w:r w:rsidR="006E4949">
        <w:rPr>
          <w:rFonts w:asciiTheme="majorBidi" w:hAnsiTheme="majorBidi" w:cstheme="majorBidi"/>
          <w:sz w:val="24"/>
          <w:szCs w:val="24"/>
        </w:rPr>
        <w:t xml:space="preserve"> </w:t>
      </w:r>
      <w:r w:rsidR="00251E15">
        <w:rPr>
          <w:rFonts w:asciiTheme="majorBidi" w:hAnsiTheme="majorBidi" w:cstheme="majorBidi"/>
          <w:sz w:val="24"/>
          <w:szCs w:val="24"/>
        </w:rPr>
        <w:t>In the blot, clear bands were detected for CD36 (78kDa-88kDa), FFAR4 (37kDa-50kDa), FFAR2 (</w:t>
      </w:r>
      <w:r w:rsidR="00A9443F">
        <w:rPr>
          <w:rFonts w:asciiTheme="majorBidi" w:hAnsiTheme="majorBidi" w:cstheme="majorBidi"/>
          <w:sz w:val="24"/>
          <w:szCs w:val="24"/>
        </w:rPr>
        <w:t>40kDa-50kDa</w:t>
      </w:r>
      <w:r w:rsidR="00251E15">
        <w:rPr>
          <w:rFonts w:asciiTheme="majorBidi" w:hAnsiTheme="majorBidi" w:cstheme="majorBidi"/>
          <w:sz w:val="24"/>
          <w:szCs w:val="24"/>
        </w:rPr>
        <w:t>), GPR84</w:t>
      </w:r>
      <w:r w:rsidR="00A9443F">
        <w:rPr>
          <w:rFonts w:asciiTheme="majorBidi" w:hAnsiTheme="majorBidi" w:cstheme="majorBidi"/>
          <w:sz w:val="24"/>
          <w:szCs w:val="24"/>
        </w:rPr>
        <w:t xml:space="preserve"> (40kDa-50kDa)</w:t>
      </w:r>
      <w:r w:rsidR="00DA3D42">
        <w:rPr>
          <w:rFonts w:asciiTheme="majorBidi" w:hAnsiTheme="majorBidi" w:cstheme="majorBidi"/>
          <w:sz w:val="24"/>
          <w:szCs w:val="24"/>
        </w:rPr>
        <w:t xml:space="preserve"> and</w:t>
      </w:r>
      <w:r w:rsidR="00251E15">
        <w:rPr>
          <w:rFonts w:asciiTheme="majorBidi" w:hAnsiTheme="majorBidi" w:cstheme="majorBidi"/>
          <w:sz w:val="24"/>
          <w:szCs w:val="24"/>
        </w:rPr>
        <w:t xml:space="preserve"> KCNA2 </w:t>
      </w:r>
      <w:r w:rsidR="00A9443F">
        <w:rPr>
          <w:rFonts w:asciiTheme="majorBidi" w:hAnsiTheme="majorBidi" w:cstheme="majorBidi"/>
          <w:sz w:val="24"/>
          <w:szCs w:val="24"/>
        </w:rPr>
        <w:t>(</w:t>
      </w:r>
      <w:r w:rsidR="009F7F7C">
        <w:rPr>
          <w:rFonts w:asciiTheme="majorBidi" w:hAnsiTheme="majorBidi" w:cstheme="majorBidi"/>
          <w:sz w:val="24"/>
          <w:szCs w:val="24"/>
        </w:rPr>
        <w:t>50kDa-70kDa</w:t>
      </w:r>
      <w:r w:rsidR="00A9443F">
        <w:rPr>
          <w:rFonts w:asciiTheme="majorBidi" w:hAnsiTheme="majorBidi" w:cstheme="majorBidi"/>
          <w:sz w:val="24"/>
          <w:szCs w:val="24"/>
        </w:rPr>
        <w:t>) in specific tissues</w:t>
      </w:r>
      <w:r w:rsidR="00382368">
        <w:rPr>
          <w:rFonts w:asciiTheme="majorBidi" w:hAnsiTheme="majorBidi" w:cstheme="majorBidi"/>
          <w:sz w:val="24"/>
          <w:szCs w:val="24"/>
        </w:rPr>
        <w:t xml:space="preserve">, which indicated the functionality of the primary antibodies used in Table 1. </w:t>
      </w:r>
    </w:p>
    <w:p w14:paraId="14E194FD" w14:textId="3C086953" w:rsidR="00075FB6" w:rsidRDefault="00075FB6" w:rsidP="00D05EF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1.</w:t>
      </w:r>
      <w:r w:rsidR="00F65C38">
        <w:rPr>
          <w:rFonts w:asciiTheme="majorBidi" w:hAnsiTheme="majorBidi" w:cstheme="majorBidi"/>
          <w:sz w:val="24"/>
          <w:szCs w:val="24"/>
        </w:rPr>
        <w:t xml:space="preserve"> Positive control tissues selected for validating the primary antibodies. 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782"/>
        <w:gridCol w:w="1949"/>
        <w:gridCol w:w="1406"/>
        <w:gridCol w:w="1743"/>
        <w:gridCol w:w="1762"/>
      </w:tblGrid>
      <w:tr w:rsidR="00AC5DDF" w14:paraId="041EB694" w14:textId="77777777" w:rsidTr="00C02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41CA9598" w14:textId="53096E28" w:rsidR="00AC5DDF" w:rsidRDefault="00AC5DDF" w:rsidP="00763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Antibody</w:t>
            </w:r>
          </w:p>
        </w:tc>
        <w:tc>
          <w:tcPr>
            <w:tcW w:w="1949" w:type="dxa"/>
          </w:tcPr>
          <w:p w14:paraId="13D9B972" w14:textId="71AE087F" w:rsidR="00AC5DDF" w:rsidRDefault="00AC5DDF" w:rsidP="00763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Catalogue number</w:t>
            </w:r>
          </w:p>
        </w:tc>
        <w:tc>
          <w:tcPr>
            <w:tcW w:w="1406" w:type="dxa"/>
          </w:tcPr>
          <w:p w14:paraId="65A4CCA4" w14:textId="74DA2232" w:rsidR="00AC5DDF" w:rsidRDefault="00AC5DDF" w:rsidP="00763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Dilution</w:t>
            </w:r>
          </w:p>
        </w:tc>
        <w:tc>
          <w:tcPr>
            <w:tcW w:w="1743" w:type="dxa"/>
          </w:tcPr>
          <w:p w14:paraId="22ABF9FF" w14:textId="6FBAA04E" w:rsidR="00AC5DDF" w:rsidRDefault="00AC5DDF" w:rsidP="00763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Positive tissue</w:t>
            </w:r>
          </w:p>
        </w:tc>
        <w:tc>
          <w:tcPr>
            <w:tcW w:w="1762" w:type="dxa"/>
          </w:tcPr>
          <w:p w14:paraId="3AA26C3A" w14:textId="6139EC55" w:rsidR="00AC5DDF" w:rsidRDefault="00AC5DDF" w:rsidP="00763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Reference</w:t>
            </w:r>
          </w:p>
        </w:tc>
      </w:tr>
      <w:tr w:rsidR="00AC5DDF" w14:paraId="7C363D1B" w14:textId="77777777" w:rsidTr="00C0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14:paraId="294F0683" w14:textId="5863C8E1" w:rsidR="00AC5DDF" w:rsidRDefault="00AC5DDF" w:rsidP="00763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anti-CD36</w:t>
            </w:r>
          </w:p>
        </w:tc>
        <w:tc>
          <w:tcPr>
            <w:tcW w:w="1949" w:type="dxa"/>
            <w:shd w:val="clear" w:color="auto" w:fill="auto"/>
          </w:tcPr>
          <w:p w14:paraId="57B992A6" w14:textId="3C88F1EA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sc7309</w:t>
            </w:r>
          </w:p>
        </w:tc>
        <w:tc>
          <w:tcPr>
            <w:tcW w:w="1406" w:type="dxa"/>
            <w:shd w:val="clear" w:color="auto" w:fill="auto"/>
          </w:tcPr>
          <w:p w14:paraId="34DD88C8" w14:textId="6F5EBEBD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1:500</w:t>
            </w:r>
          </w:p>
        </w:tc>
        <w:tc>
          <w:tcPr>
            <w:tcW w:w="1743" w:type="dxa"/>
            <w:shd w:val="clear" w:color="auto" w:fill="auto"/>
          </w:tcPr>
          <w:p w14:paraId="053BD9F4" w14:textId="7E4B969A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mouse heart</w:t>
            </w:r>
          </w:p>
        </w:tc>
        <w:tc>
          <w:tcPr>
            <w:tcW w:w="1762" w:type="dxa"/>
            <w:shd w:val="clear" w:color="auto" w:fill="auto"/>
          </w:tcPr>
          <w:p w14:paraId="64250B7A" w14:textId="7D663F99" w:rsidR="00AC5DDF" w:rsidRPr="00195081" w:rsidRDefault="00CD6E69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</w:tc>
      </w:tr>
      <w:tr w:rsidR="00AC5DDF" w14:paraId="0EFC9045" w14:textId="77777777" w:rsidTr="00C0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47D32354" w14:textId="071E40ED" w:rsidR="00AC5DDF" w:rsidRDefault="00AC5DDF" w:rsidP="00763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anti-FFAR4</w:t>
            </w:r>
          </w:p>
        </w:tc>
        <w:tc>
          <w:tcPr>
            <w:tcW w:w="1949" w:type="dxa"/>
          </w:tcPr>
          <w:p w14:paraId="09FF245C" w14:textId="6CB5688F" w:rsidR="00AC5DDF" w:rsidRDefault="00AC5DDF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ab118757</w:t>
            </w:r>
          </w:p>
        </w:tc>
        <w:tc>
          <w:tcPr>
            <w:tcW w:w="1406" w:type="dxa"/>
          </w:tcPr>
          <w:p w14:paraId="5CB0661E" w14:textId="20C84C20" w:rsidR="00AC5DDF" w:rsidRDefault="00AC5DDF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1:1000</w:t>
            </w:r>
          </w:p>
        </w:tc>
        <w:tc>
          <w:tcPr>
            <w:tcW w:w="1743" w:type="dxa"/>
          </w:tcPr>
          <w:p w14:paraId="1C22A4E8" w14:textId="31D53DCB" w:rsidR="00AC5DDF" w:rsidRDefault="00AC5DDF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mouse intestine</w:t>
            </w:r>
          </w:p>
        </w:tc>
        <w:tc>
          <w:tcPr>
            <w:tcW w:w="1762" w:type="dxa"/>
          </w:tcPr>
          <w:p w14:paraId="781D16B2" w14:textId="0BFD2625" w:rsidR="00AC5DDF" w:rsidRDefault="00CD6E69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[2]</w:t>
            </w:r>
          </w:p>
        </w:tc>
      </w:tr>
      <w:tr w:rsidR="00AC5DDF" w14:paraId="65D664BD" w14:textId="77777777" w:rsidTr="00C0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14:paraId="0A37663C" w14:textId="2EAD67C4" w:rsidR="00AC5DDF" w:rsidRDefault="00AC5DDF" w:rsidP="00763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anti-FFAR2</w:t>
            </w:r>
          </w:p>
        </w:tc>
        <w:tc>
          <w:tcPr>
            <w:tcW w:w="1949" w:type="dxa"/>
            <w:shd w:val="clear" w:color="auto" w:fill="auto"/>
          </w:tcPr>
          <w:p w14:paraId="0A59C3FF" w14:textId="06792BE4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SAB4501283</w:t>
            </w:r>
          </w:p>
        </w:tc>
        <w:tc>
          <w:tcPr>
            <w:tcW w:w="1406" w:type="dxa"/>
            <w:shd w:val="clear" w:color="auto" w:fill="auto"/>
          </w:tcPr>
          <w:p w14:paraId="20D56101" w14:textId="3F1D3E05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1:500</w:t>
            </w:r>
          </w:p>
        </w:tc>
        <w:tc>
          <w:tcPr>
            <w:tcW w:w="1743" w:type="dxa"/>
            <w:shd w:val="clear" w:color="auto" w:fill="auto"/>
          </w:tcPr>
          <w:p w14:paraId="30C0C9F5" w14:textId="764A70C6" w:rsidR="00AC5DDF" w:rsidRPr="00CD6E69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6E6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mouse intestine</w:t>
            </w:r>
          </w:p>
        </w:tc>
        <w:tc>
          <w:tcPr>
            <w:tcW w:w="1762" w:type="dxa"/>
            <w:shd w:val="clear" w:color="auto" w:fill="auto"/>
          </w:tcPr>
          <w:p w14:paraId="6F1077F2" w14:textId="638F73DB" w:rsidR="00AC5DDF" w:rsidRPr="00CD6E69" w:rsidRDefault="00CD6E69" w:rsidP="00CD6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D6E69">
              <w:rPr>
                <w:rFonts w:asciiTheme="majorBidi" w:hAnsiTheme="majorBidi" w:cstheme="majorBidi"/>
                <w:sz w:val="24"/>
                <w:szCs w:val="24"/>
              </w:rPr>
              <w:t>[3]</w:t>
            </w:r>
          </w:p>
        </w:tc>
      </w:tr>
      <w:tr w:rsidR="00AC5DDF" w14:paraId="054237D0" w14:textId="77777777" w:rsidTr="00C0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14:paraId="6CE3A12A" w14:textId="4D728F5D" w:rsidR="00AC5DDF" w:rsidRDefault="00AC5DDF" w:rsidP="00763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amti-GPR84</w:t>
            </w:r>
          </w:p>
        </w:tc>
        <w:tc>
          <w:tcPr>
            <w:tcW w:w="1949" w:type="dxa"/>
          </w:tcPr>
          <w:p w14:paraId="73AAC7C8" w14:textId="719579B4" w:rsidR="00AC5DDF" w:rsidRDefault="00AC5DDF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sc99106</w:t>
            </w:r>
          </w:p>
        </w:tc>
        <w:tc>
          <w:tcPr>
            <w:tcW w:w="1406" w:type="dxa"/>
          </w:tcPr>
          <w:p w14:paraId="099DE077" w14:textId="5FE109DA" w:rsidR="00AC5DDF" w:rsidRDefault="00AC5DDF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1:1000</w:t>
            </w:r>
          </w:p>
        </w:tc>
        <w:tc>
          <w:tcPr>
            <w:tcW w:w="1743" w:type="dxa"/>
          </w:tcPr>
          <w:p w14:paraId="79BF49DA" w14:textId="34F72D9E" w:rsidR="00AC5DDF" w:rsidRDefault="00AC5DDF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mouse spleen</w:t>
            </w:r>
          </w:p>
        </w:tc>
        <w:tc>
          <w:tcPr>
            <w:tcW w:w="1762" w:type="dxa"/>
          </w:tcPr>
          <w:p w14:paraId="3A811653" w14:textId="30CECC0F" w:rsidR="00AC5DDF" w:rsidRDefault="00CD6E69" w:rsidP="0076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[4]</w:t>
            </w:r>
          </w:p>
        </w:tc>
      </w:tr>
      <w:tr w:rsidR="00AC5DDF" w14:paraId="5D85ECB9" w14:textId="77777777" w:rsidTr="00C0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14:paraId="7D2FC502" w14:textId="75D75EEE" w:rsidR="00AC5DDF" w:rsidRDefault="00AC5DDF" w:rsidP="00763F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anti-KCNA2</w:t>
            </w:r>
          </w:p>
        </w:tc>
        <w:tc>
          <w:tcPr>
            <w:tcW w:w="1949" w:type="dxa"/>
            <w:shd w:val="clear" w:color="auto" w:fill="auto"/>
          </w:tcPr>
          <w:p w14:paraId="2CA5D2B1" w14:textId="0E6AF138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ab65789</w:t>
            </w:r>
          </w:p>
        </w:tc>
        <w:tc>
          <w:tcPr>
            <w:tcW w:w="1406" w:type="dxa"/>
            <w:shd w:val="clear" w:color="auto" w:fill="auto"/>
          </w:tcPr>
          <w:p w14:paraId="3AACE371" w14:textId="5743C756" w:rsidR="00AC5DDF" w:rsidRDefault="00AC5DDF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1:1000</w:t>
            </w:r>
          </w:p>
        </w:tc>
        <w:tc>
          <w:tcPr>
            <w:tcW w:w="1743" w:type="dxa"/>
            <w:shd w:val="clear" w:color="auto" w:fill="auto"/>
          </w:tcPr>
          <w:p w14:paraId="7090989B" w14:textId="1D7AA965" w:rsidR="00AC5DDF" w:rsidRDefault="006B0C1C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mouse heart</w:t>
            </w:r>
          </w:p>
        </w:tc>
        <w:tc>
          <w:tcPr>
            <w:tcW w:w="1762" w:type="dxa"/>
            <w:shd w:val="clear" w:color="auto" w:fill="auto"/>
          </w:tcPr>
          <w:p w14:paraId="763B5702" w14:textId="229E8341" w:rsidR="00AC5DDF" w:rsidRDefault="009061CC" w:rsidP="0076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GEO</w:t>
            </w:r>
            <w:r w:rsidR="002A411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dataset (GSE23028)</w:t>
            </w:r>
          </w:p>
        </w:tc>
      </w:tr>
    </w:tbl>
    <w:p w14:paraId="5318FFC9" w14:textId="473104FC" w:rsidR="00075FB6" w:rsidRPr="00DD5076" w:rsidRDefault="008F4F77" w:rsidP="00763FB1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D5076">
        <w:rPr>
          <w:rFonts w:ascii="Times New Roman" w:eastAsia="Times New Roman" w:hAnsi="Times New Roman" w:cs="Times New Roman"/>
          <w:sz w:val="20"/>
          <w:szCs w:val="20"/>
          <w:lang w:val="en-GB"/>
        </w:rPr>
        <w:t>*GEO</w:t>
      </w:r>
      <w:r w:rsidR="00E94883" w:rsidRPr="00DD507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represents the gene </w:t>
      </w:r>
      <w:r w:rsidR="005534A1" w:rsidRPr="00DD5076">
        <w:rPr>
          <w:rFonts w:ascii="Times New Roman" w:eastAsia="Times New Roman" w:hAnsi="Times New Roman" w:cs="Times New Roman"/>
          <w:sz w:val="20"/>
          <w:szCs w:val="20"/>
          <w:lang w:val="en-GB"/>
        </w:rPr>
        <w:t>expression</w:t>
      </w:r>
      <w:r w:rsidR="00E94883" w:rsidRPr="00DD507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omnibus </w:t>
      </w:r>
      <w:r w:rsidR="005534A1" w:rsidRPr="00DD507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dataset of the National Centre for Biotechnology Information (NCBI). </w:t>
      </w:r>
      <w:r w:rsidRPr="00DD507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number in the bracket refers to the reference series. </w:t>
      </w:r>
    </w:p>
    <w:p w14:paraId="7DACC8EF" w14:textId="01EB13F8" w:rsidR="00DD5076" w:rsidRDefault="00F65BBC" w:rsidP="009A40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69BA01" wp14:editId="79DEE54C">
            <wp:extent cx="5731510" cy="66795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E6A7" w14:textId="6626BF14" w:rsidR="009A4006" w:rsidRDefault="009A4006" w:rsidP="009A40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 Validation of the antibodies used for western blotting analysis. A and B represent the minus primary antibody negative control stained with goat anti-mouse IgG-HRP and goat anti-rabbit IgG-HRP respectively</w:t>
      </w:r>
      <w:r w:rsidR="00D529DD">
        <w:rPr>
          <w:rFonts w:ascii="Times New Roman" w:hAnsi="Times New Roman" w:cs="Times New Roman"/>
          <w:sz w:val="24"/>
          <w:szCs w:val="24"/>
        </w:rPr>
        <w:t>.</w:t>
      </w:r>
      <w:r w:rsidR="00D529DD" w:rsidRPr="00D529DD">
        <w:rPr>
          <w:rFonts w:ascii="Times New Roman" w:hAnsi="Times New Roman" w:cs="Times New Roman"/>
          <w:sz w:val="24"/>
          <w:szCs w:val="24"/>
        </w:rPr>
        <w:t xml:space="preserve"> </w:t>
      </w:r>
      <w:r w:rsidR="00D529DD">
        <w:rPr>
          <w:rFonts w:ascii="Times New Roman" w:hAnsi="Times New Roman" w:cs="Times New Roman"/>
          <w:sz w:val="24"/>
          <w:szCs w:val="24"/>
        </w:rPr>
        <w:t>The samples loaded in lane 1, 2 and 3 were human fungiform papillae protein samples.</w:t>
      </w:r>
      <w:r>
        <w:rPr>
          <w:rFonts w:ascii="Times New Roman" w:hAnsi="Times New Roman" w:cs="Times New Roman"/>
          <w:sz w:val="24"/>
          <w:szCs w:val="24"/>
        </w:rPr>
        <w:t xml:space="preserve"> C shows the positive controls stained with the primary antibodies. The ladders used were the Precision Plus protein 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(</w:t>
      </w:r>
      <w:proofErr w:type="spellStart"/>
      <w:r>
        <w:rPr>
          <w:rFonts w:ascii="Times New Roman" w:hAnsi="Times New Roman" w:cs="Times New Roman"/>
          <w:sz w:val="24"/>
          <w:szCs w:val="24"/>
        </w:rPr>
        <w:t>Biorad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USA). </w:t>
      </w:r>
    </w:p>
    <w:p w14:paraId="156893CB" w14:textId="17FEDBEE" w:rsidR="00AF05BF" w:rsidRDefault="00AF05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62C5967" w14:textId="3CA11E41" w:rsidR="00BD1A78" w:rsidRPr="00AF05BF" w:rsidRDefault="00CD6E6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05BF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bookmarkEnd w:id="0"/>
    <w:p w14:paraId="56A2BFB3" w14:textId="7B8B9496" w:rsidR="00CD6E69" w:rsidRPr="00CD6E69" w:rsidRDefault="00CD6E69" w:rsidP="00CD6E69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Abumrad</w:t>
      </w:r>
      <w:proofErr w:type="spell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N. A., &amp; Goldberg, I. J. (2016). CD36 actions in the heart: lipids, calcium, inflammation, repair and more</w:t>
      </w:r>
      <w:proofErr w:type="gram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?.</w:t>
      </w:r>
      <w:proofErr w:type="gram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Biochimica</w:t>
      </w:r>
      <w:proofErr w:type="spellEnd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Biophysica</w:t>
      </w:r>
      <w:proofErr w:type="spellEnd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Acta</w:t>
      </w:r>
      <w:proofErr w:type="spellEnd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(BBA)-Molecular and Cell Biology of Lipids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1861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(10), 1442-1449.</w:t>
      </w:r>
    </w:p>
    <w:p w14:paraId="34D0461D" w14:textId="09AD06A0" w:rsidR="00CD6E69" w:rsidRPr="00CD6E69" w:rsidRDefault="00CD6E69" w:rsidP="00CD6E6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Tanaka, T., </w:t>
      </w:r>
      <w:proofErr w:type="spell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Katsuma</w:t>
      </w:r>
      <w:proofErr w:type="spell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S., Adachi, T., </w:t>
      </w:r>
      <w:proofErr w:type="spell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Koshimizu</w:t>
      </w:r>
      <w:proofErr w:type="spell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A., </w:t>
      </w:r>
      <w:proofErr w:type="spell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Hirasawa</w:t>
      </w:r>
      <w:proofErr w:type="spell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A., &amp; </w:t>
      </w:r>
      <w:proofErr w:type="spell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Tsujimoto</w:t>
      </w:r>
      <w:proofErr w:type="spell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G. (2008). Free fatty acids induce cholecystokinin secretion through GPR120. </w:t>
      </w:r>
      <w:proofErr w:type="spellStart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Naunyn-Schmiedeberg's</w:t>
      </w:r>
      <w:proofErr w:type="spellEnd"/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archives of pharmacology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377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(4-6), 523-527.</w:t>
      </w:r>
    </w:p>
    <w:p w14:paraId="4DE3EFE8" w14:textId="4F802E38" w:rsidR="00CD6E69" w:rsidRPr="00CD6E69" w:rsidRDefault="00CD6E69" w:rsidP="00CD6E6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Kim, M. H., Kang, S. G., Park, J. H., Yanagisawa, M., &amp; Kim, C. H. (2013). Short-chain fatty acids activate GPR41 and GPR43 on intestinal epithelial cells to promote inflammatory responses in mice. </w:t>
      </w:r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Gastroenterology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145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(2), 396-406.</w:t>
      </w:r>
    </w:p>
    <w:p w14:paraId="037A0426" w14:textId="08772422" w:rsidR="00CD6E69" w:rsidRPr="00CD6E69" w:rsidRDefault="00CD6E69" w:rsidP="00CD6E6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Wang, J., Wu, X., </w:t>
      </w:r>
      <w:proofErr w:type="spellStart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Simonavicius</w:t>
      </w:r>
      <w:proofErr w:type="spellEnd"/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N., Tian, H., &amp; Ling, L. (2006). Medium-chain fatty acids as ligands for orphan G protein-coupled receptor GPR84. </w:t>
      </w:r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Biological Chemistry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6E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281</w:t>
      </w:r>
      <w:r w:rsidRPr="00CD6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(45), 34457-34464.</w:t>
      </w:r>
    </w:p>
    <w:sectPr w:rsidR="00CD6E69" w:rsidRPr="00CD6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2095"/>
    <w:multiLevelType w:val="hybridMultilevel"/>
    <w:tmpl w:val="A422422A"/>
    <w:lvl w:ilvl="0" w:tplc="9F9A4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3D"/>
    <w:rsid w:val="00052B76"/>
    <w:rsid w:val="000629A4"/>
    <w:rsid w:val="00075FB6"/>
    <w:rsid w:val="00127FD0"/>
    <w:rsid w:val="0014048C"/>
    <w:rsid w:val="00195081"/>
    <w:rsid w:val="001B1E6C"/>
    <w:rsid w:val="001E1A0E"/>
    <w:rsid w:val="00251E15"/>
    <w:rsid w:val="002A4007"/>
    <w:rsid w:val="002A411B"/>
    <w:rsid w:val="002B5498"/>
    <w:rsid w:val="0032201C"/>
    <w:rsid w:val="00370039"/>
    <w:rsid w:val="0038098F"/>
    <w:rsid w:val="00382368"/>
    <w:rsid w:val="003F37A3"/>
    <w:rsid w:val="0040168D"/>
    <w:rsid w:val="00404024"/>
    <w:rsid w:val="004440D9"/>
    <w:rsid w:val="0047236F"/>
    <w:rsid w:val="004C1DCA"/>
    <w:rsid w:val="004F2ED9"/>
    <w:rsid w:val="004F772C"/>
    <w:rsid w:val="005133BD"/>
    <w:rsid w:val="005534A1"/>
    <w:rsid w:val="00575FDF"/>
    <w:rsid w:val="00596D1D"/>
    <w:rsid w:val="005B1AA4"/>
    <w:rsid w:val="005F39D2"/>
    <w:rsid w:val="00636F26"/>
    <w:rsid w:val="006B0C1C"/>
    <w:rsid w:val="006B4789"/>
    <w:rsid w:val="006C74C8"/>
    <w:rsid w:val="006D3A96"/>
    <w:rsid w:val="006E4949"/>
    <w:rsid w:val="00727FDB"/>
    <w:rsid w:val="00733E82"/>
    <w:rsid w:val="00735CC6"/>
    <w:rsid w:val="0075158C"/>
    <w:rsid w:val="007621B3"/>
    <w:rsid w:val="00763FB1"/>
    <w:rsid w:val="0076415A"/>
    <w:rsid w:val="007C6A5C"/>
    <w:rsid w:val="007F7DCF"/>
    <w:rsid w:val="008162A4"/>
    <w:rsid w:val="00862C97"/>
    <w:rsid w:val="008D19EA"/>
    <w:rsid w:val="008F4F77"/>
    <w:rsid w:val="009061CC"/>
    <w:rsid w:val="00931FD2"/>
    <w:rsid w:val="00945FBC"/>
    <w:rsid w:val="00993A30"/>
    <w:rsid w:val="009A4006"/>
    <w:rsid w:val="009F7F7C"/>
    <w:rsid w:val="00A135CB"/>
    <w:rsid w:val="00A2671B"/>
    <w:rsid w:val="00A405FE"/>
    <w:rsid w:val="00A73B84"/>
    <w:rsid w:val="00A772E0"/>
    <w:rsid w:val="00A94231"/>
    <w:rsid w:val="00A9443F"/>
    <w:rsid w:val="00AC5DDF"/>
    <w:rsid w:val="00AC6AB2"/>
    <w:rsid w:val="00AE3078"/>
    <w:rsid w:val="00AF05BF"/>
    <w:rsid w:val="00AF3E0D"/>
    <w:rsid w:val="00B97E84"/>
    <w:rsid w:val="00BD1A78"/>
    <w:rsid w:val="00C02979"/>
    <w:rsid w:val="00C105C5"/>
    <w:rsid w:val="00C21531"/>
    <w:rsid w:val="00C37BC5"/>
    <w:rsid w:val="00C5383D"/>
    <w:rsid w:val="00C6585C"/>
    <w:rsid w:val="00C75286"/>
    <w:rsid w:val="00C83CF8"/>
    <w:rsid w:val="00CA4866"/>
    <w:rsid w:val="00CA6148"/>
    <w:rsid w:val="00CD6E69"/>
    <w:rsid w:val="00CE40F8"/>
    <w:rsid w:val="00D05EF5"/>
    <w:rsid w:val="00D5284E"/>
    <w:rsid w:val="00D529DD"/>
    <w:rsid w:val="00D760F9"/>
    <w:rsid w:val="00DA3D42"/>
    <w:rsid w:val="00DD5076"/>
    <w:rsid w:val="00E94883"/>
    <w:rsid w:val="00EA5095"/>
    <w:rsid w:val="00F65BBC"/>
    <w:rsid w:val="00F65C38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A0E0"/>
  <w15:chartTrackingRefBased/>
  <w15:docId w15:val="{AEAB4F49-ADC4-46E3-ADEC-28EAF6D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basedOn w:val="DefaultParagraphFont"/>
    <w:rsid w:val="004F2ED9"/>
  </w:style>
  <w:style w:type="character" w:customStyle="1" w:styleId="pubyear">
    <w:name w:val="pubyear"/>
    <w:basedOn w:val="DefaultParagraphFont"/>
    <w:rsid w:val="004F2ED9"/>
  </w:style>
  <w:style w:type="character" w:customStyle="1" w:styleId="articletitle">
    <w:name w:val="articletitle"/>
    <w:basedOn w:val="DefaultParagraphFont"/>
    <w:rsid w:val="004F2ED9"/>
  </w:style>
  <w:style w:type="character" w:customStyle="1" w:styleId="journaltitle">
    <w:name w:val="journaltitle"/>
    <w:basedOn w:val="DefaultParagraphFont"/>
    <w:rsid w:val="004F2ED9"/>
  </w:style>
  <w:style w:type="character" w:customStyle="1" w:styleId="vol">
    <w:name w:val="vol"/>
    <w:basedOn w:val="DefaultParagraphFont"/>
    <w:rsid w:val="004F2ED9"/>
  </w:style>
  <w:style w:type="character" w:customStyle="1" w:styleId="pagefirst">
    <w:name w:val="pagefirst"/>
    <w:basedOn w:val="DefaultParagraphFont"/>
    <w:rsid w:val="004F2ED9"/>
  </w:style>
  <w:style w:type="character" w:customStyle="1" w:styleId="pagelast">
    <w:name w:val="pagelast"/>
    <w:basedOn w:val="DefaultParagraphFont"/>
    <w:rsid w:val="004F2ED9"/>
  </w:style>
  <w:style w:type="table" w:styleId="TableGrid">
    <w:name w:val="Table Grid"/>
    <w:basedOn w:val="TableNormal"/>
    <w:uiPriority w:val="39"/>
    <w:rsid w:val="00A7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E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4949"/>
    <w:rPr>
      <w:color w:val="808080"/>
    </w:rPr>
  </w:style>
  <w:style w:type="table" w:styleId="ListTable6Colorful">
    <w:name w:val="List Table 6 Colorful"/>
    <w:basedOn w:val="TableNormal"/>
    <w:uiPriority w:val="51"/>
    <w:rsid w:val="00C029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6D6F8D-030D-451C-9F3B-8D199099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DONGLI LIU</dc:creator>
  <cp:keywords/>
  <dc:description/>
  <cp:lastModifiedBy>Dongli Liu</cp:lastModifiedBy>
  <cp:revision>81</cp:revision>
  <dcterms:created xsi:type="dcterms:W3CDTF">2017-07-29T09:36:00Z</dcterms:created>
  <dcterms:modified xsi:type="dcterms:W3CDTF">2017-08-18T07:58:00Z</dcterms:modified>
</cp:coreProperties>
</file>