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22D" w:rsidRPr="00AA0157" w:rsidRDefault="00D57D6D" w:rsidP="00AF322D">
      <w:pPr>
        <w:jc w:val="center"/>
        <w:rPr>
          <w:rFonts w:ascii="Times New Roman" w:eastAsia="Times New Roman" w:hAnsi="Times New Roman" w:cs="Times New Roman"/>
          <w:b/>
          <w:lang w:bidi="hi-IN"/>
        </w:rPr>
      </w:pPr>
      <w:r>
        <w:rPr>
          <w:rFonts w:ascii="Times New Roman" w:eastAsia="Times New Roman" w:hAnsi="Times New Roman" w:cs="Times New Roman"/>
          <w:b/>
          <w:lang w:bidi="hi-IN"/>
        </w:rPr>
        <w:t>Supplemental Method 1</w:t>
      </w:r>
      <w:r w:rsidR="00AF322D" w:rsidRPr="00AA0157">
        <w:rPr>
          <w:rFonts w:ascii="Times New Roman" w:eastAsia="Times New Roman" w:hAnsi="Times New Roman" w:cs="Times New Roman"/>
          <w:b/>
          <w:lang w:bidi="hi-IN"/>
        </w:rPr>
        <w:t>. Mixed-effects regression models</w:t>
      </w:r>
    </w:p>
    <w:p w:rsidR="00AF322D" w:rsidRPr="00D57D6D" w:rsidRDefault="00AF322D" w:rsidP="00AF322D">
      <w:pPr>
        <w:spacing w:after="0" w:line="480" w:lineRule="auto"/>
        <w:rPr>
          <w:rFonts w:ascii="Times New Roman" w:eastAsia="MS Mincho" w:hAnsi="Times New Roman" w:cs="Times New Roman"/>
          <w:lang w:eastAsia="ja-JP"/>
        </w:rPr>
      </w:pPr>
      <w:r w:rsidRPr="00D57D6D">
        <w:rPr>
          <w:rFonts w:ascii="Times New Roman" w:eastAsia="MS Mincho" w:hAnsi="Times New Roman" w:cs="Times New Roman"/>
          <w:lang w:eastAsia="ja-JP"/>
        </w:rPr>
        <w:t>The main multiple mixed-effects regression models can be summarized as follows:</w:t>
      </w:r>
    </w:p>
    <w:p w:rsidR="00AF322D" w:rsidRPr="00D57D6D" w:rsidRDefault="00AF322D" w:rsidP="00AF322D">
      <w:pPr>
        <w:pBdr>
          <w:top w:val="single" w:sz="4" w:space="1" w:color="auto"/>
        </w:pBdr>
        <w:spacing w:after="0" w:line="480" w:lineRule="auto"/>
        <w:ind w:firstLine="720"/>
        <w:rPr>
          <w:rFonts w:ascii="Times New Roman" w:eastAsia="MS Mincho" w:hAnsi="Times New Roman" w:cs="Times New Roman"/>
          <w:lang w:eastAsia="ja-JP"/>
        </w:rPr>
      </w:pPr>
      <w:r w:rsidRPr="00D57D6D">
        <w:rPr>
          <w:rFonts w:ascii="Times New Roman" w:eastAsia="MS Mincho" w:hAnsi="Times New Roman" w:cs="Times New Roman"/>
          <w:lang w:eastAsia="ja-JP"/>
        </w:rPr>
        <w:t xml:space="preserve">  </w:t>
      </w:r>
      <w:r w:rsidRPr="00D57D6D">
        <w:rPr>
          <w:rFonts w:ascii="Times New Roman" w:eastAsia="MS Mincho" w:hAnsi="Times New Roman" w:cs="Times New Roman"/>
          <w:b/>
          <w:lang w:eastAsia="ja-JP"/>
        </w:rPr>
        <w:t>Multi-level models</w:t>
      </w:r>
      <w:r w:rsidRPr="00D57D6D">
        <w:rPr>
          <w:rFonts w:ascii="Times New Roman" w:eastAsia="MS Mincho" w:hAnsi="Times New Roman" w:cs="Times New Roman"/>
          <w:lang w:eastAsia="ja-JP"/>
        </w:rPr>
        <w:t xml:space="preserve">   vs. </w:t>
      </w:r>
      <w:r w:rsidRPr="00D57D6D">
        <w:rPr>
          <w:rFonts w:ascii="Times New Roman" w:eastAsia="MS Mincho" w:hAnsi="Times New Roman" w:cs="Times New Roman"/>
          <w:b/>
          <w:lang w:eastAsia="ja-JP"/>
        </w:rPr>
        <w:t>Composite models</w:t>
      </w:r>
    </w:p>
    <w:tbl>
      <w:tblPr>
        <w:tblW w:w="1213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080"/>
        <w:gridCol w:w="2520"/>
        <w:gridCol w:w="4140"/>
        <w:gridCol w:w="4398"/>
      </w:tblGrid>
      <w:tr w:rsidR="00AF322D" w:rsidRPr="00D57D6D" w:rsidTr="003D16C4">
        <w:tc>
          <w:tcPr>
            <w:tcW w:w="1080" w:type="dxa"/>
            <w:tcBorders>
              <w:bottom w:val="single" w:sz="4" w:space="0" w:color="auto"/>
            </w:tcBorders>
          </w:tcPr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b/>
                <w:lang w:eastAsia="ja-JP"/>
              </w:rPr>
              <w:t>Eq.</w:t>
            </w:r>
          </w:p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b/>
                <w:lang w:eastAsia="ja-JP"/>
              </w:rPr>
              <w:t>1.1-1.4</w:t>
            </w:r>
          </w:p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position w:val="-14"/>
                <w:lang w:eastAsia="ja-JP"/>
              </w:rPr>
            </w:pPr>
          </w:p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noProof/>
                <w:position w:val="-14"/>
              </w:rPr>
              <w:drawing>
                <wp:inline distT="0" distB="0" distL="0" distR="0" wp14:anchorId="62352386" wp14:editId="2BA0C2AB">
                  <wp:extent cx="1432560" cy="2400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noProof/>
                <w:position w:val="-28"/>
              </w:rPr>
              <w:drawing>
                <wp:inline distT="0" distB="0" distL="0" distR="0" wp14:anchorId="5158DEAE" wp14:editId="59639AC4">
                  <wp:extent cx="2106930" cy="42291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noProof/>
                <w:position w:val="-28"/>
              </w:rPr>
              <w:drawing>
                <wp:inline distT="0" distB="0" distL="0" distR="0" wp14:anchorId="5D353E13" wp14:editId="5E9B35D1">
                  <wp:extent cx="2061210" cy="422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AF322D" w:rsidRPr="00D57D6D" w:rsidRDefault="00AF322D" w:rsidP="003D16C4">
            <w:pPr>
              <w:spacing w:after="0" w:line="48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D57D6D">
              <w:rPr>
                <w:rFonts w:ascii="Times New Roman" w:eastAsia="MS Mincho" w:hAnsi="Times New Roman" w:cs="Times New Roman"/>
                <w:noProof/>
                <w:position w:val="-104"/>
              </w:rPr>
              <w:drawing>
                <wp:inline distT="0" distB="0" distL="0" distR="0" wp14:anchorId="036C87BE" wp14:editId="75A03E51">
                  <wp:extent cx="1767840" cy="13982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2D" w:rsidRPr="00D57D6D" w:rsidRDefault="00AF322D" w:rsidP="00AF322D">
      <w:pPr>
        <w:spacing w:after="0" w:line="480" w:lineRule="auto"/>
        <w:ind w:left="-90"/>
        <w:rPr>
          <w:rFonts w:ascii="Times New Roman" w:eastAsia="MS Mincho" w:hAnsi="Times New Roman" w:cs="Times New Roman"/>
          <w:lang w:eastAsia="ja-JP"/>
        </w:rPr>
      </w:pPr>
      <w:r w:rsidRPr="007F5358">
        <w:rPr>
          <w:rFonts w:ascii="Times New Roman" w:eastAsia="MS Mincho" w:hAnsi="Times New Roman" w:cs="Times New Roman"/>
          <w:lang w:eastAsia="ja-JP"/>
        </w:rPr>
        <w:t xml:space="preserve">Where 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Y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ij</w:t>
      </w:r>
      <w:proofErr w:type="spellEnd"/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 xml:space="preserve"> </w:t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outcome (SUA) for </w:t>
      </w:r>
      <w:proofErr w:type="gramStart"/>
      <w:r w:rsidRPr="007F5358">
        <w:rPr>
          <w:rFonts w:ascii="Times New Roman" w:eastAsia="MS Mincho" w:hAnsi="Times New Roman" w:cs="Times New Roman"/>
          <w:lang w:eastAsia="ja-JP"/>
        </w:rPr>
        <w:t>each individual</w:t>
      </w:r>
      <w:proofErr w:type="gramEnd"/>
      <w:r w:rsidRPr="007F5358">
        <w:rPr>
          <w:rFonts w:ascii="Times New Roman" w:eastAsia="MS Mincho" w:hAnsi="Times New Roman" w:cs="Times New Roman"/>
          <w:lang w:eastAsia="ja-JP"/>
        </w:rPr>
        <w:t xml:space="preserve"> “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i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” and visit “j”;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1F838F68" wp14:editId="15214481">
            <wp:extent cx="224790" cy="22479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level-1 intercept for individual 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i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384DB36C" wp14:editId="17E916AB">
            <wp:extent cx="205740" cy="22479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level-1 slope for individual 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i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64176F31" wp14:editId="7211992B">
            <wp:extent cx="224790" cy="22479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level-2 intercept of the random intercept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282DF5D1" wp14:editId="063C1BAF">
            <wp:extent cx="224790" cy="22479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4AFECA5C" wp14:editId="2BA617B2">
            <wp:extent cx="205740" cy="22479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level-2 intercept of the slope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1DE7CD33" wp14:editId="60B7E695">
            <wp:extent cx="205740" cy="22479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0A15BFCB" wp14:editId="7F6B842B">
            <wp:extent cx="224790" cy="22479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a vector of fixed covariates for each individual </w:t>
      </w:r>
      <w:proofErr w:type="spellStart"/>
      <w:r w:rsidRPr="007F5358">
        <w:rPr>
          <w:rFonts w:ascii="Times New Roman" w:eastAsia="MS Mincho" w:hAnsi="Times New Roman" w:cs="Times New Roman"/>
          <w:i/>
          <w:lang w:eastAsia="ja-JP"/>
        </w:rPr>
        <w:t>i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 that are used to predict level-1 int</w:t>
      </w:r>
      <w:bookmarkStart w:id="0" w:name="_GoBack"/>
      <w:bookmarkEnd w:id="0"/>
      <w:r w:rsidRPr="007F5358">
        <w:rPr>
          <w:rFonts w:ascii="Times New Roman" w:eastAsia="MS Mincho" w:hAnsi="Times New Roman" w:cs="Times New Roman"/>
          <w:lang w:eastAsia="ja-JP"/>
        </w:rPr>
        <w:t>ercepts and slopes and included baseline age (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Age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base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) among other covariates. 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X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ija</w:t>
      </w:r>
      <w:proofErr w:type="spellEnd"/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 xml:space="preserve">, </w:t>
      </w:r>
      <w:r w:rsidRPr="007F5358">
        <w:rPr>
          <w:rFonts w:ascii="Times New Roman" w:eastAsia="MS Mincho" w:hAnsi="Times New Roman" w:cs="Times New Roman"/>
          <w:lang w:eastAsia="ja-JP"/>
        </w:rPr>
        <w:t>represents the main predictor variables (</w:t>
      </w:r>
      <w:r w:rsidR="006A322B" w:rsidRPr="007F5358">
        <w:rPr>
          <w:rFonts w:ascii="Times New Roman" w:eastAsia="MS Mincho" w:hAnsi="Times New Roman" w:cs="Times New Roman"/>
          <w:lang w:eastAsia="ja-JP"/>
        </w:rPr>
        <w:t>9</w:t>
      </w:r>
      <w:r w:rsidRPr="007F5358">
        <w:rPr>
          <w:rFonts w:ascii="Times New Roman" w:eastAsia="MS Mincho" w:hAnsi="Times New Roman" w:cs="Times New Roman"/>
          <w:lang w:eastAsia="ja-JP"/>
        </w:rPr>
        <w:t xml:space="preserve"> dietary components or the </w:t>
      </w:r>
      <w:r w:rsidR="00D57D6D" w:rsidRPr="007F5358">
        <w:rPr>
          <w:rFonts w:ascii="Times New Roman" w:eastAsia="MS Mincho" w:hAnsi="Times New Roman" w:cs="Times New Roman"/>
          <w:lang w:eastAsia="ja-JP"/>
        </w:rPr>
        <w:t>one dummy variable for race</w:t>
      </w:r>
      <w:r w:rsidRPr="007F5358">
        <w:rPr>
          <w:rFonts w:ascii="Times New Roman" w:eastAsia="MS Mincho" w:hAnsi="Times New Roman" w:cs="Times New Roman"/>
          <w:lang w:eastAsia="ja-JP"/>
        </w:rPr>
        <w:t xml:space="preserve">);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5ABA5304" wp14:editId="390FA1C9">
            <wp:extent cx="224790" cy="22479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and </w:t>
      </w:r>
      <w:r w:rsidRPr="007F5358">
        <w:rPr>
          <w:rFonts w:ascii="Times New Roman" w:eastAsia="MS Mincho" w:hAnsi="Times New Roman" w:cs="Times New Roman"/>
          <w:noProof/>
          <w:position w:val="-12"/>
        </w:rPr>
        <w:drawing>
          <wp:inline distT="0" distB="0" distL="0" distR="0" wp14:anchorId="27BE73FD" wp14:editId="50746DD4">
            <wp:extent cx="205740" cy="22479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are level-2 disturbances; </w:t>
      </w:r>
      <w:r w:rsidRPr="007F5358">
        <w:rPr>
          <w:rFonts w:ascii="Times New Roman" w:eastAsia="MS Mincho" w:hAnsi="Times New Roman" w:cs="Times New Roman"/>
          <w:noProof/>
          <w:position w:val="-14"/>
        </w:rPr>
        <w:drawing>
          <wp:inline distT="0" distB="0" distL="0" distR="0" wp14:anchorId="1DA62B58" wp14:editId="0AD993D5">
            <wp:extent cx="182880" cy="2400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358">
        <w:rPr>
          <w:rFonts w:ascii="Times New Roman" w:eastAsia="MS Mincho" w:hAnsi="Times New Roman" w:cs="Times New Roman"/>
          <w:lang w:eastAsia="ja-JP"/>
        </w:rPr>
        <w:t xml:space="preserve">is the within-person level-1 disturbance. Of primary interest are the main effects of each exposure </w:t>
      </w:r>
      <w:proofErr w:type="spellStart"/>
      <w:r w:rsidRPr="007F5358">
        <w:rPr>
          <w:rFonts w:ascii="Times New Roman" w:eastAsia="MS Mincho" w:hAnsi="Times New Roman" w:cs="Times New Roman"/>
          <w:lang w:eastAsia="ja-JP"/>
        </w:rPr>
        <w:t>X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a</w:t>
      </w:r>
      <w:proofErr w:type="spellEnd"/>
      <w:r w:rsidRPr="007F5358">
        <w:rPr>
          <w:rFonts w:ascii="Times New Roman" w:eastAsia="MS Mincho" w:hAnsi="Times New Roman" w:cs="Times New Roman"/>
          <w:lang w:eastAsia="ja-JP"/>
        </w:rPr>
        <w:t xml:space="preserve"> (γ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0a</w:t>
      </w:r>
      <w:r w:rsidRPr="007F5358">
        <w:rPr>
          <w:rFonts w:ascii="Times New Roman" w:eastAsia="MS Mincho" w:hAnsi="Times New Roman" w:cs="Times New Roman"/>
          <w:lang w:eastAsia="ja-JP"/>
        </w:rPr>
        <w:t xml:space="preserve">) and their interaction with </w:t>
      </w:r>
      <w:r w:rsidRPr="007F5358">
        <w:rPr>
          <w:rFonts w:ascii="Times New Roman" w:eastAsia="MS Mincho" w:hAnsi="Times New Roman" w:cs="Times New Roman"/>
          <w:i/>
          <w:lang w:eastAsia="ja-JP"/>
        </w:rPr>
        <w:t>TIME</w:t>
      </w:r>
      <w:r w:rsidRPr="007F5358">
        <w:rPr>
          <w:rFonts w:ascii="Times New Roman" w:eastAsia="MS Mincho" w:hAnsi="Times New Roman" w:cs="Times New Roman"/>
          <w:lang w:eastAsia="ja-JP"/>
        </w:rPr>
        <w:t xml:space="preserve"> (γ</w:t>
      </w:r>
      <w:r w:rsidRPr="007F5358">
        <w:rPr>
          <w:rFonts w:ascii="Times New Roman" w:eastAsia="MS Mincho" w:hAnsi="Times New Roman" w:cs="Times New Roman"/>
          <w:vertAlign w:val="subscript"/>
          <w:lang w:eastAsia="ja-JP"/>
        </w:rPr>
        <w:t>1a</w:t>
      </w:r>
      <w:r w:rsidRPr="007F5358">
        <w:rPr>
          <w:rFonts w:ascii="Times New Roman" w:eastAsia="MS Mincho" w:hAnsi="Times New Roman" w:cs="Times New Roman"/>
          <w:lang w:eastAsia="ja-JP"/>
        </w:rPr>
        <w:t>), as described in a previous methodological paper.</w:t>
      </w:r>
      <w:r w:rsidR="009E4B89" w:rsidRPr="007F5358">
        <w:rPr>
          <w:rFonts w:ascii="Times New Roman" w:eastAsia="MS Mincho" w:hAnsi="Times New Roman" w:cs="Times New Roman"/>
          <w:lang w:eastAsia="ja-JP"/>
        </w:rPr>
        <w:t xml:space="preserve"> In addition, 2-way and 3-way interactions are added in selected models to examine effect modification of race or race-sex in the association between dietary factors on the intercept (e.g. </w:t>
      </w:r>
      <w:proofErr w:type="spellStart"/>
      <w:r w:rsidR="009E4B89" w:rsidRPr="007F5358">
        <w:rPr>
          <w:rFonts w:ascii="Times New Roman" w:eastAsia="MS Mincho" w:hAnsi="Times New Roman" w:cs="Times New Roman"/>
          <w:lang w:eastAsia="ja-JP"/>
        </w:rPr>
        <w:t>Race×diet</w:t>
      </w:r>
      <w:proofErr w:type="spellEnd"/>
      <w:r w:rsidR="009E4B89" w:rsidRPr="007F5358">
        <w:rPr>
          <w:rFonts w:ascii="Times New Roman" w:eastAsia="MS Mincho" w:hAnsi="Times New Roman" w:cs="Times New Roman"/>
          <w:lang w:eastAsia="ja-JP"/>
        </w:rPr>
        <w:t>) and/or the slope (</w:t>
      </w:r>
      <w:proofErr w:type="spellStart"/>
      <w:r w:rsidR="009E4B89" w:rsidRPr="007F5358">
        <w:rPr>
          <w:rFonts w:ascii="Times New Roman" w:eastAsia="MS Mincho" w:hAnsi="Times New Roman" w:cs="Times New Roman"/>
          <w:lang w:eastAsia="ja-JP"/>
        </w:rPr>
        <w:t>Race×diet×</w:t>
      </w:r>
      <w:r w:rsidR="009E4B89" w:rsidRPr="007F5358">
        <w:rPr>
          <w:rFonts w:ascii="Times New Roman" w:eastAsia="MS Mincho" w:hAnsi="Times New Roman" w:cs="Times New Roman"/>
          <w:i/>
          <w:lang w:eastAsia="ja-JP"/>
        </w:rPr>
        <w:t>TIME</w:t>
      </w:r>
      <w:proofErr w:type="spellEnd"/>
      <w:r w:rsidR="009E4B89" w:rsidRPr="007F5358">
        <w:rPr>
          <w:rFonts w:ascii="Times New Roman" w:eastAsia="MS Mincho" w:hAnsi="Times New Roman" w:cs="Times New Roman"/>
          <w:lang w:eastAsia="ja-JP"/>
        </w:rPr>
        <w:t>)</w:t>
      </w:r>
      <w:r w:rsidR="0021732C" w:rsidRPr="007F5358">
        <w:rPr>
          <w:rFonts w:ascii="Times New Roman" w:eastAsia="MS Mincho" w:hAnsi="Times New Roman" w:cs="Times New Roman"/>
          <w:lang w:eastAsia="ja-JP"/>
        </w:rPr>
        <w:t>.</w:t>
      </w:r>
      <w:r w:rsidR="009E4B89" w:rsidRPr="007F5358">
        <w:rPr>
          <w:rFonts w:ascii="Times New Roman" w:eastAsia="MS Mincho" w:hAnsi="Times New Roman" w:cs="Times New Roman"/>
          <w:lang w:eastAsia="ja-JP"/>
        </w:rPr>
        <w:t xml:space="preserve"> </w:t>
      </w:r>
      <w:r w:rsidRPr="007F5358">
        <w:rPr>
          <w:rFonts w:ascii="Times New Roman" w:eastAsia="MS Mincho" w:hAnsi="Times New Roman" w:cs="Times New Roman"/>
          <w:lang w:eastAsia="ja-JP"/>
        </w:rPr>
        <w:fldChar w:fldCharType="begin"/>
      </w:r>
      <w:r w:rsidRPr="007F5358">
        <w:rPr>
          <w:rFonts w:ascii="Times New Roman" w:eastAsia="MS Mincho" w:hAnsi="Times New Roman" w:cs="Times New Roman"/>
          <w:lang w:eastAsia="ja-JP"/>
        </w:rPr>
        <w:instrText xml:space="preserve"> ADDIN EN.CITE &lt;EndNote&gt;&lt;Cite&gt;&lt;Author&gt;Blackwell&lt;/Author&gt;&lt;Year&gt;2006&lt;/Year&gt;&lt;RecNum&gt;184&lt;/RecNum&gt;&lt;DisplayText&gt;(1)&lt;/DisplayText&gt;&lt;record&gt;&lt;rec-number&gt;184&lt;/rec-number&gt;&lt;foreign-keys&gt;&lt;key app="EN" db-id="adfzdtwrnr0tvge9a2tpex5fwfs2ssafz09s"&gt;184&lt;/key&gt;&lt;/foreign-keys&gt;&lt;ref-type name="Journal Article"&gt;17&lt;/ref-type&gt;&lt;contributors&gt;&lt;authors&gt;&lt;author&gt;Blackwell, E.&lt;/author&gt;&lt;author&gt;de Leon, C. F.&lt;/author&gt;&lt;author&gt;Miller, G. E.&lt;/author&gt;&lt;/authors&gt;&lt;/contributors&gt;&lt;auth-address&gt;University of British Columbia, Department of Psychology, 2136 West Mall, Vancouver, BC V6T 1Z4, Canada. ekinb@interchange.ubc.ca&lt;/auth-address&gt;&lt;titles&gt;&lt;title&gt;Applying mixed regression models to the analysis of repeated-measures data in psychosomatic medicine&lt;/title&gt;&lt;secondary-title&gt;Psychosom Med&lt;/secondary-title&gt;&lt;/titles&gt;&lt;periodical&gt;&lt;full-title&gt;Psychosom Med&lt;/full-title&gt;&lt;/periodical&gt;&lt;pages&gt;870-8&lt;/pages&gt;&lt;volume&gt;68&lt;/volume&gt;&lt;number&gt;6&lt;/number&gt;&lt;edition&gt;2006/11/03&lt;/edition&gt;&lt;keywords&gt;&lt;keyword&gt;Body Mass Index&lt;/keyword&gt;&lt;keyword&gt;Depression&lt;/keyword&gt;&lt;keyword&gt;Humans&lt;/keyword&gt;&lt;keyword&gt;Hydrocortisone/secretion&lt;/keyword&gt;&lt;keyword&gt;*Linear Models&lt;/keyword&gt;&lt;keyword&gt;Psychosomatic Medicine/*statistics &amp;amp; numerical data&lt;/keyword&gt;&lt;keyword&gt;Quality Control&lt;/keyword&gt;&lt;keyword&gt;Social Behavior&lt;/keyword&gt;&lt;/keywords&gt;&lt;dates&gt;&lt;year&gt;2006&lt;/year&gt;&lt;pub-dates&gt;&lt;date&gt;Nov-Dec&lt;/date&gt;&lt;/pub-dates&gt;&lt;/dates&gt;&lt;isbn&gt;1534-7796 (Electronic)&amp;#xD;0033-3174 (Linking)&lt;/isbn&gt;&lt;accession-num&gt;17079709&lt;/accession-num&gt;&lt;urls&gt;&lt;related-urls&gt;&lt;url&gt;http://www.ncbi.nlm.nih.gov/entrez/query.fcgi?cmd=Retrieve&amp;amp;db=PubMed&amp;amp;dopt=Citation&amp;amp;list_uids=17079709&lt;/url&gt;&lt;/related-urls&gt;&lt;/urls&gt;&lt;electronic-resource-num&gt;01.psy.0000239144.91689.ca [pii]&amp;#xD;10.1097/01.psy.0000239144.91689.ca&lt;/electronic-resource-num&gt;&lt;language&gt;eng&lt;/language&gt;&lt;/record&gt;&lt;/Cite&gt;&lt;/EndNote&gt;</w:instrText>
      </w:r>
      <w:r w:rsidRPr="007F5358">
        <w:rPr>
          <w:rFonts w:ascii="Times New Roman" w:eastAsia="MS Mincho" w:hAnsi="Times New Roman" w:cs="Times New Roman"/>
          <w:lang w:eastAsia="ja-JP"/>
        </w:rPr>
        <w:fldChar w:fldCharType="separate"/>
      </w:r>
      <w:r w:rsidRPr="007F5358">
        <w:rPr>
          <w:rFonts w:ascii="Times New Roman" w:eastAsia="MS Mincho" w:hAnsi="Times New Roman" w:cs="Times New Roman"/>
          <w:noProof/>
          <w:lang w:eastAsia="ja-JP"/>
        </w:rPr>
        <w:t>(</w:t>
      </w:r>
      <w:hyperlink w:anchor="_ENREF_1" w:tooltip="Blackwell, 2006 #184" w:history="1">
        <w:r w:rsidR="00CC7CAB" w:rsidRPr="007F5358">
          <w:rPr>
            <w:rFonts w:ascii="Times New Roman" w:eastAsia="MS Mincho" w:hAnsi="Times New Roman" w:cs="Times New Roman"/>
            <w:noProof/>
            <w:lang w:eastAsia="ja-JP"/>
          </w:rPr>
          <w:t>1</w:t>
        </w:r>
      </w:hyperlink>
      <w:r w:rsidRPr="007F5358">
        <w:rPr>
          <w:rFonts w:ascii="Times New Roman" w:eastAsia="MS Mincho" w:hAnsi="Times New Roman" w:cs="Times New Roman"/>
          <w:noProof/>
          <w:lang w:eastAsia="ja-JP"/>
        </w:rPr>
        <w:t>)</w:t>
      </w:r>
      <w:r w:rsidRPr="007F5358">
        <w:rPr>
          <w:rFonts w:ascii="Times New Roman" w:eastAsia="MS Mincho" w:hAnsi="Times New Roman" w:cs="Times New Roman"/>
          <w:lang w:eastAsia="ja-JP"/>
        </w:rPr>
        <w:fldChar w:fldCharType="end"/>
      </w:r>
    </w:p>
    <w:p w:rsidR="00AF322D" w:rsidRPr="00D57D6D" w:rsidRDefault="00AF322D" w:rsidP="00AF32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322D" w:rsidRPr="00D57D6D" w:rsidRDefault="00AF322D">
      <w:pPr>
        <w:rPr>
          <w:rFonts w:ascii="Times New Roman" w:hAnsi="Times New Roman" w:cs="Times New Roman"/>
          <w:b/>
        </w:rPr>
      </w:pPr>
      <w:r w:rsidRPr="00D57D6D">
        <w:rPr>
          <w:rFonts w:ascii="Times New Roman" w:hAnsi="Times New Roman" w:cs="Times New Roman"/>
          <w:b/>
        </w:rPr>
        <w:t>Reference</w:t>
      </w:r>
    </w:p>
    <w:p w:rsidR="00CC7CAB" w:rsidRPr="00D57D6D" w:rsidRDefault="00AF322D" w:rsidP="00CC7CA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D57D6D">
        <w:rPr>
          <w:rFonts w:ascii="Times New Roman" w:hAnsi="Times New Roman" w:cs="Times New Roman"/>
        </w:rPr>
        <w:fldChar w:fldCharType="begin"/>
      </w:r>
      <w:r w:rsidRPr="00D57D6D">
        <w:rPr>
          <w:rFonts w:ascii="Times New Roman" w:hAnsi="Times New Roman" w:cs="Times New Roman"/>
        </w:rPr>
        <w:instrText xml:space="preserve"> ADDIN EN.REFLIST </w:instrText>
      </w:r>
      <w:r w:rsidRPr="00D57D6D">
        <w:rPr>
          <w:rFonts w:ascii="Times New Roman" w:hAnsi="Times New Roman" w:cs="Times New Roman"/>
        </w:rPr>
        <w:fldChar w:fldCharType="separate"/>
      </w:r>
      <w:bookmarkStart w:id="1" w:name="_ENREF_1"/>
      <w:r w:rsidR="00CC7CAB" w:rsidRPr="00D57D6D">
        <w:rPr>
          <w:rFonts w:ascii="Times New Roman" w:hAnsi="Times New Roman" w:cs="Times New Roman"/>
        </w:rPr>
        <w:t>1.</w:t>
      </w:r>
      <w:r w:rsidR="00CC7CAB" w:rsidRPr="00D57D6D">
        <w:rPr>
          <w:rFonts w:ascii="Times New Roman" w:hAnsi="Times New Roman" w:cs="Times New Roman"/>
        </w:rPr>
        <w:tab/>
        <w:t>Blackwell E, de Leon CF, Miller GE. Applying mixed regression models to the analysis of repeated-measures data in psychosomatic medicine. Psychosom Med 2006;68(6):870-8. doi: 01.psy.0000239144.91689.ca [pii]</w:t>
      </w:r>
    </w:p>
    <w:p w:rsidR="00CC7CAB" w:rsidRPr="00D57D6D" w:rsidRDefault="00CC7CAB" w:rsidP="00CC7CAB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D57D6D">
        <w:rPr>
          <w:rFonts w:ascii="Times New Roman" w:hAnsi="Times New Roman" w:cs="Times New Roman"/>
        </w:rPr>
        <w:t>10.1097/01.psy.0000239144.91689.ca.</w:t>
      </w:r>
      <w:bookmarkEnd w:id="1"/>
    </w:p>
    <w:p w:rsidR="001C0530" w:rsidRDefault="00AF322D">
      <w:r w:rsidRPr="00D57D6D">
        <w:rPr>
          <w:rFonts w:ascii="Times New Roman" w:hAnsi="Times New Roman" w:cs="Times New Roman"/>
        </w:rPr>
        <w:fldChar w:fldCharType="end"/>
      </w:r>
    </w:p>
    <w:sectPr w:rsidR="001C05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02" w:rsidRDefault="00DB6602" w:rsidP="00D22392">
      <w:pPr>
        <w:spacing w:after="0" w:line="240" w:lineRule="auto"/>
      </w:pPr>
      <w:r>
        <w:separator/>
      </w:r>
    </w:p>
  </w:endnote>
  <w:endnote w:type="continuationSeparator" w:id="0">
    <w:p w:rsidR="00DB6602" w:rsidRDefault="00DB6602" w:rsidP="00D2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02" w:rsidRDefault="00DB6602" w:rsidP="00D22392">
      <w:pPr>
        <w:spacing w:after="0" w:line="240" w:lineRule="auto"/>
      </w:pPr>
      <w:r>
        <w:separator/>
      </w:r>
    </w:p>
  </w:footnote>
  <w:footnote w:type="continuationSeparator" w:id="0">
    <w:p w:rsidR="00DB6602" w:rsidRDefault="00DB6602" w:rsidP="00D2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Header"/>
    </w:pPr>
    <w:r>
      <w:t>Online Supplemental Material</w:t>
    </w:r>
  </w:p>
  <w:p w:rsidR="00D22392" w:rsidRDefault="00D22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92" w:rsidRDefault="00D22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F322D"/>
    <w:rsid w:val="00086CC7"/>
    <w:rsid w:val="0021732C"/>
    <w:rsid w:val="002814C0"/>
    <w:rsid w:val="002848F2"/>
    <w:rsid w:val="0045301E"/>
    <w:rsid w:val="00606A3B"/>
    <w:rsid w:val="006A322B"/>
    <w:rsid w:val="007F5358"/>
    <w:rsid w:val="00874B05"/>
    <w:rsid w:val="009E4B89"/>
    <w:rsid w:val="00A268E5"/>
    <w:rsid w:val="00AF322D"/>
    <w:rsid w:val="00AF6DB7"/>
    <w:rsid w:val="00B05889"/>
    <w:rsid w:val="00B14580"/>
    <w:rsid w:val="00CC7CAB"/>
    <w:rsid w:val="00D22392"/>
    <w:rsid w:val="00D33A52"/>
    <w:rsid w:val="00D57D6D"/>
    <w:rsid w:val="00D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D0268-A713-4C3B-BFEA-7F6F31F7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2D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F322D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322D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F322D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F322D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AF32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92"/>
  </w:style>
  <w:style w:type="paragraph" w:styleId="Footer">
    <w:name w:val="footer"/>
    <w:basedOn w:val="Normal"/>
    <w:link w:val="FooterChar"/>
    <w:uiPriority w:val="99"/>
    <w:unhideWhenUsed/>
    <w:rsid w:val="00D2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Baydoun, May Ahmad (NIH/NIA/IRP) [E]</dc:creator>
  <cp:lastModifiedBy>Baydoun, May Ahmad (NIH/NIA/IRP) [E]</cp:lastModifiedBy>
  <cp:revision>8</cp:revision>
  <dcterms:created xsi:type="dcterms:W3CDTF">2017-05-22T15:17:00Z</dcterms:created>
  <dcterms:modified xsi:type="dcterms:W3CDTF">2018-01-24T16:31:00Z</dcterms:modified>
</cp:coreProperties>
</file>