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18" w:rsidRPr="00AC54D7" w:rsidRDefault="00B87B18" w:rsidP="00B87B18">
      <w:pPr>
        <w:pStyle w:val="Didascalia"/>
        <w:keepNext/>
        <w:spacing w:line="480" w:lineRule="auto"/>
        <w:jc w:val="both"/>
        <w:rPr>
          <w:rFonts w:ascii="Century Gothic" w:hAnsi="Century Gothic"/>
          <w:i w:val="0"/>
          <w:color w:val="auto"/>
          <w:sz w:val="24"/>
          <w:szCs w:val="24"/>
        </w:rPr>
      </w:pPr>
    </w:p>
    <w:tbl>
      <w:tblPr>
        <w:tblStyle w:val="Grigliatabella"/>
        <w:tblW w:w="4978" w:type="pct"/>
        <w:tblLayout w:type="fixed"/>
        <w:tblLook w:val="04A0" w:firstRow="1" w:lastRow="0" w:firstColumn="1" w:lastColumn="0" w:noHBand="0" w:noVBand="1"/>
      </w:tblPr>
      <w:tblGrid>
        <w:gridCol w:w="2972"/>
        <w:gridCol w:w="566"/>
        <w:gridCol w:w="2694"/>
        <w:gridCol w:w="1986"/>
        <w:gridCol w:w="1700"/>
      </w:tblGrid>
      <w:tr w:rsidR="00AC54D7" w:rsidRPr="00AC54D7" w:rsidTr="00AC54D7">
        <w:tc>
          <w:tcPr>
            <w:tcW w:w="1498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Contrast</w:t>
            </w:r>
          </w:p>
        </w:tc>
        <w:tc>
          <w:tcPr>
            <w:tcW w:w="285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N°</w:t>
            </w:r>
          </w:p>
        </w:tc>
        <w:tc>
          <w:tcPr>
            <w:tcW w:w="1358" w:type="pct"/>
          </w:tcPr>
          <w:p w:rsidR="00B87B18" w:rsidRPr="00AC54D7" w:rsidRDefault="00B87B18" w:rsidP="00B87B18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Minimally detectable effect Size(%)</w:t>
            </w: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1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Observed Effect Size (%)</w:t>
            </w:r>
          </w:p>
        </w:tc>
        <w:tc>
          <w:tcPr>
            <w:tcW w:w="857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Observed Power</w:t>
            </w: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AC54D7" w:rsidRPr="00AC54D7" w:rsidTr="00AC54D7">
        <w:tc>
          <w:tcPr>
            <w:tcW w:w="1498" w:type="pct"/>
          </w:tcPr>
          <w:p w:rsidR="00B87B18" w:rsidRPr="00AC54D7" w:rsidRDefault="00B87B18" w:rsidP="002B78CD">
            <w:pPr>
              <w:pStyle w:val="Didascalia"/>
              <w:keepNext/>
              <w:spacing w:line="240" w:lineRule="auto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b/>
                <w:color w:val="auto"/>
                <w:sz w:val="24"/>
                <w:szCs w:val="24"/>
              </w:rPr>
              <w:t>All Exposures</w:t>
            </w:r>
          </w:p>
        </w:tc>
        <w:tc>
          <w:tcPr>
            <w:tcW w:w="285" w:type="pct"/>
          </w:tcPr>
          <w:p w:rsidR="00B87B18" w:rsidRPr="00AC54D7" w:rsidRDefault="00B87B18" w:rsidP="002B78CD">
            <w:pPr>
              <w:pStyle w:val="Didascalia"/>
              <w:keepNext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1358" w:type="pct"/>
          </w:tcPr>
          <w:p w:rsidR="00B87B18" w:rsidRPr="00AC54D7" w:rsidRDefault="00B87B18" w:rsidP="002B78CD">
            <w:pPr>
              <w:pStyle w:val="Didascalia"/>
              <w:keepNext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</w:tcPr>
          <w:p w:rsidR="00B87B18" w:rsidRPr="00AC54D7" w:rsidRDefault="00B87B18" w:rsidP="002B78CD">
            <w:pPr>
              <w:pStyle w:val="Didascalia"/>
              <w:keepNext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</w:tcPr>
          <w:p w:rsidR="00B87B18" w:rsidRPr="00AC54D7" w:rsidRDefault="00B87B18" w:rsidP="002B78CD">
            <w:pPr>
              <w:pStyle w:val="Didascalia"/>
              <w:keepNext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</w:tr>
      <w:tr w:rsidR="00AC54D7" w:rsidRPr="00AC54D7" w:rsidTr="00AC54D7">
        <w:tc>
          <w:tcPr>
            <w:tcW w:w="1498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 xml:space="preserve">No vs hypothetical </w:t>
            </w:r>
          </w:p>
        </w:tc>
        <w:tc>
          <w:tcPr>
            <w:tcW w:w="285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82</w:t>
            </w:r>
          </w:p>
        </w:tc>
        <w:tc>
          <w:tcPr>
            <w:tcW w:w="1358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-29</w:t>
            </w:r>
          </w:p>
        </w:tc>
        <w:tc>
          <w:tcPr>
            <w:tcW w:w="1001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-23</w:t>
            </w:r>
          </w:p>
        </w:tc>
        <w:tc>
          <w:tcPr>
            <w:tcW w:w="857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53%</w:t>
            </w:r>
          </w:p>
        </w:tc>
      </w:tr>
      <w:tr w:rsidR="00AC54D7" w:rsidRPr="00AC54D7" w:rsidTr="00AC54D7">
        <w:tc>
          <w:tcPr>
            <w:tcW w:w="1498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No vs certain</w:t>
            </w:r>
          </w:p>
        </w:tc>
        <w:tc>
          <w:tcPr>
            <w:tcW w:w="285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1358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-38</w:t>
            </w:r>
          </w:p>
        </w:tc>
        <w:tc>
          <w:tcPr>
            <w:tcW w:w="1001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-11</w:t>
            </w:r>
          </w:p>
        </w:tc>
        <w:tc>
          <w:tcPr>
            <w:tcW w:w="857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6.1%</w:t>
            </w:r>
          </w:p>
        </w:tc>
      </w:tr>
      <w:tr w:rsidR="00AC54D7" w:rsidRPr="00AC54D7" w:rsidTr="00AC54D7">
        <w:tc>
          <w:tcPr>
            <w:tcW w:w="1498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 xml:space="preserve">Hypothetical vs certain </w:t>
            </w:r>
          </w:p>
        </w:tc>
        <w:tc>
          <w:tcPr>
            <w:tcW w:w="285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1358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+30</w:t>
            </w:r>
          </w:p>
        </w:tc>
        <w:tc>
          <w:tcPr>
            <w:tcW w:w="1001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+10</w:t>
            </w:r>
          </w:p>
        </w:tc>
        <w:tc>
          <w:tcPr>
            <w:tcW w:w="857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11%</w:t>
            </w:r>
          </w:p>
        </w:tc>
      </w:tr>
      <w:tr w:rsidR="00AC54D7" w:rsidRPr="00AC54D7" w:rsidTr="00AC54D7">
        <w:tc>
          <w:tcPr>
            <w:tcW w:w="1498" w:type="pct"/>
          </w:tcPr>
          <w:p w:rsidR="00B87B18" w:rsidRPr="00AC54D7" w:rsidRDefault="00B87B18" w:rsidP="002B78CD">
            <w:pPr>
              <w:pStyle w:val="Didascalia"/>
              <w:keepNext/>
              <w:spacing w:line="240" w:lineRule="auto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b/>
                <w:color w:val="auto"/>
                <w:sz w:val="24"/>
                <w:szCs w:val="24"/>
              </w:rPr>
              <w:t>Grouped Exposures</w:t>
            </w:r>
          </w:p>
        </w:tc>
        <w:tc>
          <w:tcPr>
            <w:tcW w:w="285" w:type="pct"/>
          </w:tcPr>
          <w:p w:rsidR="00B87B18" w:rsidRPr="00AC54D7" w:rsidRDefault="00B87B18" w:rsidP="002B78CD">
            <w:pPr>
              <w:pStyle w:val="Didascalia"/>
              <w:keepNext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1358" w:type="pct"/>
          </w:tcPr>
          <w:p w:rsidR="00B87B18" w:rsidRPr="00AC54D7" w:rsidRDefault="00B87B18" w:rsidP="002B78CD">
            <w:pPr>
              <w:pStyle w:val="Didascalia"/>
              <w:keepNext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</w:tcPr>
          <w:p w:rsidR="00B87B18" w:rsidRPr="00AC54D7" w:rsidRDefault="00B87B18" w:rsidP="002B78CD">
            <w:pPr>
              <w:pStyle w:val="Didascalia"/>
              <w:keepNext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</w:tcPr>
          <w:p w:rsidR="00B87B18" w:rsidRPr="00AC54D7" w:rsidRDefault="00B87B18" w:rsidP="002B78CD">
            <w:pPr>
              <w:pStyle w:val="Didascalia"/>
              <w:keepNext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</w:tr>
      <w:tr w:rsidR="00AC54D7" w:rsidRPr="00AC54D7" w:rsidTr="00AC54D7">
        <w:tc>
          <w:tcPr>
            <w:tcW w:w="1498" w:type="pct"/>
          </w:tcPr>
          <w:p w:rsidR="00B87B18" w:rsidRPr="00AC54D7" w:rsidRDefault="00B87B18" w:rsidP="00AC54D7">
            <w:pPr>
              <w:pStyle w:val="Didascalia"/>
              <w:keepNext/>
              <w:spacing w:line="360" w:lineRule="auto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None vs hypothetical+certain</w:t>
            </w:r>
          </w:p>
        </w:tc>
        <w:tc>
          <w:tcPr>
            <w:tcW w:w="285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1358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-26</w:t>
            </w:r>
          </w:p>
        </w:tc>
        <w:tc>
          <w:tcPr>
            <w:tcW w:w="1001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-19</w:t>
            </w:r>
          </w:p>
        </w:tc>
        <w:tc>
          <w:tcPr>
            <w:tcW w:w="857" w:type="pct"/>
          </w:tcPr>
          <w:p w:rsidR="00B87B18" w:rsidRPr="00AC54D7" w:rsidRDefault="00B87B18" w:rsidP="002B78CD">
            <w:pPr>
              <w:pStyle w:val="Didascalia"/>
              <w:keepNext/>
              <w:spacing w:line="360" w:lineRule="auto"/>
              <w:jc w:val="center"/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</w:pPr>
            <w:r w:rsidRPr="00AC54D7">
              <w:rPr>
                <w:rFonts w:ascii="Century Gothic" w:hAnsi="Century Gothic"/>
                <w:i w:val="0"/>
                <w:color w:val="auto"/>
                <w:sz w:val="24"/>
                <w:szCs w:val="24"/>
              </w:rPr>
              <w:t>47%</w:t>
            </w:r>
          </w:p>
        </w:tc>
      </w:tr>
    </w:tbl>
    <w:p w:rsidR="00B87B18" w:rsidRPr="00AC54D7" w:rsidRDefault="00B87B18" w:rsidP="00B87B18">
      <w:pPr>
        <w:pStyle w:val="Didascalia"/>
        <w:keepNext/>
        <w:spacing w:line="480" w:lineRule="auto"/>
        <w:jc w:val="both"/>
        <w:rPr>
          <w:rFonts w:ascii="Century Gothic" w:hAnsi="Century Gothic"/>
          <w:b/>
          <w:i w:val="0"/>
          <w:color w:val="auto"/>
          <w:sz w:val="24"/>
          <w:szCs w:val="24"/>
        </w:rPr>
      </w:pPr>
    </w:p>
    <w:p w:rsidR="00A307C8" w:rsidRPr="00AC54D7" w:rsidRDefault="00B87B18">
      <w:pPr>
        <w:pStyle w:val="Didascalia"/>
        <w:keepNext/>
        <w:spacing w:line="480" w:lineRule="auto"/>
        <w:jc w:val="both"/>
        <w:rPr>
          <w:color w:val="auto"/>
        </w:rPr>
      </w:pPr>
      <w:r w:rsidRPr="00AC54D7">
        <w:rPr>
          <w:rFonts w:ascii="Century Gothic" w:hAnsi="Century Gothic"/>
          <w:b/>
          <w:i w:val="0"/>
          <w:color w:val="auto"/>
          <w:sz w:val="24"/>
          <w:szCs w:val="24"/>
        </w:rPr>
        <w:t>Supplementary Table</w:t>
      </w:r>
      <w:r w:rsidR="00822197">
        <w:rPr>
          <w:rFonts w:ascii="Century Gothic" w:hAnsi="Century Gothic"/>
          <w:b/>
          <w:i w:val="0"/>
          <w:color w:val="auto"/>
          <w:sz w:val="24"/>
          <w:szCs w:val="24"/>
        </w:rPr>
        <w:t>.</w:t>
      </w:r>
      <w:bookmarkStart w:id="0" w:name="_GoBack"/>
      <w:bookmarkEnd w:id="0"/>
      <w:r w:rsidRPr="00AC54D7">
        <w:rPr>
          <w:rFonts w:ascii="Century Gothic" w:hAnsi="Century Gothic"/>
          <w:i w:val="0"/>
          <w:color w:val="auto"/>
          <w:sz w:val="24"/>
          <w:szCs w:val="24"/>
        </w:rPr>
        <w:t xml:space="preserve"> Minimally detectable effect sizes (overall alpha 2-sided 5%, power 80%) given the sample size and power to detect the observed contrasts. </w:t>
      </w:r>
      <w:r w:rsidRPr="00AC54D7">
        <w:rPr>
          <w:rFonts w:ascii="Century Gothic" w:hAnsi="Century Gothic"/>
          <w:i w:val="0"/>
          <w:color w:val="auto"/>
          <w:sz w:val="24"/>
          <w:szCs w:val="24"/>
          <w:vertAlign w:val="superscript"/>
        </w:rPr>
        <w:t>1</w:t>
      </w:r>
      <w:r w:rsidRPr="00AC54D7">
        <w:rPr>
          <w:rFonts w:ascii="Century Gothic" w:hAnsi="Century Gothic"/>
          <w:i w:val="0"/>
          <w:color w:val="auto"/>
          <w:sz w:val="24"/>
          <w:szCs w:val="24"/>
        </w:rPr>
        <w:t xml:space="preserve">Chi2 test; </w:t>
      </w:r>
      <w:r w:rsidRPr="00AC54D7">
        <w:rPr>
          <w:rFonts w:ascii="Century Gothic" w:hAnsi="Century Gothic"/>
          <w:i w:val="0"/>
          <w:color w:val="auto"/>
          <w:sz w:val="24"/>
          <w:szCs w:val="24"/>
          <w:vertAlign w:val="superscript"/>
        </w:rPr>
        <w:t xml:space="preserve">2 </w:t>
      </w:r>
      <w:r w:rsidRPr="00AC54D7">
        <w:rPr>
          <w:rFonts w:ascii="Century Gothic" w:hAnsi="Century Gothic"/>
          <w:i w:val="0"/>
          <w:color w:val="auto"/>
          <w:sz w:val="24"/>
          <w:szCs w:val="24"/>
        </w:rPr>
        <w:t>Fisher exact test</w:t>
      </w:r>
    </w:p>
    <w:sectPr w:rsidR="00A307C8" w:rsidRPr="00AC54D7">
      <w:footerReference w:type="default" r:id="rId8"/>
      <w:pgSz w:w="12240" w:h="15840"/>
      <w:pgMar w:top="1417" w:right="1134" w:bottom="1134" w:left="1134" w:header="0" w:footer="708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61" w:rsidRDefault="00806B61">
      <w:pPr>
        <w:spacing w:after="0" w:line="240" w:lineRule="auto"/>
      </w:pPr>
      <w:r>
        <w:separator/>
      </w:r>
    </w:p>
  </w:endnote>
  <w:endnote w:type="continuationSeparator" w:id="0">
    <w:p w:rsidR="00806B61" w:rsidRDefault="0080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7C8" w:rsidRDefault="00DB5836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822197">
      <w:rPr>
        <w:noProof/>
      </w:rPr>
      <w:t>1</w:t>
    </w:r>
    <w:r>
      <w:fldChar w:fldCharType="end"/>
    </w:r>
  </w:p>
  <w:p w:rsidR="00A307C8" w:rsidRDefault="00A307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61" w:rsidRDefault="00806B61">
      <w:pPr>
        <w:spacing w:after="0" w:line="240" w:lineRule="auto"/>
      </w:pPr>
      <w:r>
        <w:separator/>
      </w:r>
    </w:p>
  </w:footnote>
  <w:footnote w:type="continuationSeparator" w:id="0">
    <w:p w:rsidR="00806B61" w:rsidRDefault="0080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14EB"/>
    <w:multiLevelType w:val="hybridMultilevel"/>
    <w:tmpl w:val="5F8E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7AD3"/>
    <w:multiLevelType w:val="multilevel"/>
    <w:tmpl w:val="6590AA10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C87692"/>
    <w:multiLevelType w:val="hybridMultilevel"/>
    <w:tmpl w:val="2B74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63AD0"/>
    <w:multiLevelType w:val="multilevel"/>
    <w:tmpl w:val="F64C47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9C7FC6"/>
    <w:multiLevelType w:val="multilevel"/>
    <w:tmpl w:val="23DE581C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C8"/>
    <w:rsid w:val="00021674"/>
    <w:rsid w:val="00083713"/>
    <w:rsid w:val="000A0649"/>
    <w:rsid w:val="000C09A1"/>
    <w:rsid w:val="000D5298"/>
    <w:rsid w:val="001308FB"/>
    <w:rsid w:val="001C0A33"/>
    <w:rsid w:val="001C4FA4"/>
    <w:rsid w:val="00222109"/>
    <w:rsid w:val="0024416F"/>
    <w:rsid w:val="00294593"/>
    <w:rsid w:val="002A4CB6"/>
    <w:rsid w:val="002A7F40"/>
    <w:rsid w:val="002D0AFB"/>
    <w:rsid w:val="002E0228"/>
    <w:rsid w:val="002F59CA"/>
    <w:rsid w:val="003113FD"/>
    <w:rsid w:val="0031697D"/>
    <w:rsid w:val="003258F7"/>
    <w:rsid w:val="00374F5A"/>
    <w:rsid w:val="003829D6"/>
    <w:rsid w:val="0040502D"/>
    <w:rsid w:val="00425B07"/>
    <w:rsid w:val="00437670"/>
    <w:rsid w:val="00495720"/>
    <w:rsid w:val="004B2654"/>
    <w:rsid w:val="004B77C3"/>
    <w:rsid w:val="00517E3F"/>
    <w:rsid w:val="00544BEA"/>
    <w:rsid w:val="00570615"/>
    <w:rsid w:val="0058153F"/>
    <w:rsid w:val="005A7653"/>
    <w:rsid w:val="005C50CC"/>
    <w:rsid w:val="006251DE"/>
    <w:rsid w:val="006256C5"/>
    <w:rsid w:val="006E277D"/>
    <w:rsid w:val="006E7827"/>
    <w:rsid w:val="006F459A"/>
    <w:rsid w:val="006F579F"/>
    <w:rsid w:val="00741F9B"/>
    <w:rsid w:val="007444B5"/>
    <w:rsid w:val="007D09B2"/>
    <w:rsid w:val="00806B61"/>
    <w:rsid w:val="00822197"/>
    <w:rsid w:val="00843B04"/>
    <w:rsid w:val="0086723D"/>
    <w:rsid w:val="008B525E"/>
    <w:rsid w:val="008C3206"/>
    <w:rsid w:val="008C67E7"/>
    <w:rsid w:val="008D6E3B"/>
    <w:rsid w:val="00931C63"/>
    <w:rsid w:val="00944D31"/>
    <w:rsid w:val="00980313"/>
    <w:rsid w:val="009F4B4C"/>
    <w:rsid w:val="00A307C8"/>
    <w:rsid w:val="00A4003E"/>
    <w:rsid w:val="00AC54D7"/>
    <w:rsid w:val="00AD64B9"/>
    <w:rsid w:val="00AE66BF"/>
    <w:rsid w:val="00B00FE7"/>
    <w:rsid w:val="00B517E2"/>
    <w:rsid w:val="00B6263A"/>
    <w:rsid w:val="00B81B55"/>
    <w:rsid w:val="00B87B18"/>
    <w:rsid w:val="00B930B6"/>
    <w:rsid w:val="00BB1A35"/>
    <w:rsid w:val="00BE6C59"/>
    <w:rsid w:val="00C247B7"/>
    <w:rsid w:val="00C61B51"/>
    <w:rsid w:val="00C72713"/>
    <w:rsid w:val="00C755E5"/>
    <w:rsid w:val="00CB5EFE"/>
    <w:rsid w:val="00CE03CB"/>
    <w:rsid w:val="00D01386"/>
    <w:rsid w:val="00DB2B02"/>
    <w:rsid w:val="00DB5836"/>
    <w:rsid w:val="00E262A5"/>
    <w:rsid w:val="00E81122"/>
    <w:rsid w:val="00F71F5D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9F06E-E22A-44C7-8FF5-A2786AC0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Pr>
      <w:rFonts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qFormat/>
    <w:rPr>
      <w:rFonts w:cs="Calibri"/>
      <w:sz w:val="22"/>
      <w:szCs w:val="22"/>
    </w:rPr>
  </w:style>
  <w:style w:type="character" w:customStyle="1" w:styleId="ListLabel1">
    <w:name w:val="ListLabel 1"/>
    <w:qFormat/>
    <w:rPr>
      <w:rFonts w:eastAsia="MS Mincho" w:cs="Times New Roman"/>
    </w:rPr>
  </w:style>
  <w:style w:type="character" w:customStyle="1" w:styleId="ListLabel2">
    <w:name w:val="ListLabel 2"/>
    <w:qFormat/>
    <w:rPr>
      <w:rFonts w:cs="Cambri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ambri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ambri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70AC4"/>
    <w:rPr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70AC4"/>
    <w:rPr>
      <w:rFonts w:ascii="Calibri" w:eastAsia="Calibri" w:hAnsi="Calibri" w:cs="Calibri"/>
      <w:color w:val="00000A"/>
      <w:sz w:val="24"/>
      <w:szCs w:val="24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70AC4"/>
    <w:rPr>
      <w:rFonts w:ascii="Calibri" w:eastAsia="Calibri" w:hAnsi="Calibri" w:cs="Calibri"/>
      <w:b/>
      <w:bCs/>
      <w:color w:val="00000A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70AC4"/>
    <w:rPr>
      <w:rFonts w:ascii="Lucida Grande" w:eastAsia="Calibri" w:hAnsi="Lucida Grande" w:cs="Lucida Grande"/>
      <w:color w:val="00000A"/>
      <w:sz w:val="18"/>
      <w:szCs w:val="18"/>
    </w:rPr>
  </w:style>
  <w:style w:type="character" w:customStyle="1" w:styleId="ListLabel14">
    <w:name w:val="ListLabel 14"/>
    <w:qFormat/>
    <w:rPr>
      <w:rFonts w:cs="Cambri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Century Gothic" w:hAnsi="Century Gothic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1"/>
    <w:rPr>
      <w:rFonts w:cs="Mangal"/>
    </w:rPr>
  </w:style>
  <w:style w:type="paragraph" w:styleId="Didascalia">
    <w:name w:val="caption"/>
    <w:basedOn w:val="Normale"/>
    <w:qFormat/>
    <w:pPr>
      <w:spacing w:after="200" w:line="100" w:lineRule="atLeast"/>
    </w:pPr>
    <w:rPr>
      <w:i/>
      <w:iCs/>
      <w:color w:val="44546A"/>
      <w:sz w:val="18"/>
      <w:szCs w:val="18"/>
    </w:rPr>
  </w:style>
  <w:style w:type="paragraph" w:customStyle="1" w:styleId="Index">
    <w:name w:val="Index"/>
    <w:basedOn w:val="Normale"/>
    <w:qFormat/>
    <w:pPr>
      <w:suppressLineNumbers/>
    </w:pPr>
    <w:rPr>
      <w:rFonts w:cs="Droid Sans Devanagari"/>
    </w:rPr>
  </w:style>
  <w:style w:type="paragraph" w:styleId="Intestazione">
    <w:name w:val="header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qFormat/>
    <w:pPr>
      <w:spacing w:after="120"/>
    </w:p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spacing w:after="0" w:line="100" w:lineRule="atLeast"/>
      <w:ind w:left="720"/>
      <w:contextualSpacing/>
    </w:pPr>
    <w:rPr>
      <w:rFonts w:ascii="Cambria" w:eastAsia="MS Mincho" w:hAnsi="Cambria" w:cs="Times New Roman"/>
      <w:sz w:val="24"/>
      <w:szCs w:val="24"/>
      <w:lang w:val="it-IT" w:eastAsia="it-IT"/>
    </w:rPr>
  </w:style>
  <w:style w:type="paragraph" w:customStyle="1" w:styleId="Rigadintestazione">
    <w:name w:val="Riga d'intestazione"/>
    <w:basedOn w:val="Normale"/>
    <w:qFormat/>
    <w:pPr>
      <w:tabs>
        <w:tab w:val="center" w:pos="4986"/>
        <w:tab w:val="right" w:pos="9972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  <w:spacing w:after="0" w:line="100" w:lineRule="atLeast"/>
    </w:pPr>
  </w:style>
  <w:style w:type="paragraph" w:customStyle="1" w:styleId="Contenutocornice">
    <w:name w:val="Contenuto cornice"/>
    <w:basedOn w:val="Corpodeltesto1"/>
    <w:qFormat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70AC4"/>
    <w:pPr>
      <w:spacing w:line="240" w:lineRule="auto"/>
    </w:pPr>
    <w:rPr>
      <w:sz w:val="24"/>
      <w:szCs w:val="24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70AC4"/>
    <w:rPr>
      <w:b/>
      <w:bCs/>
      <w:sz w:val="20"/>
      <w:szCs w:val="20"/>
    </w:rPr>
  </w:style>
  <w:style w:type="paragraph" w:styleId="Revisione">
    <w:name w:val="Revision"/>
    <w:uiPriority w:val="99"/>
    <w:semiHidden/>
    <w:qFormat/>
    <w:rsid w:val="00070AC4"/>
    <w:rPr>
      <w:rFonts w:ascii="Calibri" w:eastAsia="Calibri" w:hAnsi="Calibri" w:cs="Calibri"/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70A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876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71BEC-A0C8-4C26-AA30-CC645DC1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 Federico</dc:creator>
  <dc:description/>
  <cp:lastModifiedBy>Biagi Federico</cp:lastModifiedBy>
  <cp:revision>7</cp:revision>
  <dcterms:created xsi:type="dcterms:W3CDTF">2018-07-10T08:05:00Z</dcterms:created>
  <dcterms:modified xsi:type="dcterms:W3CDTF">2018-10-25T13:45:00Z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