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Times New Roman" w:hAnsi="Times New Roman" w:eastAsia="宋体"/>
          <w:b/>
          <w:bCs w:val="0"/>
          <w:iCs/>
          <w:color w:val="auto"/>
          <w:szCs w:val="21"/>
          <w:lang w:val="en-US" w:eastAsia="zh-CN"/>
        </w:rPr>
      </w:pPr>
      <w:r>
        <w:rPr>
          <w:rFonts w:ascii="Times New Roman" w:hAnsi="Times New Roman"/>
          <w:b/>
          <w:bCs w:val="0"/>
          <w:iCs/>
          <w:color w:val="auto"/>
          <w:szCs w:val="21"/>
        </w:rPr>
        <w:t xml:space="preserve">Table </w:t>
      </w:r>
      <w:r>
        <w:rPr>
          <w:rFonts w:hint="eastAsia" w:ascii="Times New Roman" w:hAnsi="Times New Roman"/>
          <w:b/>
          <w:bCs w:val="0"/>
          <w:iCs/>
          <w:color w:val="auto"/>
          <w:szCs w:val="21"/>
          <w:lang w:val="en-US" w:eastAsia="zh-CN"/>
        </w:rPr>
        <w:t xml:space="preserve">S1 </w:t>
      </w:r>
      <w:r>
        <w:rPr>
          <w:rFonts w:ascii="Times New Roman" w:hAnsi="Times New Roman"/>
          <w:b/>
          <w:bCs w:val="0"/>
          <w:iCs/>
          <w:color w:val="auto"/>
          <w:szCs w:val="21"/>
        </w:rPr>
        <w:t>Multiple linear regression analysis of</w:t>
      </w:r>
      <w:r>
        <w:rPr>
          <w:rFonts w:hint="eastAsia" w:ascii="Times New Roman" w:hAnsi="Times New Roman"/>
          <w:b/>
          <w:bCs w:val="0"/>
          <w:iCs/>
          <w:color w:val="auto"/>
          <w:szCs w:val="21"/>
          <w:lang w:val="en-US" w:eastAsia="zh-CN"/>
        </w:rPr>
        <w:t xml:space="preserve"> </w:t>
      </w:r>
      <w:r>
        <w:rPr>
          <w:rFonts w:ascii="Times New Roman" w:hAnsi="Times New Roman"/>
          <w:b/>
          <w:bCs w:val="0"/>
          <w:iCs/>
          <w:color w:val="auto"/>
          <w:szCs w:val="21"/>
        </w:rPr>
        <w:t>birth weight</w:t>
      </w:r>
      <w:r>
        <w:rPr>
          <w:rFonts w:hint="eastAsia" w:ascii="Times New Roman" w:hAnsi="Times New Roman"/>
          <w:b/>
          <w:bCs w:val="0"/>
          <w:iCs/>
          <w:color w:val="auto"/>
          <w:szCs w:val="21"/>
          <w:vertAlign w:val="superscript"/>
          <w:lang w:val="en-US" w:eastAsia="zh-CN"/>
        </w:rPr>
        <w:t>1</w:t>
      </w:r>
    </w:p>
    <w:tbl>
      <w:tblPr>
        <w:tblStyle w:val="3"/>
        <w:tblW w:w="7633" w:type="dxa"/>
        <w:jc w:val="center"/>
        <w:tblInd w:w="4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900"/>
        <w:gridCol w:w="795"/>
        <w:gridCol w:w="760"/>
        <w:gridCol w:w="7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351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Β</w:t>
            </w:r>
          </w:p>
        </w:tc>
        <w:tc>
          <w:tcPr>
            <w:tcW w:w="7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S.E.</w:t>
            </w:r>
          </w:p>
        </w:tc>
        <w:tc>
          <w:tcPr>
            <w:tcW w:w="7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β</w:t>
            </w:r>
          </w:p>
        </w:tc>
        <w:tc>
          <w:tcPr>
            <w:tcW w:w="7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color w:val="auto"/>
                <w:sz w:val="21"/>
                <w:szCs w:val="21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infant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sex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0.084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0.038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gestational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85.147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14.788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0.259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5.758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0" w:name="OLE_LINK75"/>
            <w:r>
              <w:rPr>
                <w:rFonts w:hint="default" w:ascii="Times New Roman" w:hAnsi="Times New Roman" w:cs="Times New Roman"/>
                <w:bCs/>
                <w:iCs/>
                <w:color w:val="auto"/>
                <w:sz w:val="21"/>
                <w:szCs w:val="21"/>
                <w:lang w:val="en-GB"/>
              </w:rPr>
              <w:t>＜0.001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parity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120.396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33.582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0.169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sz w:val="21"/>
                <w:szCs w:val="21"/>
                <w:lang w:val="en-GB"/>
              </w:rPr>
              <w:t>＜0.001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maternal pre-pregnancy BMI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40.410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13.703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0.125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aternal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weight gain during pregnancy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30.397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4.058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0.347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7.590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sz w:val="21"/>
                <w:szCs w:val="21"/>
                <w:lang w:val="en-GB"/>
              </w:rPr>
              <w:t>＜0.001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The FDP pattern scores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52.116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16.626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0.145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3.135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51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The TE pattern scores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-26.026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14.022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-0.079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-1.856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GB"/>
        </w:rPr>
        <w:t>FDP, the fruits, dairy and poultry pattern; TE, the tubers and eggs pattern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. S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GB"/>
        </w:rPr>
        <w:t xml:space="preserve">tepwise method was used 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in the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GB"/>
        </w:rPr>
        <w:t xml:space="preserve"> analysis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.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>Inclusion criteria were 0.05 and exclusion criteria were 0.10.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 xml:space="preserve"> Ajusted for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 xml:space="preserve">: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 xml:space="preserve">maternal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>energy intake during pregnancy, age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 xml:space="preserve"> at conception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 xml:space="preserve">, pre-pregnancy BMI, weight gain during pregnancy,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>father</w:t>
      </w:r>
      <w:r>
        <w:rPr>
          <w:rFonts w:hint="default" w:ascii="Times New Roman" w:hAnsi="Times New Roman"/>
          <w:bCs/>
          <w:iCs/>
          <w:color w:val="auto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 xml:space="preserve"> BMI, family income, delivery, gestational age, parity, and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 xml:space="preserve">infant 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</w:rPr>
        <w:t>sex</w:t>
      </w:r>
      <w:r>
        <w:rPr>
          <w:rFonts w:hint="eastAsia" w:ascii="Times New Roman" w:hAnsi="Times New Roman"/>
          <w:bCs/>
          <w:iCs/>
          <w:color w:val="auto"/>
          <w:sz w:val="18"/>
          <w:szCs w:val="18"/>
          <w:lang w:val="en-US" w:eastAsia="zh-CN"/>
        </w:rPr>
        <w:t xml:space="preserve">. </w:t>
      </w:r>
    </w:p>
    <w:p>
      <w:pPr>
        <w:spacing w:line="320" w:lineRule="exact"/>
        <w:ind w:firstLine="422" w:firstLineChars="200"/>
        <w:jc w:val="center"/>
        <w:rPr>
          <w:rFonts w:ascii="Times New Roman" w:hAnsi="Times New Roman"/>
          <w:b/>
          <w:bCs/>
          <w:color w:val="auto"/>
          <w:szCs w:val="21"/>
        </w:rPr>
      </w:pPr>
    </w:p>
    <w:p>
      <w:pPr>
        <w:spacing w:line="320" w:lineRule="exact"/>
        <w:ind w:firstLine="422" w:firstLineChars="200"/>
        <w:jc w:val="center"/>
        <w:rPr>
          <w:rFonts w:ascii="Times New Roman" w:hAnsi="Times New Roman"/>
          <w:b/>
          <w:bCs/>
          <w:color w:val="auto"/>
          <w:szCs w:val="21"/>
        </w:rPr>
      </w:pPr>
    </w:p>
    <w:p>
      <w:pPr>
        <w:spacing w:line="320" w:lineRule="exact"/>
        <w:ind w:firstLine="422" w:firstLineChars="200"/>
        <w:jc w:val="center"/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auto"/>
          <w:szCs w:val="21"/>
        </w:rPr>
        <w:t xml:space="preserve">Table 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>S2</w:t>
      </w:r>
      <w:r>
        <w:rPr>
          <w:rFonts w:ascii="Times New Roman" w:hAnsi="Times New Roman"/>
          <w:b/>
          <w:bCs/>
          <w:color w:val="auto"/>
          <w:szCs w:val="21"/>
        </w:rPr>
        <w:t xml:space="preserve"> Comparison of nutrient intakes of the 4 dietary patterns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>(m</w:t>
      </w:r>
      <w:r>
        <w:rPr>
          <w:rFonts w:hint="eastAsia" w:ascii="Times New Roman" w:hAnsi="Times New Roman"/>
          <w:color w:val="auto"/>
          <w:sz w:val="21"/>
          <w:szCs w:val="21"/>
          <w:lang w:val="en-GB"/>
        </w:rPr>
        <w:t>ean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 xml:space="preserve"> (SD) )</w:t>
      </w:r>
      <w:r>
        <w:rPr>
          <w:rFonts w:hint="eastAsia" w:ascii="Times New Roman" w:hAnsi="Times New Roman"/>
          <w:b/>
          <w:bCs/>
          <w:color w:val="auto"/>
          <w:szCs w:val="21"/>
          <w:vertAlign w:val="superscript"/>
          <w:lang w:val="en-US" w:eastAsia="zh-CN"/>
        </w:rPr>
        <w:t>1</w:t>
      </w:r>
    </w:p>
    <w:tbl>
      <w:tblPr>
        <w:tblStyle w:val="3"/>
        <w:tblW w:w="9395" w:type="dxa"/>
        <w:jc w:val="center"/>
        <w:tblInd w:w="-40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346"/>
        <w:gridCol w:w="1463"/>
        <w:gridCol w:w="1468"/>
        <w:gridCol w:w="1548"/>
        <w:gridCol w:w="1548"/>
        <w:gridCol w:w="828"/>
        <w:gridCol w:w="84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0" w:type="dxa"/>
            <w:gridSpan w:val="2"/>
            <w:tcBorders>
              <w:top w:val="single" w:color="auto" w:sz="1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12" w:space="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The FDP</w:t>
            </w:r>
          </w:p>
        </w:tc>
        <w:tc>
          <w:tcPr>
            <w:tcW w:w="1468" w:type="dxa"/>
            <w:tcBorders>
              <w:top w:val="single" w:color="auto" w:sz="1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The VBP</w:t>
            </w:r>
          </w:p>
        </w:tc>
        <w:tc>
          <w:tcPr>
            <w:tcW w:w="1548" w:type="dxa"/>
            <w:tcBorders>
              <w:top w:val="single" w:color="auto" w:sz="1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The FS</w:t>
            </w:r>
          </w:p>
        </w:tc>
        <w:tc>
          <w:tcPr>
            <w:tcW w:w="1548" w:type="dxa"/>
            <w:tcBorders>
              <w:top w:val="single" w:color="auto" w:sz="1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The TE</w:t>
            </w:r>
          </w:p>
        </w:tc>
        <w:tc>
          <w:tcPr>
            <w:tcW w:w="828" w:type="dxa"/>
            <w:vMerge w:val="restart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F/</w:t>
            </w:r>
            <w:r>
              <w:rPr>
                <w:rFonts w:ascii="Times New Roman" w:hAnsi="Times New Roman"/>
                <w:bCs/>
                <w:color w:val="auto"/>
                <w:szCs w:val="21"/>
              </w:rPr>
              <w:t>χ</w:t>
            </w:r>
            <w:r>
              <w:rPr>
                <w:rFonts w:ascii="Times New Roman" w:hAnsi="Times New Roman"/>
                <w:bCs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auto"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4" w:type="dxa"/>
          <w:trHeight w:val="249" w:hRule="atLeast"/>
          <w:jc w:val="center"/>
        </w:trPr>
        <w:tc>
          <w:tcPr>
            <w:tcW w:w="1346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textAlignment w:val="auto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auto"/>
                <w:kern w:val="0"/>
                <w:szCs w:val="21"/>
              </w:rPr>
              <w:t>n</w:t>
            </w:r>
            <w:r>
              <w:rPr>
                <w:rFonts w:hint="eastAsia" w:ascii="Times New Roman" w:hAnsi="Times New Roman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=118</w:t>
            </w:r>
          </w:p>
        </w:tc>
        <w:tc>
          <w:tcPr>
            <w:tcW w:w="1468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auto"/>
                <w:kern w:val="0"/>
                <w:szCs w:val="21"/>
              </w:rPr>
              <w:t>n</w:t>
            </w:r>
            <w:r>
              <w:rPr>
                <w:rFonts w:hint="eastAsia" w:ascii="Times New Roman" w:hAnsi="Times New Roman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=100</w:t>
            </w:r>
          </w:p>
        </w:tc>
        <w:tc>
          <w:tcPr>
            <w:tcW w:w="1548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auto"/>
                <w:kern w:val="0"/>
                <w:szCs w:val="21"/>
              </w:rPr>
              <w:t>n</w:t>
            </w:r>
            <w:r>
              <w:rPr>
                <w:rFonts w:hint="eastAsia" w:ascii="Times New Roman" w:hAnsi="Times New Roman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=122</w:t>
            </w:r>
          </w:p>
        </w:tc>
        <w:tc>
          <w:tcPr>
            <w:tcW w:w="1548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auto"/>
                <w:kern w:val="0"/>
                <w:szCs w:val="21"/>
              </w:rPr>
              <w:t>n</w:t>
            </w:r>
            <w:r>
              <w:rPr>
                <w:rFonts w:hint="eastAsia" w:ascii="Times New Roman" w:hAnsi="Times New Roman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=128</w:t>
            </w:r>
          </w:p>
        </w:tc>
        <w:tc>
          <w:tcPr>
            <w:tcW w:w="828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Energy (kJ)</w:t>
            </w:r>
          </w:p>
        </w:tc>
        <w:tc>
          <w:tcPr>
            <w:tcW w:w="1463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2200.1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462.3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2510.1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sym w:font="Symbol" w:char="F0B1"/>
            </w:r>
            <w:r>
              <w:rPr>
                <w:rFonts w:ascii="Times New Roman" w:hAnsi="Times New Roman"/>
                <w:color w:val="auto"/>
                <w:szCs w:val="21"/>
              </w:rPr>
              <w:t>497.0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2367.5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485.4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1548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2239.7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476.8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bc</w:t>
            </w:r>
          </w:p>
        </w:tc>
        <w:tc>
          <w:tcPr>
            <w:tcW w:w="828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9.054</w:t>
            </w:r>
          </w:p>
        </w:tc>
        <w:tc>
          <w:tcPr>
            <w:tcW w:w="840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Protein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91.1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sym w:font="Symbol" w:char="F0B1"/>
            </w:r>
            <w:r>
              <w:rPr>
                <w:rFonts w:ascii="Times New Roman" w:hAnsi="Times New Roman"/>
                <w:color w:val="auto"/>
                <w:szCs w:val="21"/>
              </w:rPr>
              <w:t>23.3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105.4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25.6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94.0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24.9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88.2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21.1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10.704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Fat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63.4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21.2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73.1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27.1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58.3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19.2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58.7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20.0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10.377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Carbohydrate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326.7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86.0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371.9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88.8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106.5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7.4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96.0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c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6.805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Protein(% energy)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16.7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16.9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16.1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3.6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16.0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2.638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0.049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Fat (% energy)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26.0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26.0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22.5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23.8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6.651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Carbohydrates (% energy)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59.3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7.7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59.4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63.2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61.7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6.830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Fibre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12.3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15.1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3.9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3.2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abc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26.484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SFA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15.2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16.2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12.8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8.375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MUFA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23.1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30.1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11.8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23.3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10.9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24.0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9.5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10.760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PUFA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14.4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20.9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11.4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14.2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19.930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n-3PUFA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18.003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n-6PUFA (g)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18.4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</w:rPr>
              <w:t>5.2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12.7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19.348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Ca 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684.3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301.2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685.1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9(</w:t>
            </w:r>
            <w:r>
              <w:rPr>
                <w:rFonts w:ascii="Times New Roman" w:hAnsi="Times New Roman"/>
                <w:color w:val="auto"/>
                <w:szCs w:val="21"/>
              </w:rPr>
              <w:t>354.1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641.7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276.6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504.9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217.8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abc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11.051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Fe 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23.2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10.6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29.1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10.5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24.2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22.1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6.7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12.025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Zn 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17.1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15.1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4.3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14.0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3.4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13.464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Vit A (μg RE)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1008.4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749.8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1178.1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969.4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1000.4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927.4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894.5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757.4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1.931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0.124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Vit E 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15.7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19.6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8.8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14.9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15.5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8.9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8.398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Vit B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  <w:lang w:val="en-GB"/>
              </w:rPr>
              <w:t xml:space="preserve">1 </w:t>
            </w: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1.35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0.65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1.68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0.56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1.41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0.67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1.27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0.42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9.909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Vit B</w:t>
            </w:r>
            <w:r>
              <w:rPr>
                <w:rFonts w:ascii="Times New Roman" w:hAnsi="Times New Roman"/>
                <w:color w:val="auto"/>
                <w:szCs w:val="21"/>
                <w:vertAlign w:val="subscript"/>
                <w:lang w:val="en-GB"/>
              </w:rPr>
              <w:t xml:space="preserve">2 </w:t>
            </w: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(mg)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1.34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0.59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1.42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0.75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1.21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0.54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1.13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0.40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</w:t>
            </w:r>
          </w:p>
        </w:tc>
        <w:tc>
          <w:tcPr>
            <w:tcW w:w="8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5.953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>0.001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Niacin (mg)</w:t>
            </w:r>
          </w:p>
        </w:tc>
        <w:tc>
          <w:tcPr>
            <w:tcW w:w="1463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19.89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6.62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24.47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7.36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21.49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7.07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19.80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5.51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bc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11.336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2"/>
            <w:tcBorders>
              <w:top w:val="nil"/>
              <w:left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  <w:lang w:val="en-GB"/>
              </w:rPr>
              <w:t>Vit C (mg)</w:t>
            </w:r>
          </w:p>
        </w:tc>
        <w:tc>
          <w:tcPr>
            <w:tcW w:w="1463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130.9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72.3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468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152.2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75.0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138.9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70.6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1548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100.7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/>
                <w:color w:val="auto"/>
                <w:szCs w:val="21"/>
              </w:rPr>
              <w:t>59.1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/>
                <w:color w:val="auto"/>
                <w:szCs w:val="21"/>
                <w:vertAlign w:val="superscript"/>
              </w:rPr>
              <w:t>abc</w:t>
            </w:r>
          </w:p>
        </w:tc>
        <w:tc>
          <w:tcPr>
            <w:tcW w:w="828" w:type="dxa"/>
            <w:tcBorders>
              <w:top w:val="nil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11.538</w:t>
            </w:r>
          </w:p>
        </w:tc>
        <w:tc>
          <w:tcPr>
            <w:tcW w:w="840" w:type="dxa"/>
            <w:tcBorders>
              <w:top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＜.001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cs="Times New Roman"/>
          <w:color w:val="auto"/>
          <w:sz w:val="18"/>
          <w:szCs w:val="18"/>
          <w:lang w:val="en-GB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GB"/>
        </w:rPr>
        <w:t>FDP, the fruits, dairy and poultry pattern; VBP, the vegetables, beans and pork pattern; FS, the fish and soup pattern; TE, the tubers and eggs pattern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ascii="Times New Roman" w:hAnsi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GB"/>
        </w:rPr>
        <w:t>.</w:t>
      </w:r>
      <w:r>
        <w:rPr>
          <w:rFonts w:ascii="Times New Roman" w:hAnsi="Times New Roman"/>
          <w:color w:val="auto"/>
          <w:sz w:val="18"/>
          <w:szCs w:val="18"/>
          <w:vertAlign w:val="superscript"/>
        </w:rPr>
        <w:t>a</w:t>
      </w:r>
      <w:r>
        <w:rPr>
          <w:rFonts w:hint="eastAsia" w:ascii="Times New Roman" w:hAnsi="Times New Roman"/>
          <w:color w:val="auto"/>
          <w:sz w:val="18"/>
          <w:szCs w:val="18"/>
          <w:lang w:val="en-US" w:eastAsia="zh-CN"/>
        </w:rPr>
        <w:t>compare to the FDP ,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P</w:t>
      </w:r>
      <w:r>
        <w:rPr>
          <w:rFonts w:ascii="Times New Roman" w:hAnsi="Times New Roman"/>
          <w:color w:val="auto"/>
          <w:sz w:val="18"/>
          <w:szCs w:val="18"/>
        </w:rPr>
        <w:t>＜0.05；</w:t>
      </w:r>
      <w:r>
        <w:rPr>
          <w:rFonts w:ascii="Times New Roman" w:hAnsi="Times New Roman"/>
          <w:color w:val="auto"/>
          <w:sz w:val="18"/>
          <w:szCs w:val="18"/>
          <w:vertAlign w:val="superscript"/>
        </w:rPr>
        <w:t>b</w:t>
      </w:r>
      <w:bookmarkStart w:id="1" w:name="OLE_LINK68"/>
      <w:r>
        <w:rPr>
          <w:rFonts w:hint="eastAsia" w:ascii="Times New Roman" w:hAnsi="Times New Roman"/>
          <w:color w:val="auto"/>
          <w:sz w:val="18"/>
          <w:szCs w:val="18"/>
          <w:lang w:val="en-US" w:eastAsia="zh-CN"/>
        </w:rPr>
        <w:t>compare to the</w:t>
      </w:r>
      <w:bookmarkEnd w:id="1"/>
      <w:r>
        <w:rPr>
          <w:rFonts w:hint="eastAsia" w:ascii="Times New Roman" w:hAnsi="Times New Roman"/>
          <w:color w:val="auto"/>
          <w:sz w:val="18"/>
          <w:szCs w:val="18"/>
          <w:lang w:val="en-US" w:eastAsia="zh-CN"/>
        </w:rPr>
        <w:t xml:space="preserve"> VBP, 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P</w:t>
      </w:r>
      <w:r>
        <w:rPr>
          <w:rFonts w:ascii="Times New Roman" w:hAnsi="Times New Roman"/>
          <w:color w:val="auto"/>
          <w:sz w:val="18"/>
          <w:szCs w:val="18"/>
        </w:rPr>
        <w:t>＜0.05；</w:t>
      </w:r>
      <w:r>
        <w:rPr>
          <w:rFonts w:ascii="Times New Roman" w:hAnsi="Times New Roman"/>
          <w:color w:val="auto"/>
          <w:sz w:val="18"/>
          <w:szCs w:val="18"/>
          <w:vertAlign w:val="superscript"/>
        </w:rPr>
        <w:t>c</w:t>
      </w:r>
      <w:r>
        <w:rPr>
          <w:rFonts w:hint="eastAsia" w:ascii="Times New Roman" w:hAnsi="Times New Roman"/>
          <w:color w:val="auto"/>
          <w:sz w:val="18"/>
          <w:szCs w:val="18"/>
          <w:lang w:val="en-US" w:eastAsia="zh-CN"/>
        </w:rPr>
        <w:t xml:space="preserve">compare to the FS, </w:t>
      </w:r>
      <w:r>
        <w:rPr>
          <w:rFonts w:ascii="Times New Roman" w:hAnsi="Times New Roman"/>
          <w:i/>
          <w:iCs/>
          <w:color w:val="auto"/>
          <w:sz w:val="18"/>
          <w:szCs w:val="18"/>
        </w:rPr>
        <w:t>P</w:t>
      </w:r>
      <w:r>
        <w:rPr>
          <w:rFonts w:ascii="Times New Roman" w:hAnsi="Times New Roman"/>
          <w:color w:val="auto"/>
          <w:sz w:val="18"/>
          <w:szCs w:val="18"/>
        </w:rPr>
        <w:t>＜0.05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2"/>
    <w:rsid w:val="00292A92"/>
    <w:rsid w:val="0AE03BAA"/>
    <w:rsid w:val="56DD6507"/>
    <w:rsid w:val="7A225BFB"/>
    <w:rsid w:val="7AB10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2018-10-13T16:14:00Z</dcterms:created>
  <dc:creator>把钱给我背就是马上有钱的紫粉番薯</dc:creator>
  <cp:lastModifiedBy>把钱给我背就是马上有钱的紫粉番薯</cp:lastModifiedBy>
  <dcterms:modified xsi:type="dcterms:W3CDTF">2019-01-20T11:44:02Z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