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E7FF2" w14:textId="11B1B5AE" w:rsidR="002005EE" w:rsidRPr="00AF4B06" w:rsidRDefault="002005EE" w:rsidP="00385816">
      <w:pPr>
        <w:rPr>
          <w:sz w:val="24"/>
          <w:szCs w:val="24"/>
        </w:rPr>
      </w:pPr>
      <w:r w:rsidRPr="00AF4B06">
        <w:rPr>
          <w:sz w:val="24"/>
          <w:szCs w:val="24"/>
        </w:rPr>
        <w:t>Supplementary Table S1: Baseline characteristics of young children, mothers and households</w:t>
      </w:r>
      <w:r w:rsidRPr="00AF4B06">
        <w:rPr>
          <w:sz w:val="24"/>
          <w:szCs w:val="24"/>
          <w:vertAlign w:val="superscript"/>
        </w:rPr>
        <w:t xml:space="preserve"> </w:t>
      </w:r>
      <w:r w:rsidRPr="00AF4B06">
        <w:rPr>
          <w:sz w:val="24"/>
          <w:szCs w:val="24"/>
        </w:rPr>
        <w:t xml:space="preserve">among those with endline </w:t>
      </w:r>
      <w:r w:rsidR="00D064F7" w:rsidRPr="00AF4B06">
        <w:rPr>
          <w:sz w:val="24"/>
          <w:szCs w:val="24"/>
        </w:rPr>
        <w:t>anthropometry outcomes*</w:t>
      </w:r>
    </w:p>
    <w:p w14:paraId="3F015550" w14:textId="34885949" w:rsidR="002005EE" w:rsidRPr="00AF4B06" w:rsidRDefault="002005EE" w:rsidP="00C35CA9">
      <w:pPr>
        <w:pStyle w:val="BodyText"/>
      </w:pPr>
      <w:bookmarkStart w:id="0" w:name="_GoBack"/>
      <w:bookmarkEnd w:id="0"/>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1460"/>
        <w:gridCol w:w="1460"/>
        <w:gridCol w:w="1460"/>
      </w:tblGrid>
      <w:tr w:rsidR="00AF4B06" w:rsidRPr="00AF4B06" w14:paraId="7C71F8BD" w14:textId="77777777" w:rsidTr="002342CF">
        <w:trPr>
          <w:trHeight w:val="300"/>
        </w:trPr>
        <w:tc>
          <w:tcPr>
            <w:tcW w:w="4840" w:type="dxa"/>
            <w:shd w:val="clear" w:color="auto" w:fill="auto"/>
            <w:noWrap/>
            <w:vAlign w:val="bottom"/>
            <w:hideMark/>
          </w:tcPr>
          <w:p w14:paraId="3132BFB2" w14:textId="77777777" w:rsidR="002005EE" w:rsidRPr="00AF4B06" w:rsidRDefault="002005EE" w:rsidP="002342CF">
            <w:pPr>
              <w:spacing w:after="0" w:line="240" w:lineRule="auto"/>
              <w:rPr>
                <w:rFonts w:ascii="Arial" w:eastAsia="Times New Roman" w:hAnsi="Arial" w:cs="Arial"/>
              </w:rPr>
            </w:pPr>
          </w:p>
        </w:tc>
        <w:tc>
          <w:tcPr>
            <w:tcW w:w="1460" w:type="dxa"/>
            <w:vAlign w:val="bottom"/>
          </w:tcPr>
          <w:p w14:paraId="02F0DD25"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MNP</w:t>
            </w:r>
          </w:p>
        </w:tc>
        <w:tc>
          <w:tcPr>
            <w:tcW w:w="1460" w:type="dxa"/>
            <w:vAlign w:val="bottom"/>
          </w:tcPr>
          <w:p w14:paraId="6D6080DF"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Placebo</w:t>
            </w:r>
          </w:p>
        </w:tc>
        <w:tc>
          <w:tcPr>
            <w:tcW w:w="1460" w:type="dxa"/>
            <w:shd w:val="clear" w:color="auto" w:fill="auto"/>
            <w:noWrap/>
            <w:vAlign w:val="bottom"/>
          </w:tcPr>
          <w:p w14:paraId="2A3CE034"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p-value</w:t>
            </w:r>
          </w:p>
        </w:tc>
      </w:tr>
      <w:tr w:rsidR="00AF4B06" w:rsidRPr="00AF4B06" w14:paraId="47323951" w14:textId="77777777" w:rsidTr="002342CF">
        <w:trPr>
          <w:trHeight w:val="300"/>
        </w:trPr>
        <w:tc>
          <w:tcPr>
            <w:tcW w:w="4840" w:type="dxa"/>
            <w:shd w:val="clear" w:color="auto" w:fill="auto"/>
            <w:noWrap/>
            <w:vAlign w:val="bottom"/>
            <w:hideMark/>
          </w:tcPr>
          <w:p w14:paraId="3B60604C"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N</w:t>
            </w:r>
          </w:p>
        </w:tc>
        <w:tc>
          <w:tcPr>
            <w:tcW w:w="1460" w:type="dxa"/>
            <w:vAlign w:val="bottom"/>
          </w:tcPr>
          <w:p w14:paraId="7B5B2457"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701</w:t>
            </w:r>
          </w:p>
        </w:tc>
        <w:tc>
          <w:tcPr>
            <w:tcW w:w="1460" w:type="dxa"/>
            <w:vAlign w:val="bottom"/>
          </w:tcPr>
          <w:p w14:paraId="728E0A8C"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740</w:t>
            </w:r>
          </w:p>
        </w:tc>
        <w:tc>
          <w:tcPr>
            <w:tcW w:w="1460" w:type="dxa"/>
            <w:shd w:val="clear" w:color="auto" w:fill="auto"/>
            <w:noWrap/>
            <w:vAlign w:val="bottom"/>
          </w:tcPr>
          <w:p w14:paraId="4E37A142" w14:textId="77777777" w:rsidR="002005EE" w:rsidRPr="00AF4B06" w:rsidRDefault="002005EE" w:rsidP="002342CF">
            <w:pPr>
              <w:spacing w:after="0" w:line="240" w:lineRule="auto"/>
              <w:jc w:val="center"/>
              <w:rPr>
                <w:rFonts w:ascii="Arial" w:eastAsia="Times New Roman" w:hAnsi="Arial" w:cs="Arial"/>
              </w:rPr>
            </w:pPr>
          </w:p>
        </w:tc>
      </w:tr>
      <w:tr w:rsidR="00AF4B06" w:rsidRPr="00AF4B06" w14:paraId="7B651440" w14:textId="77777777" w:rsidTr="002342CF">
        <w:trPr>
          <w:trHeight w:val="300"/>
        </w:trPr>
        <w:tc>
          <w:tcPr>
            <w:tcW w:w="4840" w:type="dxa"/>
            <w:shd w:val="clear" w:color="auto" w:fill="auto"/>
            <w:noWrap/>
            <w:vAlign w:val="bottom"/>
            <w:hideMark/>
          </w:tcPr>
          <w:p w14:paraId="6CCDB82F"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Children</w:t>
            </w:r>
          </w:p>
        </w:tc>
        <w:tc>
          <w:tcPr>
            <w:tcW w:w="1460" w:type="dxa"/>
            <w:vAlign w:val="bottom"/>
          </w:tcPr>
          <w:p w14:paraId="2B1FC229" w14:textId="77777777" w:rsidR="002005EE" w:rsidRPr="00AF4B06" w:rsidRDefault="002005EE" w:rsidP="002342CF">
            <w:pPr>
              <w:spacing w:after="0" w:line="240" w:lineRule="auto"/>
              <w:jc w:val="center"/>
              <w:rPr>
                <w:rFonts w:ascii="Arial" w:eastAsia="Times New Roman" w:hAnsi="Arial" w:cs="Arial"/>
              </w:rPr>
            </w:pPr>
          </w:p>
        </w:tc>
        <w:tc>
          <w:tcPr>
            <w:tcW w:w="1460" w:type="dxa"/>
            <w:vAlign w:val="bottom"/>
          </w:tcPr>
          <w:p w14:paraId="7C6865B3" w14:textId="77777777" w:rsidR="002005EE" w:rsidRPr="00AF4B06" w:rsidRDefault="002005EE" w:rsidP="002342CF">
            <w:pPr>
              <w:spacing w:after="0" w:line="240" w:lineRule="auto"/>
              <w:jc w:val="center"/>
              <w:rPr>
                <w:rFonts w:ascii="Arial" w:eastAsia="Times New Roman" w:hAnsi="Arial" w:cs="Arial"/>
              </w:rPr>
            </w:pPr>
          </w:p>
        </w:tc>
        <w:tc>
          <w:tcPr>
            <w:tcW w:w="1460" w:type="dxa"/>
            <w:shd w:val="clear" w:color="auto" w:fill="auto"/>
            <w:noWrap/>
            <w:vAlign w:val="bottom"/>
          </w:tcPr>
          <w:p w14:paraId="4C1276D1" w14:textId="77777777" w:rsidR="002005EE" w:rsidRPr="00AF4B06" w:rsidRDefault="002005EE" w:rsidP="002342CF">
            <w:pPr>
              <w:spacing w:after="0" w:line="240" w:lineRule="auto"/>
              <w:jc w:val="center"/>
              <w:rPr>
                <w:rFonts w:ascii="Arial" w:eastAsia="Times New Roman" w:hAnsi="Arial" w:cs="Arial"/>
              </w:rPr>
            </w:pPr>
          </w:p>
        </w:tc>
      </w:tr>
      <w:tr w:rsidR="00AF4B06" w:rsidRPr="00AF4B06" w14:paraId="411590A8" w14:textId="77777777" w:rsidTr="002342CF">
        <w:trPr>
          <w:trHeight w:val="300"/>
        </w:trPr>
        <w:tc>
          <w:tcPr>
            <w:tcW w:w="4840" w:type="dxa"/>
            <w:shd w:val="clear" w:color="auto" w:fill="auto"/>
            <w:noWrap/>
            <w:vAlign w:val="bottom"/>
            <w:hideMark/>
          </w:tcPr>
          <w:p w14:paraId="6FC6E3C4"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Enrollment age (months)</w:t>
            </w:r>
          </w:p>
        </w:tc>
        <w:tc>
          <w:tcPr>
            <w:tcW w:w="1460" w:type="dxa"/>
            <w:vAlign w:val="bottom"/>
          </w:tcPr>
          <w:p w14:paraId="3C1CD49C"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14.3 ± 5.0</w:t>
            </w:r>
          </w:p>
        </w:tc>
        <w:tc>
          <w:tcPr>
            <w:tcW w:w="1460" w:type="dxa"/>
            <w:vAlign w:val="bottom"/>
          </w:tcPr>
          <w:p w14:paraId="391528A2"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14.1 ± 5.1</w:t>
            </w:r>
          </w:p>
        </w:tc>
        <w:tc>
          <w:tcPr>
            <w:tcW w:w="1460" w:type="dxa"/>
            <w:shd w:val="clear" w:color="auto" w:fill="auto"/>
            <w:noWrap/>
            <w:vAlign w:val="bottom"/>
          </w:tcPr>
          <w:p w14:paraId="7BC49F06"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0.426</w:t>
            </w:r>
          </w:p>
        </w:tc>
      </w:tr>
      <w:tr w:rsidR="00AF4B06" w:rsidRPr="00AF4B06" w14:paraId="3C3854FA" w14:textId="77777777" w:rsidTr="002342CF">
        <w:trPr>
          <w:trHeight w:val="300"/>
        </w:trPr>
        <w:tc>
          <w:tcPr>
            <w:tcW w:w="4840" w:type="dxa"/>
            <w:shd w:val="clear" w:color="auto" w:fill="auto"/>
            <w:noWrap/>
            <w:vAlign w:val="bottom"/>
            <w:hideMark/>
          </w:tcPr>
          <w:p w14:paraId="735B5106"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Male, %</w:t>
            </w:r>
          </w:p>
        </w:tc>
        <w:tc>
          <w:tcPr>
            <w:tcW w:w="1460" w:type="dxa"/>
            <w:vAlign w:val="bottom"/>
          </w:tcPr>
          <w:p w14:paraId="114044C6"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50.7</w:t>
            </w:r>
          </w:p>
        </w:tc>
        <w:tc>
          <w:tcPr>
            <w:tcW w:w="1460" w:type="dxa"/>
            <w:vAlign w:val="bottom"/>
          </w:tcPr>
          <w:p w14:paraId="699B217D"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52.0</w:t>
            </w:r>
          </w:p>
        </w:tc>
        <w:tc>
          <w:tcPr>
            <w:tcW w:w="1460" w:type="dxa"/>
            <w:shd w:val="clear" w:color="auto" w:fill="auto"/>
            <w:noWrap/>
            <w:vAlign w:val="bottom"/>
          </w:tcPr>
          <w:p w14:paraId="7F60B623"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0.618</w:t>
            </w:r>
          </w:p>
        </w:tc>
      </w:tr>
      <w:tr w:rsidR="00AF4B06" w:rsidRPr="00AF4B06" w14:paraId="60CC91B8" w14:textId="77777777" w:rsidTr="002342CF">
        <w:trPr>
          <w:trHeight w:val="300"/>
        </w:trPr>
        <w:tc>
          <w:tcPr>
            <w:tcW w:w="4840" w:type="dxa"/>
            <w:shd w:val="clear" w:color="auto" w:fill="auto"/>
            <w:noWrap/>
            <w:vAlign w:val="bottom"/>
            <w:hideMark/>
          </w:tcPr>
          <w:p w14:paraId="5820C2D3" w14:textId="6E86CD4D"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Adequate dietary diversity at baseline</w:t>
            </w:r>
            <w:r w:rsidR="00D064F7" w:rsidRPr="00AF4B06">
              <w:rPr>
                <w:rFonts w:ascii="Times New Roman" w:eastAsia="Times New Roman" w:hAnsi="Times New Roman"/>
                <w:sz w:val="20"/>
                <w:szCs w:val="20"/>
                <w:vertAlign w:val="superscript"/>
              </w:rPr>
              <w:t>†</w:t>
            </w:r>
            <w:r w:rsidRPr="00AF4B06">
              <w:rPr>
                <w:rFonts w:ascii="Arial" w:eastAsia="Times New Roman" w:hAnsi="Arial" w:cs="Arial"/>
              </w:rPr>
              <w:t>, %</w:t>
            </w:r>
          </w:p>
        </w:tc>
        <w:tc>
          <w:tcPr>
            <w:tcW w:w="1460" w:type="dxa"/>
            <w:vAlign w:val="bottom"/>
          </w:tcPr>
          <w:p w14:paraId="7BDF07D8"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13.6</w:t>
            </w:r>
          </w:p>
        </w:tc>
        <w:tc>
          <w:tcPr>
            <w:tcW w:w="1460" w:type="dxa"/>
            <w:vAlign w:val="bottom"/>
          </w:tcPr>
          <w:p w14:paraId="363CD897"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15.8</w:t>
            </w:r>
          </w:p>
        </w:tc>
        <w:tc>
          <w:tcPr>
            <w:tcW w:w="1460" w:type="dxa"/>
            <w:shd w:val="clear" w:color="auto" w:fill="auto"/>
            <w:noWrap/>
            <w:vAlign w:val="bottom"/>
          </w:tcPr>
          <w:p w14:paraId="574DDAB7"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0.273</w:t>
            </w:r>
          </w:p>
        </w:tc>
      </w:tr>
      <w:tr w:rsidR="00AF4B06" w:rsidRPr="00AF4B06" w14:paraId="1C2A2A34" w14:textId="77777777" w:rsidTr="002342CF">
        <w:trPr>
          <w:trHeight w:val="300"/>
        </w:trPr>
        <w:tc>
          <w:tcPr>
            <w:tcW w:w="4840" w:type="dxa"/>
            <w:shd w:val="clear" w:color="auto" w:fill="auto"/>
            <w:noWrap/>
            <w:vAlign w:val="bottom"/>
            <w:hideMark/>
          </w:tcPr>
          <w:p w14:paraId="22FF279F" w14:textId="58789DC8"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Minimum meal frequency at baseline</w:t>
            </w:r>
            <w:r w:rsidR="00D064F7" w:rsidRPr="00AF4B06">
              <w:rPr>
                <w:rFonts w:ascii="Times New Roman" w:eastAsia="Times New Roman" w:hAnsi="Times New Roman"/>
                <w:sz w:val="20"/>
                <w:szCs w:val="20"/>
                <w:vertAlign w:val="superscript"/>
              </w:rPr>
              <w:t>†</w:t>
            </w:r>
            <w:r w:rsidRPr="00AF4B06">
              <w:rPr>
                <w:rFonts w:ascii="Arial" w:eastAsia="Times New Roman" w:hAnsi="Arial" w:cs="Arial"/>
              </w:rPr>
              <w:t>, %</w:t>
            </w:r>
          </w:p>
        </w:tc>
        <w:tc>
          <w:tcPr>
            <w:tcW w:w="1460" w:type="dxa"/>
            <w:vAlign w:val="bottom"/>
          </w:tcPr>
          <w:p w14:paraId="319FC831"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60.7</w:t>
            </w:r>
          </w:p>
        </w:tc>
        <w:tc>
          <w:tcPr>
            <w:tcW w:w="1460" w:type="dxa"/>
            <w:vAlign w:val="bottom"/>
          </w:tcPr>
          <w:p w14:paraId="59CFD9F0"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57.9</w:t>
            </w:r>
          </w:p>
        </w:tc>
        <w:tc>
          <w:tcPr>
            <w:tcW w:w="1460" w:type="dxa"/>
            <w:shd w:val="clear" w:color="auto" w:fill="auto"/>
            <w:noWrap/>
            <w:vAlign w:val="bottom"/>
          </w:tcPr>
          <w:p w14:paraId="15E8B9BC"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0.328</w:t>
            </w:r>
          </w:p>
        </w:tc>
      </w:tr>
      <w:tr w:rsidR="00AF4B06" w:rsidRPr="00AF4B06" w14:paraId="1E65578E" w14:textId="77777777" w:rsidTr="002342CF">
        <w:trPr>
          <w:trHeight w:val="300"/>
        </w:trPr>
        <w:tc>
          <w:tcPr>
            <w:tcW w:w="4840" w:type="dxa"/>
            <w:shd w:val="clear" w:color="auto" w:fill="auto"/>
            <w:noWrap/>
            <w:vAlign w:val="bottom"/>
            <w:hideMark/>
          </w:tcPr>
          <w:p w14:paraId="18A1DC9E" w14:textId="06409A4D"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Consumption of iron rich foods at baseline</w:t>
            </w:r>
            <w:r w:rsidR="00D064F7" w:rsidRPr="00AF4B06">
              <w:rPr>
                <w:rFonts w:ascii="Times New Roman" w:eastAsia="Times New Roman" w:hAnsi="Times New Roman"/>
                <w:sz w:val="20"/>
                <w:szCs w:val="20"/>
                <w:vertAlign w:val="superscript"/>
              </w:rPr>
              <w:t>†</w:t>
            </w:r>
            <w:r w:rsidRPr="00AF4B06">
              <w:rPr>
                <w:rFonts w:ascii="Arial" w:eastAsia="Times New Roman" w:hAnsi="Arial" w:cs="Arial"/>
              </w:rPr>
              <w:t>, %</w:t>
            </w:r>
          </w:p>
        </w:tc>
        <w:tc>
          <w:tcPr>
            <w:tcW w:w="1460" w:type="dxa"/>
            <w:vAlign w:val="bottom"/>
          </w:tcPr>
          <w:p w14:paraId="14995711"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67.6</w:t>
            </w:r>
          </w:p>
        </w:tc>
        <w:tc>
          <w:tcPr>
            <w:tcW w:w="1460" w:type="dxa"/>
            <w:vAlign w:val="bottom"/>
          </w:tcPr>
          <w:p w14:paraId="59ADED75"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64.8</w:t>
            </w:r>
          </w:p>
        </w:tc>
        <w:tc>
          <w:tcPr>
            <w:tcW w:w="1460" w:type="dxa"/>
            <w:shd w:val="clear" w:color="auto" w:fill="auto"/>
            <w:noWrap/>
            <w:vAlign w:val="bottom"/>
          </w:tcPr>
          <w:p w14:paraId="007B89E2"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0.297</w:t>
            </w:r>
          </w:p>
        </w:tc>
      </w:tr>
      <w:tr w:rsidR="00AF4B06" w:rsidRPr="00AF4B06" w14:paraId="40CD48EE" w14:textId="77777777" w:rsidTr="002342CF">
        <w:trPr>
          <w:trHeight w:val="300"/>
        </w:trPr>
        <w:tc>
          <w:tcPr>
            <w:tcW w:w="4840" w:type="dxa"/>
            <w:shd w:val="clear" w:color="auto" w:fill="auto"/>
            <w:noWrap/>
            <w:vAlign w:val="bottom"/>
            <w:hideMark/>
          </w:tcPr>
          <w:p w14:paraId="30DC9BC2" w14:textId="3579AB95" w:rsidR="002005EE" w:rsidRPr="00AF4B06" w:rsidRDefault="002005EE" w:rsidP="002342CF">
            <w:pPr>
              <w:spacing w:after="0" w:line="240" w:lineRule="auto"/>
              <w:rPr>
                <w:rFonts w:ascii="Arial" w:eastAsia="Times New Roman" w:hAnsi="Arial" w:cs="Arial"/>
                <w:vertAlign w:val="superscript"/>
              </w:rPr>
            </w:pPr>
            <w:r w:rsidRPr="00AF4B06">
              <w:rPr>
                <w:rFonts w:ascii="Arial" w:eastAsia="Times New Roman" w:hAnsi="Arial" w:cs="Arial"/>
              </w:rPr>
              <w:t xml:space="preserve"> Proportion of days with adequate dietary diversity</w:t>
            </w:r>
            <w:r w:rsidR="00A45763" w:rsidRPr="00AF4B06">
              <w:rPr>
                <w:rFonts w:ascii="Times New Roman" w:eastAsia="Times New Roman" w:hAnsi="Times New Roman"/>
                <w:sz w:val="20"/>
                <w:szCs w:val="20"/>
                <w:vertAlign w:val="superscript"/>
              </w:rPr>
              <w:t>‡</w:t>
            </w:r>
          </w:p>
        </w:tc>
        <w:tc>
          <w:tcPr>
            <w:tcW w:w="1460" w:type="dxa"/>
            <w:vAlign w:val="bottom"/>
          </w:tcPr>
          <w:p w14:paraId="1A503729"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0.30 ± 0.28</w:t>
            </w:r>
          </w:p>
        </w:tc>
        <w:tc>
          <w:tcPr>
            <w:tcW w:w="1460" w:type="dxa"/>
            <w:vAlign w:val="bottom"/>
          </w:tcPr>
          <w:p w14:paraId="1260DB47"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0.30 ± 0.28</w:t>
            </w:r>
          </w:p>
        </w:tc>
        <w:tc>
          <w:tcPr>
            <w:tcW w:w="1460" w:type="dxa"/>
            <w:shd w:val="clear" w:color="auto" w:fill="auto"/>
            <w:noWrap/>
            <w:vAlign w:val="bottom"/>
          </w:tcPr>
          <w:p w14:paraId="28C8F78B"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0.845</w:t>
            </w:r>
          </w:p>
        </w:tc>
      </w:tr>
      <w:tr w:rsidR="00AF4B06" w:rsidRPr="00AF4B06" w14:paraId="10EB707D" w14:textId="77777777" w:rsidTr="002342CF">
        <w:trPr>
          <w:trHeight w:val="300"/>
        </w:trPr>
        <w:tc>
          <w:tcPr>
            <w:tcW w:w="4840" w:type="dxa"/>
            <w:shd w:val="clear" w:color="auto" w:fill="auto"/>
            <w:noWrap/>
            <w:vAlign w:val="bottom"/>
            <w:hideMark/>
          </w:tcPr>
          <w:p w14:paraId="1E73A1DA" w14:textId="12CFAA64" w:rsidR="002005EE" w:rsidRPr="00AF4B06" w:rsidRDefault="002005EE" w:rsidP="002342CF">
            <w:pPr>
              <w:spacing w:after="0" w:line="240" w:lineRule="auto"/>
              <w:rPr>
                <w:rFonts w:ascii="Arial" w:eastAsia="Times New Roman" w:hAnsi="Arial" w:cs="Arial"/>
                <w:vertAlign w:val="superscript"/>
              </w:rPr>
            </w:pPr>
            <w:r w:rsidRPr="00AF4B06">
              <w:rPr>
                <w:rFonts w:ascii="Arial" w:eastAsia="Times New Roman" w:hAnsi="Arial" w:cs="Arial"/>
              </w:rPr>
              <w:t xml:space="preserve"> Proportion of days with minimum meal frequency</w:t>
            </w:r>
            <w:r w:rsidR="00A45763" w:rsidRPr="00AF4B06">
              <w:rPr>
                <w:rFonts w:ascii="Times New Roman" w:eastAsia="Times New Roman" w:hAnsi="Times New Roman"/>
                <w:sz w:val="20"/>
                <w:szCs w:val="20"/>
                <w:vertAlign w:val="superscript"/>
              </w:rPr>
              <w:t>‡</w:t>
            </w:r>
          </w:p>
        </w:tc>
        <w:tc>
          <w:tcPr>
            <w:tcW w:w="1460" w:type="dxa"/>
            <w:vAlign w:val="bottom"/>
          </w:tcPr>
          <w:p w14:paraId="5514D9A6"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0.61 ± 0.36</w:t>
            </w:r>
          </w:p>
        </w:tc>
        <w:tc>
          <w:tcPr>
            <w:tcW w:w="1460" w:type="dxa"/>
            <w:vAlign w:val="bottom"/>
          </w:tcPr>
          <w:p w14:paraId="1BEE8AA7"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0.62 ± 0.35</w:t>
            </w:r>
          </w:p>
        </w:tc>
        <w:tc>
          <w:tcPr>
            <w:tcW w:w="1460" w:type="dxa"/>
            <w:shd w:val="clear" w:color="auto" w:fill="auto"/>
            <w:noWrap/>
            <w:vAlign w:val="bottom"/>
          </w:tcPr>
          <w:p w14:paraId="2949D7E0"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0.533</w:t>
            </w:r>
          </w:p>
        </w:tc>
      </w:tr>
      <w:tr w:rsidR="00AF4B06" w:rsidRPr="00AF4B06" w14:paraId="2A81CF0E" w14:textId="77777777" w:rsidTr="002342CF">
        <w:trPr>
          <w:trHeight w:val="300"/>
        </w:trPr>
        <w:tc>
          <w:tcPr>
            <w:tcW w:w="4840" w:type="dxa"/>
            <w:shd w:val="clear" w:color="auto" w:fill="auto"/>
            <w:noWrap/>
            <w:vAlign w:val="bottom"/>
            <w:hideMark/>
          </w:tcPr>
          <w:p w14:paraId="33472328" w14:textId="15442AB7" w:rsidR="002005EE" w:rsidRPr="00AF4B06" w:rsidRDefault="002005EE" w:rsidP="002342CF">
            <w:pPr>
              <w:spacing w:after="0" w:line="240" w:lineRule="auto"/>
              <w:rPr>
                <w:rFonts w:ascii="Arial" w:eastAsia="Times New Roman" w:hAnsi="Arial" w:cs="Arial"/>
                <w:vertAlign w:val="superscript"/>
              </w:rPr>
            </w:pPr>
            <w:r w:rsidRPr="00AF4B06">
              <w:rPr>
                <w:rFonts w:ascii="Arial" w:eastAsia="Times New Roman" w:hAnsi="Arial" w:cs="Arial"/>
              </w:rPr>
              <w:t xml:space="preserve"> Proportion of days with iron rich foods</w:t>
            </w:r>
            <w:r w:rsidR="00A45763" w:rsidRPr="00AF4B06">
              <w:rPr>
                <w:rFonts w:ascii="Times New Roman" w:eastAsia="Times New Roman" w:hAnsi="Times New Roman"/>
                <w:sz w:val="20"/>
                <w:szCs w:val="20"/>
                <w:vertAlign w:val="superscript"/>
              </w:rPr>
              <w:t>‡</w:t>
            </w:r>
            <w:r w:rsidR="00A45763" w:rsidRPr="00AF4B06">
              <w:rPr>
                <w:rFonts w:ascii="Arial" w:eastAsia="Times New Roman" w:hAnsi="Arial" w:cs="Arial"/>
                <w:sz w:val="24"/>
                <w:szCs w:val="24"/>
                <w:vertAlign w:val="superscript"/>
              </w:rPr>
              <w:t>,</w:t>
            </w:r>
            <w:r w:rsidR="00A45763" w:rsidRPr="00AF4B06">
              <w:rPr>
                <w:rFonts w:ascii="Arial" w:hAnsi="Arial" w:cs="Arial"/>
                <w:vertAlign w:val="superscript"/>
              </w:rPr>
              <w:t>§</w:t>
            </w:r>
          </w:p>
        </w:tc>
        <w:tc>
          <w:tcPr>
            <w:tcW w:w="1460" w:type="dxa"/>
            <w:vAlign w:val="bottom"/>
          </w:tcPr>
          <w:p w14:paraId="4B1C94C4"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0.85 ± 0.19</w:t>
            </w:r>
          </w:p>
        </w:tc>
        <w:tc>
          <w:tcPr>
            <w:tcW w:w="1460" w:type="dxa"/>
            <w:vAlign w:val="bottom"/>
          </w:tcPr>
          <w:p w14:paraId="2283F7E0"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0.85 ± 0.19</w:t>
            </w:r>
          </w:p>
        </w:tc>
        <w:tc>
          <w:tcPr>
            <w:tcW w:w="1460" w:type="dxa"/>
            <w:shd w:val="clear" w:color="auto" w:fill="auto"/>
            <w:noWrap/>
            <w:vAlign w:val="bottom"/>
          </w:tcPr>
          <w:p w14:paraId="3BC90998"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0.540</w:t>
            </w:r>
          </w:p>
        </w:tc>
      </w:tr>
      <w:tr w:rsidR="00AF4B06" w:rsidRPr="00AF4B06" w14:paraId="7720B89C" w14:textId="77777777" w:rsidTr="002342CF">
        <w:trPr>
          <w:trHeight w:val="300"/>
        </w:trPr>
        <w:tc>
          <w:tcPr>
            <w:tcW w:w="4840" w:type="dxa"/>
            <w:shd w:val="clear" w:color="auto" w:fill="auto"/>
            <w:noWrap/>
            <w:vAlign w:val="bottom"/>
            <w:hideMark/>
          </w:tcPr>
          <w:p w14:paraId="50F126D3"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Mothers</w:t>
            </w:r>
          </w:p>
        </w:tc>
        <w:tc>
          <w:tcPr>
            <w:tcW w:w="1460" w:type="dxa"/>
            <w:vAlign w:val="bottom"/>
          </w:tcPr>
          <w:p w14:paraId="4E6B4538" w14:textId="77777777" w:rsidR="002005EE" w:rsidRPr="00AF4B06" w:rsidRDefault="002005EE" w:rsidP="002342CF">
            <w:pPr>
              <w:spacing w:after="0" w:line="240" w:lineRule="auto"/>
              <w:jc w:val="center"/>
              <w:rPr>
                <w:rFonts w:ascii="Arial" w:eastAsia="Times New Roman" w:hAnsi="Arial" w:cs="Arial"/>
              </w:rPr>
            </w:pPr>
          </w:p>
        </w:tc>
        <w:tc>
          <w:tcPr>
            <w:tcW w:w="1460" w:type="dxa"/>
            <w:vAlign w:val="bottom"/>
          </w:tcPr>
          <w:p w14:paraId="044B43A6" w14:textId="77777777" w:rsidR="002005EE" w:rsidRPr="00AF4B06" w:rsidRDefault="002005EE" w:rsidP="002342CF">
            <w:pPr>
              <w:spacing w:after="0" w:line="240" w:lineRule="auto"/>
              <w:jc w:val="center"/>
              <w:rPr>
                <w:rFonts w:ascii="Arial" w:eastAsia="Times New Roman" w:hAnsi="Arial" w:cs="Arial"/>
              </w:rPr>
            </w:pPr>
          </w:p>
        </w:tc>
        <w:tc>
          <w:tcPr>
            <w:tcW w:w="1460" w:type="dxa"/>
            <w:shd w:val="clear" w:color="auto" w:fill="auto"/>
            <w:noWrap/>
            <w:vAlign w:val="bottom"/>
          </w:tcPr>
          <w:p w14:paraId="566EE3A9" w14:textId="77777777" w:rsidR="002005EE" w:rsidRPr="00AF4B06" w:rsidRDefault="002005EE" w:rsidP="002342CF">
            <w:pPr>
              <w:spacing w:after="0" w:line="240" w:lineRule="auto"/>
              <w:jc w:val="center"/>
              <w:rPr>
                <w:rFonts w:ascii="Arial" w:eastAsia="Times New Roman" w:hAnsi="Arial" w:cs="Arial"/>
              </w:rPr>
            </w:pPr>
          </w:p>
        </w:tc>
      </w:tr>
      <w:tr w:rsidR="00AF4B06" w:rsidRPr="00AF4B06" w14:paraId="6F37C782" w14:textId="77777777" w:rsidTr="002342CF">
        <w:trPr>
          <w:trHeight w:val="300"/>
        </w:trPr>
        <w:tc>
          <w:tcPr>
            <w:tcW w:w="4840" w:type="dxa"/>
            <w:shd w:val="clear" w:color="auto" w:fill="auto"/>
            <w:noWrap/>
            <w:vAlign w:val="bottom"/>
            <w:hideMark/>
          </w:tcPr>
          <w:p w14:paraId="3D57404B"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Age (years)</w:t>
            </w:r>
          </w:p>
        </w:tc>
        <w:tc>
          <w:tcPr>
            <w:tcW w:w="1460" w:type="dxa"/>
            <w:vAlign w:val="bottom"/>
          </w:tcPr>
          <w:p w14:paraId="574A4E64"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27.1 ± 6.0</w:t>
            </w:r>
          </w:p>
        </w:tc>
        <w:tc>
          <w:tcPr>
            <w:tcW w:w="1460" w:type="dxa"/>
            <w:vAlign w:val="bottom"/>
          </w:tcPr>
          <w:p w14:paraId="58AE47AA"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27.0 ± 6.1</w:t>
            </w:r>
          </w:p>
        </w:tc>
        <w:tc>
          <w:tcPr>
            <w:tcW w:w="1460" w:type="dxa"/>
            <w:shd w:val="clear" w:color="auto" w:fill="auto"/>
            <w:noWrap/>
            <w:vAlign w:val="bottom"/>
          </w:tcPr>
          <w:p w14:paraId="31002FD5"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0.759</w:t>
            </w:r>
          </w:p>
        </w:tc>
      </w:tr>
      <w:tr w:rsidR="00AF4B06" w:rsidRPr="00AF4B06" w14:paraId="772048E9" w14:textId="77777777" w:rsidTr="002342CF">
        <w:trPr>
          <w:trHeight w:val="300"/>
        </w:trPr>
        <w:tc>
          <w:tcPr>
            <w:tcW w:w="4840" w:type="dxa"/>
            <w:shd w:val="clear" w:color="auto" w:fill="auto"/>
            <w:noWrap/>
            <w:vAlign w:val="bottom"/>
            <w:hideMark/>
          </w:tcPr>
          <w:p w14:paraId="49EDAADB"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Maternal height (cm)</w:t>
            </w:r>
          </w:p>
        </w:tc>
        <w:tc>
          <w:tcPr>
            <w:tcW w:w="1460" w:type="dxa"/>
            <w:vAlign w:val="bottom"/>
          </w:tcPr>
          <w:p w14:paraId="3DC06B4D"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150.4 ± 5.1</w:t>
            </w:r>
          </w:p>
        </w:tc>
        <w:tc>
          <w:tcPr>
            <w:tcW w:w="1460" w:type="dxa"/>
            <w:vAlign w:val="bottom"/>
          </w:tcPr>
          <w:p w14:paraId="19E1375A"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150.7 ± 5.4</w:t>
            </w:r>
          </w:p>
        </w:tc>
        <w:tc>
          <w:tcPr>
            <w:tcW w:w="1460" w:type="dxa"/>
            <w:shd w:val="clear" w:color="auto" w:fill="auto"/>
            <w:noWrap/>
            <w:vAlign w:val="bottom"/>
          </w:tcPr>
          <w:p w14:paraId="70152B05"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0.300</w:t>
            </w:r>
          </w:p>
        </w:tc>
      </w:tr>
      <w:tr w:rsidR="00AF4B06" w:rsidRPr="00AF4B06" w14:paraId="5BF6CF6F" w14:textId="77777777" w:rsidTr="002342CF">
        <w:trPr>
          <w:trHeight w:val="300"/>
        </w:trPr>
        <w:tc>
          <w:tcPr>
            <w:tcW w:w="4840" w:type="dxa"/>
            <w:shd w:val="clear" w:color="auto" w:fill="auto"/>
            <w:noWrap/>
            <w:vAlign w:val="bottom"/>
            <w:hideMark/>
          </w:tcPr>
          <w:p w14:paraId="2C9A1AA4"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Maternal BMI (kg/m</w:t>
            </w:r>
            <w:r w:rsidRPr="00AF4B06">
              <w:rPr>
                <w:rFonts w:ascii="Arial" w:eastAsia="Times New Roman" w:hAnsi="Arial" w:cs="Arial"/>
                <w:vertAlign w:val="superscript"/>
              </w:rPr>
              <w:t>2</w:t>
            </w:r>
            <w:r w:rsidRPr="00AF4B06">
              <w:rPr>
                <w:rFonts w:ascii="Arial" w:eastAsia="Times New Roman" w:hAnsi="Arial" w:cs="Arial"/>
              </w:rPr>
              <w:t>)</w:t>
            </w:r>
          </w:p>
        </w:tc>
        <w:tc>
          <w:tcPr>
            <w:tcW w:w="1460" w:type="dxa"/>
            <w:vAlign w:val="bottom"/>
          </w:tcPr>
          <w:p w14:paraId="2EFCD321"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21.5 ± 2.7</w:t>
            </w:r>
          </w:p>
        </w:tc>
        <w:tc>
          <w:tcPr>
            <w:tcW w:w="1460" w:type="dxa"/>
            <w:vAlign w:val="bottom"/>
          </w:tcPr>
          <w:p w14:paraId="343C72C1"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21.4 ± 3.0</w:t>
            </w:r>
          </w:p>
        </w:tc>
        <w:tc>
          <w:tcPr>
            <w:tcW w:w="1460" w:type="dxa"/>
            <w:shd w:val="clear" w:color="auto" w:fill="auto"/>
            <w:noWrap/>
            <w:vAlign w:val="bottom"/>
          </w:tcPr>
          <w:p w14:paraId="0E0B20D2"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0.512</w:t>
            </w:r>
          </w:p>
        </w:tc>
      </w:tr>
      <w:tr w:rsidR="00AF4B06" w:rsidRPr="00AF4B06" w14:paraId="5D4557DF" w14:textId="77777777" w:rsidTr="002342CF">
        <w:trPr>
          <w:trHeight w:val="300"/>
        </w:trPr>
        <w:tc>
          <w:tcPr>
            <w:tcW w:w="4840" w:type="dxa"/>
            <w:shd w:val="clear" w:color="auto" w:fill="auto"/>
            <w:noWrap/>
            <w:vAlign w:val="bottom"/>
            <w:hideMark/>
          </w:tcPr>
          <w:p w14:paraId="2680C98A"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Years of education</w:t>
            </w:r>
          </w:p>
        </w:tc>
        <w:tc>
          <w:tcPr>
            <w:tcW w:w="1460" w:type="dxa"/>
            <w:vAlign w:val="bottom"/>
          </w:tcPr>
          <w:p w14:paraId="35C08268"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4.7 ± 3.5</w:t>
            </w:r>
          </w:p>
        </w:tc>
        <w:tc>
          <w:tcPr>
            <w:tcW w:w="1460" w:type="dxa"/>
            <w:vAlign w:val="bottom"/>
          </w:tcPr>
          <w:p w14:paraId="3557B05D"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4.6 ± 3.5</w:t>
            </w:r>
          </w:p>
        </w:tc>
        <w:tc>
          <w:tcPr>
            <w:tcW w:w="1460" w:type="dxa"/>
            <w:shd w:val="clear" w:color="auto" w:fill="auto"/>
            <w:noWrap/>
            <w:vAlign w:val="bottom"/>
          </w:tcPr>
          <w:p w14:paraId="0015BECC"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0.766</w:t>
            </w:r>
          </w:p>
        </w:tc>
      </w:tr>
      <w:tr w:rsidR="00AF4B06" w:rsidRPr="00AF4B06" w14:paraId="49BCF86E" w14:textId="77777777" w:rsidTr="002342CF">
        <w:trPr>
          <w:trHeight w:val="300"/>
        </w:trPr>
        <w:tc>
          <w:tcPr>
            <w:tcW w:w="4840" w:type="dxa"/>
            <w:shd w:val="clear" w:color="auto" w:fill="auto"/>
            <w:noWrap/>
            <w:vAlign w:val="bottom"/>
            <w:hideMark/>
          </w:tcPr>
          <w:p w14:paraId="4848F5F5"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Buddhist, %</w:t>
            </w:r>
          </w:p>
        </w:tc>
        <w:tc>
          <w:tcPr>
            <w:tcW w:w="1460" w:type="dxa"/>
            <w:vAlign w:val="bottom"/>
          </w:tcPr>
          <w:p w14:paraId="3210875B"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87.1</w:t>
            </w:r>
          </w:p>
        </w:tc>
        <w:tc>
          <w:tcPr>
            <w:tcW w:w="1460" w:type="dxa"/>
            <w:vAlign w:val="bottom"/>
          </w:tcPr>
          <w:p w14:paraId="3F256F3F"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90.1</w:t>
            </w:r>
          </w:p>
        </w:tc>
        <w:tc>
          <w:tcPr>
            <w:tcW w:w="1460" w:type="dxa"/>
            <w:shd w:val="clear" w:color="auto" w:fill="auto"/>
            <w:noWrap/>
            <w:vAlign w:val="bottom"/>
          </w:tcPr>
          <w:p w14:paraId="1A299EC7"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0.161</w:t>
            </w:r>
          </w:p>
        </w:tc>
      </w:tr>
      <w:tr w:rsidR="00AF4B06" w:rsidRPr="00AF4B06" w14:paraId="4B5BE55A" w14:textId="77777777" w:rsidTr="002342CF">
        <w:trPr>
          <w:trHeight w:val="300"/>
        </w:trPr>
        <w:tc>
          <w:tcPr>
            <w:tcW w:w="4840" w:type="dxa"/>
            <w:shd w:val="clear" w:color="auto" w:fill="auto"/>
            <w:noWrap/>
            <w:vAlign w:val="bottom"/>
            <w:hideMark/>
          </w:tcPr>
          <w:p w14:paraId="71938061"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Married, %</w:t>
            </w:r>
          </w:p>
        </w:tc>
        <w:tc>
          <w:tcPr>
            <w:tcW w:w="1460" w:type="dxa"/>
            <w:vAlign w:val="bottom"/>
          </w:tcPr>
          <w:p w14:paraId="42B10312"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97.3</w:t>
            </w:r>
          </w:p>
        </w:tc>
        <w:tc>
          <w:tcPr>
            <w:tcW w:w="1460" w:type="dxa"/>
            <w:vAlign w:val="bottom"/>
          </w:tcPr>
          <w:p w14:paraId="1BCFB0DE"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95.3</w:t>
            </w:r>
          </w:p>
        </w:tc>
        <w:tc>
          <w:tcPr>
            <w:tcW w:w="1460" w:type="dxa"/>
            <w:shd w:val="clear" w:color="auto" w:fill="auto"/>
            <w:noWrap/>
            <w:vAlign w:val="bottom"/>
          </w:tcPr>
          <w:p w14:paraId="09C0FAA3"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0.068</w:t>
            </w:r>
          </w:p>
        </w:tc>
      </w:tr>
      <w:tr w:rsidR="00AF4B06" w:rsidRPr="00AF4B06" w14:paraId="35E91986" w14:textId="77777777" w:rsidTr="002342CF">
        <w:trPr>
          <w:trHeight w:val="300"/>
        </w:trPr>
        <w:tc>
          <w:tcPr>
            <w:tcW w:w="4840" w:type="dxa"/>
            <w:shd w:val="clear" w:color="auto" w:fill="auto"/>
            <w:noWrap/>
            <w:vAlign w:val="bottom"/>
            <w:hideMark/>
          </w:tcPr>
          <w:p w14:paraId="1F7A98FF"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Households</w:t>
            </w:r>
          </w:p>
        </w:tc>
        <w:tc>
          <w:tcPr>
            <w:tcW w:w="1460" w:type="dxa"/>
            <w:vAlign w:val="bottom"/>
          </w:tcPr>
          <w:p w14:paraId="3D4C264F" w14:textId="77777777" w:rsidR="002005EE" w:rsidRPr="00AF4B06" w:rsidRDefault="002005EE" w:rsidP="002342CF">
            <w:pPr>
              <w:spacing w:after="0" w:line="240" w:lineRule="auto"/>
              <w:jc w:val="center"/>
              <w:rPr>
                <w:rFonts w:ascii="Arial" w:eastAsia="Times New Roman" w:hAnsi="Arial" w:cs="Arial"/>
              </w:rPr>
            </w:pPr>
          </w:p>
        </w:tc>
        <w:tc>
          <w:tcPr>
            <w:tcW w:w="1460" w:type="dxa"/>
            <w:vAlign w:val="bottom"/>
          </w:tcPr>
          <w:p w14:paraId="2D667CF7" w14:textId="77777777" w:rsidR="002005EE" w:rsidRPr="00AF4B06" w:rsidRDefault="002005EE" w:rsidP="002342CF">
            <w:pPr>
              <w:spacing w:after="0" w:line="240" w:lineRule="auto"/>
              <w:jc w:val="center"/>
              <w:rPr>
                <w:rFonts w:ascii="Arial" w:eastAsia="Times New Roman" w:hAnsi="Arial" w:cs="Arial"/>
              </w:rPr>
            </w:pPr>
          </w:p>
        </w:tc>
        <w:tc>
          <w:tcPr>
            <w:tcW w:w="1460" w:type="dxa"/>
            <w:shd w:val="clear" w:color="auto" w:fill="auto"/>
            <w:noWrap/>
            <w:vAlign w:val="bottom"/>
          </w:tcPr>
          <w:p w14:paraId="4FD4E885" w14:textId="77777777" w:rsidR="002005EE" w:rsidRPr="00AF4B06" w:rsidRDefault="002005EE" w:rsidP="002342CF">
            <w:pPr>
              <w:spacing w:after="0" w:line="240" w:lineRule="auto"/>
              <w:jc w:val="center"/>
              <w:rPr>
                <w:rFonts w:ascii="Arial" w:eastAsia="Times New Roman" w:hAnsi="Arial" w:cs="Arial"/>
              </w:rPr>
            </w:pPr>
          </w:p>
        </w:tc>
      </w:tr>
      <w:tr w:rsidR="00AF4B06" w:rsidRPr="00AF4B06" w14:paraId="6B1BF557" w14:textId="77777777" w:rsidTr="002342CF">
        <w:trPr>
          <w:trHeight w:val="300"/>
        </w:trPr>
        <w:tc>
          <w:tcPr>
            <w:tcW w:w="4840" w:type="dxa"/>
            <w:shd w:val="clear" w:color="auto" w:fill="auto"/>
            <w:noWrap/>
            <w:vAlign w:val="bottom"/>
            <w:hideMark/>
          </w:tcPr>
          <w:p w14:paraId="4A84F009" w14:textId="5588AC4A" w:rsidR="002005EE" w:rsidRPr="00AF4B06" w:rsidRDefault="002005EE" w:rsidP="002342CF">
            <w:pPr>
              <w:spacing w:after="0" w:line="240" w:lineRule="auto"/>
              <w:rPr>
                <w:rFonts w:ascii="Arial" w:eastAsia="Times New Roman" w:hAnsi="Arial" w:cs="Arial"/>
                <w:vertAlign w:val="superscript"/>
              </w:rPr>
            </w:pPr>
            <w:r w:rsidRPr="00AF4B06">
              <w:rPr>
                <w:rFonts w:ascii="Arial" w:eastAsia="Times New Roman" w:hAnsi="Arial" w:cs="Arial"/>
              </w:rPr>
              <w:t xml:space="preserve"> Food </w:t>
            </w:r>
            <w:proofErr w:type="spellStart"/>
            <w:r w:rsidRPr="00AF4B06">
              <w:rPr>
                <w:rFonts w:ascii="Arial" w:eastAsia="Times New Roman" w:hAnsi="Arial" w:cs="Arial"/>
              </w:rPr>
              <w:t>secure</w:t>
            </w:r>
            <w:r w:rsidR="00A45763" w:rsidRPr="00AF4B06">
              <w:rPr>
                <w:rFonts w:ascii="Arial" w:eastAsia="Times New Roman" w:hAnsi="Arial" w:cs="Arial"/>
                <w:sz w:val="24"/>
                <w:szCs w:val="24"/>
                <w:vertAlign w:val="superscript"/>
              </w:rPr>
              <w:t>ǁ</w:t>
            </w:r>
            <w:proofErr w:type="spellEnd"/>
            <w:r w:rsidRPr="00AF4B06">
              <w:rPr>
                <w:rFonts w:ascii="Arial" w:eastAsia="Times New Roman" w:hAnsi="Arial" w:cs="Arial"/>
              </w:rPr>
              <w:t>, %</w:t>
            </w:r>
          </w:p>
        </w:tc>
        <w:tc>
          <w:tcPr>
            <w:tcW w:w="1460" w:type="dxa"/>
            <w:vAlign w:val="bottom"/>
          </w:tcPr>
          <w:p w14:paraId="68F9789C"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32.6</w:t>
            </w:r>
          </w:p>
        </w:tc>
        <w:tc>
          <w:tcPr>
            <w:tcW w:w="1460" w:type="dxa"/>
            <w:vAlign w:val="bottom"/>
          </w:tcPr>
          <w:p w14:paraId="4594F5BA"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34.2</w:t>
            </w:r>
          </w:p>
        </w:tc>
        <w:tc>
          <w:tcPr>
            <w:tcW w:w="1460" w:type="dxa"/>
            <w:shd w:val="clear" w:color="auto" w:fill="auto"/>
            <w:noWrap/>
            <w:vAlign w:val="bottom"/>
          </w:tcPr>
          <w:p w14:paraId="7EA3C07A"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0.829</w:t>
            </w:r>
          </w:p>
        </w:tc>
      </w:tr>
      <w:tr w:rsidR="00AF4B06" w:rsidRPr="00AF4B06" w14:paraId="11508096" w14:textId="77777777" w:rsidTr="002342CF">
        <w:trPr>
          <w:trHeight w:val="300"/>
        </w:trPr>
        <w:tc>
          <w:tcPr>
            <w:tcW w:w="4840" w:type="dxa"/>
            <w:shd w:val="clear" w:color="auto" w:fill="auto"/>
            <w:noWrap/>
            <w:vAlign w:val="bottom"/>
            <w:hideMark/>
          </w:tcPr>
          <w:p w14:paraId="2A9FEF89"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Number of children under 5y </w:t>
            </w:r>
          </w:p>
        </w:tc>
        <w:tc>
          <w:tcPr>
            <w:tcW w:w="1460" w:type="dxa"/>
            <w:vAlign w:val="bottom"/>
          </w:tcPr>
          <w:p w14:paraId="54B52805"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1.4 ± 0.6</w:t>
            </w:r>
          </w:p>
        </w:tc>
        <w:tc>
          <w:tcPr>
            <w:tcW w:w="1460" w:type="dxa"/>
            <w:vAlign w:val="bottom"/>
          </w:tcPr>
          <w:p w14:paraId="44CD2C12"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1.5 ± 0.7</w:t>
            </w:r>
          </w:p>
        </w:tc>
        <w:tc>
          <w:tcPr>
            <w:tcW w:w="1460" w:type="dxa"/>
            <w:shd w:val="clear" w:color="auto" w:fill="auto"/>
            <w:noWrap/>
            <w:vAlign w:val="bottom"/>
          </w:tcPr>
          <w:p w14:paraId="0E2089BB"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0.446</w:t>
            </w:r>
          </w:p>
        </w:tc>
      </w:tr>
      <w:tr w:rsidR="00AF4B06" w:rsidRPr="00AF4B06" w14:paraId="49A9AC80" w14:textId="77777777" w:rsidTr="002342CF">
        <w:trPr>
          <w:trHeight w:val="300"/>
        </w:trPr>
        <w:tc>
          <w:tcPr>
            <w:tcW w:w="4840" w:type="dxa"/>
            <w:shd w:val="clear" w:color="auto" w:fill="auto"/>
            <w:noWrap/>
            <w:vAlign w:val="bottom"/>
            <w:hideMark/>
          </w:tcPr>
          <w:p w14:paraId="5861B011"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Improved walls and floor, %</w:t>
            </w:r>
          </w:p>
        </w:tc>
        <w:tc>
          <w:tcPr>
            <w:tcW w:w="1460" w:type="dxa"/>
            <w:vAlign w:val="bottom"/>
          </w:tcPr>
          <w:p w14:paraId="36AC5125"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31.6</w:t>
            </w:r>
          </w:p>
        </w:tc>
        <w:tc>
          <w:tcPr>
            <w:tcW w:w="1460" w:type="dxa"/>
            <w:vAlign w:val="bottom"/>
          </w:tcPr>
          <w:p w14:paraId="0BB1D189"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32.1</w:t>
            </w:r>
          </w:p>
        </w:tc>
        <w:tc>
          <w:tcPr>
            <w:tcW w:w="1460" w:type="dxa"/>
            <w:shd w:val="clear" w:color="auto" w:fill="auto"/>
            <w:noWrap/>
            <w:vAlign w:val="bottom"/>
          </w:tcPr>
          <w:p w14:paraId="3FC0271F"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0.837</w:t>
            </w:r>
          </w:p>
        </w:tc>
      </w:tr>
      <w:tr w:rsidR="00AF4B06" w:rsidRPr="00AF4B06" w14:paraId="6CCDE414" w14:textId="77777777" w:rsidTr="002342CF">
        <w:trPr>
          <w:trHeight w:val="300"/>
        </w:trPr>
        <w:tc>
          <w:tcPr>
            <w:tcW w:w="4840" w:type="dxa"/>
            <w:shd w:val="clear" w:color="auto" w:fill="auto"/>
            <w:noWrap/>
            <w:vAlign w:val="bottom"/>
            <w:hideMark/>
          </w:tcPr>
          <w:p w14:paraId="0D4B74FB"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Number of rooms</w:t>
            </w:r>
          </w:p>
        </w:tc>
        <w:tc>
          <w:tcPr>
            <w:tcW w:w="1460" w:type="dxa"/>
            <w:vAlign w:val="bottom"/>
          </w:tcPr>
          <w:p w14:paraId="22D389CB"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2.5 ± 1.0</w:t>
            </w:r>
          </w:p>
        </w:tc>
        <w:tc>
          <w:tcPr>
            <w:tcW w:w="1460" w:type="dxa"/>
            <w:vAlign w:val="bottom"/>
          </w:tcPr>
          <w:p w14:paraId="2859E499"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2.5 ± 1.0</w:t>
            </w:r>
          </w:p>
        </w:tc>
        <w:tc>
          <w:tcPr>
            <w:tcW w:w="1460" w:type="dxa"/>
            <w:shd w:val="clear" w:color="auto" w:fill="auto"/>
            <w:noWrap/>
            <w:vAlign w:val="bottom"/>
          </w:tcPr>
          <w:p w14:paraId="1BA38FBC"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0.877</w:t>
            </w:r>
          </w:p>
        </w:tc>
      </w:tr>
      <w:tr w:rsidR="00AF4B06" w:rsidRPr="00AF4B06" w14:paraId="1ED82DE7" w14:textId="77777777" w:rsidTr="002342CF">
        <w:trPr>
          <w:trHeight w:val="300"/>
        </w:trPr>
        <w:tc>
          <w:tcPr>
            <w:tcW w:w="4840" w:type="dxa"/>
            <w:shd w:val="clear" w:color="auto" w:fill="auto"/>
            <w:noWrap/>
            <w:vAlign w:val="bottom"/>
            <w:hideMark/>
          </w:tcPr>
          <w:p w14:paraId="31B3C9BA" w14:textId="77777777" w:rsidR="002005EE" w:rsidRPr="00AF4B06" w:rsidRDefault="002005EE" w:rsidP="002342CF">
            <w:pPr>
              <w:spacing w:after="0" w:line="240" w:lineRule="auto"/>
              <w:rPr>
                <w:rFonts w:ascii="Arial" w:eastAsia="Times New Roman" w:hAnsi="Arial" w:cs="Arial"/>
              </w:rPr>
            </w:pPr>
            <w:r w:rsidRPr="00AF4B06">
              <w:rPr>
                <w:rFonts w:ascii="Arial" w:eastAsia="Times New Roman" w:hAnsi="Arial" w:cs="Arial"/>
              </w:rPr>
              <w:t xml:space="preserve"> Number of poultry owned</w:t>
            </w:r>
          </w:p>
        </w:tc>
        <w:tc>
          <w:tcPr>
            <w:tcW w:w="1460" w:type="dxa"/>
            <w:vAlign w:val="bottom"/>
          </w:tcPr>
          <w:p w14:paraId="594EC527"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9.3 ± 11.1</w:t>
            </w:r>
          </w:p>
        </w:tc>
        <w:tc>
          <w:tcPr>
            <w:tcW w:w="1460" w:type="dxa"/>
            <w:vAlign w:val="bottom"/>
          </w:tcPr>
          <w:p w14:paraId="3DEE482D"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9.4 ± 10.9</w:t>
            </w:r>
          </w:p>
        </w:tc>
        <w:tc>
          <w:tcPr>
            <w:tcW w:w="1460" w:type="dxa"/>
            <w:shd w:val="clear" w:color="auto" w:fill="auto"/>
            <w:noWrap/>
            <w:vAlign w:val="bottom"/>
          </w:tcPr>
          <w:p w14:paraId="7953CC79" w14:textId="77777777" w:rsidR="002005EE" w:rsidRPr="00AF4B06" w:rsidRDefault="002005EE" w:rsidP="002342CF">
            <w:pPr>
              <w:spacing w:after="0" w:line="240" w:lineRule="auto"/>
              <w:jc w:val="center"/>
              <w:rPr>
                <w:rFonts w:ascii="Arial" w:eastAsia="Times New Roman" w:hAnsi="Arial" w:cs="Arial"/>
              </w:rPr>
            </w:pPr>
            <w:r w:rsidRPr="00AF4B06">
              <w:rPr>
                <w:rFonts w:ascii="Arial" w:eastAsia="Times New Roman" w:hAnsi="Arial" w:cs="Arial"/>
              </w:rPr>
              <w:t>0.918</w:t>
            </w:r>
          </w:p>
        </w:tc>
      </w:tr>
    </w:tbl>
    <w:p w14:paraId="3857AB50" w14:textId="77777777" w:rsidR="00D064F7" w:rsidRPr="00AF4B06" w:rsidRDefault="00D064F7" w:rsidP="002005EE">
      <w:pPr>
        <w:pStyle w:val="NoSpacing"/>
        <w:rPr>
          <w:rFonts w:ascii="Arial" w:hAnsi="Arial" w:cs="Arial"/>
          <w:sz w:val="24"/>
          <w:szCs w:val="24"/>
        </w:rPr>
      </w:pPr>
    </w:p>
    <w:p w14:paraId="6665B8C7" w14:textId="67F6AED3" w:rsidR="002005EE" w:rsidRPr="00AF4B06" w:rsidRDefault="00D064F7" w:rsidP="002005EE">
      <w:pPr>
        <w:pStyle w:val="NoSpacing"/>
        <w:rPr>
          <w:rFonts w:ascii="Arial" w:eastAsia="Times New Roman" w:hAnsi="Arial" w:cs="Arial"/>
        </w:rPr>
      </w:pPr>
      <w:r w:rsidRPr="00AF4B06">
        <w:rPr>
          <w:rFonts w:ascii="Arial" w:hAnsi="Arial" w:cs="Arial"/>
          <w:sz w:val="24"/>
          <w:szCs w:val="24"/>
        </w:rPr>
        <w:t>*</w:t>
      </w:r>
      <w:r w:rsidR="00A45763" w:rsidRPr="00AF4B06">
        <w:rPr>
          <w:rFonts w:ascii="Arial" w:hAnsi="Arial" w:cs="Arial"/>
          <w:sz w:val="24"/>
          <w:szCs w:val="24"/>
        </w:rPr>
        <w:t xml:space="preserve"> </w:t>
      </w:r>
      <w:r w:rsidR="002005EE" w:rsidRPr="00AF4B06">
        <w:rPr>
          <w:rFonts w:ascii="Arial" w:hAnsi="Arial" w:cs="Arial"/>
        </w:rPr>
        <w:t xml:space="preserve">Values are Mean </w:t>
      </w:r>
      <w:r w:rsidR="002005EE" w:rsidRPr="00AF4B06">
        <w:rPr>
          <w:rFonts w:ascii="Arial" w:eastAsia="Times New Roman" w:hAnsi="Arial" w:cs="Arial"/>
        </w:rPr>
        <w:t>± SD or %.</w:t>
      </w:r>
    </w:p>
    <w:p w14:paraId="676E9D88" w14:textId="5B31A9A9" w:rsidR="002005EE" w:rsidRPr="00AF4B06" w:rsidRDefault="00D064F7" w:rsidP="002005EE">
      <w:pPr>
        <w:pStyle w:val="NoSpacing"/>
        <w:rPr>
          <w:rFonts w:ascii="Arial" w:eastAsia="Times New Roman" w:hAnsi="Arial" w:cs="Arial"/>
        </w:rPr>
      </w:pPr>
      <w:r w:rsidRPr="00AF4B06">
        <w:rPr>
          <w:rFonts w:ascii="Times New Roman" w:eastAsia="Times New Roman" w:hAnsi="Times New Roman"/>
          <w:sz w:val="20"/>
          <w:szCs w:val="20"/>
          <w:vertAlign w:val="superscript"/>
        </w:rPr>
        <w:t>†</w:t>
      </w:r>
      <w:r w:rsidR="00A45763" w:rsidRPr="00AF4B06">
        <w:rPr>
          <w:rFonts w:ascii="Times New Roman" w:eastAsia="Times New Roman" w:hAnsi="Times New Roman"/>
          <w:sz w:val="20"/>
          <w:szCs w:val="20"/>
          <w:vertAlign w:val="superscript"/>
        </w:rPr>
        <w:t xml:space="preserve"> </w:t>
      </w:r>
      <w:r w:rsidR="002005EE" w:rsidRPr="00AF4B06">
        <w:rPr>
          <w:rFonts w:ascii="Arial" w:eastAsia="Times New Roman" w:hAnsi="Arial" w:cs="Arial"/>
        </w:rPr>
        <w:t xml:space="preserve">Baseline infant and young child feeding (IYCF) practices during 24 </w:t>
      </w:r>
      <w:proofErr w:type="spellStart"/>
      <w:r w:rsidR="002005EE" w:rsidRPr="00AF4B06">
        <w:rPr>
          <w:rFonts w:ascii="Arial" w:eastAsia="Times New Roman" w:hAnsi="Arial" w:cs="Arial"/>
        </w:rPr>
        <w:t>hr</w:t>
      </w:r>
      <w:proofErr w:type="spellEnd"/>
      <w:r w:rsidR="002005EE" w:rsidRPr="00AF4B06">
        <w:rPr>
          <w:rFonts w:ascii="Arial" w:eastAsia="Times New Roman" w:hAnsi="Arial" w:cs="Arial"/>
        </w:rPr>
        <w:t xml:space="preserve"> prior to </w:t>
      </w:r>
      <w:proofErr w:type="gramStart"/>
      <w:r w:rsidR="002005EE" w:rsidRPr="00AF4B06">
        <w:rPr>
          <w:rFonts w:ascii="Arial" w:eastAsia="Times New Roman" w:hAnsi="Arial" w:cs="Arial"/>
        </w:rPr>
        <w:t>enrollment</w:t>
      </w:r>
      <w:r w:rsidR="00385816" w:rsidRPr="00385816">
        <w:rPr>
          <w:rFonts w:ascii="Arial" w:eastAsia="Times New Roman" w:hAnsi="Arial" w:cs="Arial"/>
          <w:vertAlign w:val="superscript"/>
        </w:rPr>
        <w:t>(</w:t>
      </w:r>
      <w:proofErr w:type="gramEnd"/>
      <w:r w:rsidR="00385816" w:rsidRPr="00385816">
        <w:rPr>
          <w:rFonts w:ascii="Arial" w:eastAsia="Times New Roman" w:hAnsi="Arial" w:cs="Arial"/>
          <w:vertAlign w:val="superscript"/>
        </w:rPr>
        <w:t>24-25)</w:t>
      </w:r>
      <w:r w:rsidR="002005EE" w:rsidRPr="00AF4B06">
        <w:rPr>
          <w:rFonts w:ascii="Arial" w:eastAsia="Times New Roman" w:hAnsi="Arial" w:cs="Arial"/>
        </w:rPr>
        <w:t xml:space="preserve">. </w:t>
      </w:r>
    </w:p>
    <w:p w14:paraId="199E522F" w14:textId="78E709FC" w:rsidR="002005EE" w:rsidRPr="00AF4B06" w:rsidRDefault="00A45763" w:rsidP="002005EE">
      <w:pPr>
        <w:pStyle w:val="NoSpacing"/>
        <w:rPr>
          <w:rFonts w:ascii="Arial" w:eastAsia="Times New Roman" w:hAnsi="Arial" w:cs="Arial"/>
        </w:rPr>
      </w:pPr>
      <w:r w:rsidRPr="00AF4B06">
        <w:rPr>
          <w:rFonts w:ascii="Times New Roman" w:eastAsia="Times New Roman" w:hAnsi="Times New Roman"/>
          <w:sz w:val="20"/>
          <w:szCs w:val="20"/>
          <w:vertAlign w:val="superscript"/>
        </w:rPr>
        <w:t>‡</w:t>
      </w:r>
      <w:r w:rsidR="002005EE" w:rsidRPr="00AF4B06">
        <w:rPr>
          <w:rFonts w:ascii="Arial" w:eastAsia="Times New Roman" w:hAnsi="Arial" w:cs="Arial"/>
          <w:vertAlign w:val="superscript"/>
        </w:rPr>
        <w:t xml:space="preserve"> </w:t>
      </w:r>
      <w:r w:rsidR="002005EE" w:rsidRPr="00AF4B06">
        <w:rPr>
          <w:rFonts w:ascii="Arial" w:eastAsia="Times New Roman" w:hAnsi="Arial" w:cs="Arial"/>
        </w:rPr>
        <w:t xml:space="preserve">IYCF practices assessed every four weeks throughout the </w:t>
      </w:r>
      <w:proofErr w:type="gramStart"/>
      <w:r w:rsidR="002005EE" w:rsidRPr="00AF4B06">
        <w:rPr>
          <w:rFonts w:ascii="Arial" w:eastAsia="Times New Roman" w:hAnsi="Arial" w:cs="Arial"/>
        </w:rPr>
        <w:t>study</w:t>
      </w:r>
      <w:r w:rsidR="00385816" w:rsidRPr="00385816">
        <w:rPr>
          <w:rFonts w:ascii="Arial" w:eastAsia="Times New Roman" w:hAnsi="Arial" w:cs="Arial"/>
          <w:vertAlign w:val="superscript"/>
        </w:rPr>
        <w:t>(</w:t>
      </w:r>
      <w:proofErr w:type="gramEnd"/>
      <w:r w:rsidR="00385816" w:rsidRPr="00385816">
        <w:rPr>
          <w:rFonts w:ascii="Arial" w:eastAsia="Times New Roman" w:hAnsi="Arial" w:cs="Arial"/>
          <w:vertAlign w:val="superscript"/>
        </w:rPr>
        <w:t>24-25)</w:t>
      </w:r>
      <w:r w:rsidR="002005EE" w:rsidRPr="00AF4B06">
        <w:rPr>
          <w:rFonts w:ascii="Arial" w:eastAsia="Times New Roman" w:hAnsi="Arial" w:cs="Arial"/>
        </w:rPr>
        <w:t xml:space="preserve">; proportion of observed days with the positive feeding behavior during study. </w:t>
      </w:r>
    </w:p>
    <w:p w14:paraId="69C39E80" w14:textId="7E70F731" w:rsidR="002005EE" w:rsidRPr="00AF4B06" w:rsidRDefault="00A45763" w:rsidP="002005EE">
      <w:pPr>
        <w:pStyle w:val="NoSpacing"/>
        <w:rPr>
          <w:rFonts w:ascii="Arial" w:eastAsia="Times New Roman" w:hAnsi="Arial" w:cs="Arial"/>
        </w:rPr>
      </w:pPr>
      <w:r w:rsidRPr="00AF4B06">
        <w:rPr>
          <w:rFonts w:ascii="Arial" w:hAnsi="Arial" w:cs="Arial"/>
          <w:vertAlign w:val="superscript"/>
        </w:rPr>
        <w:t>§</w:t>
      </w:r>
      <w:r w:rsidR="002005EE" w:rsidRPr="00AF4B06">
        <w:rPr>
          <w:rFonts w:ascii="Arial" w:eastAsia="Times New Roman" w:hAnsi="Arial" w:cs="Arial"/>
          <w:vertAlign w:val="superscript"/>
        </w:rPr>
        <w:t xml:space="preserve"> </w:t>
      </w:r>
      <w:r w:rsidR="002005EE" w:rsidRPr="00AF4B06">
        <w:rPr>
          <w:rFonts w:ascii="Arial" w:eastAsia="Times New Roman" w:hAnsi="Arial" w:cs="Arial"/>
        </w:rPr>
        <w:t xml:space="preserve">Iron rich foods did not include the MNP provided by the study. </w:t>
      </w:r>
    </w:p>
    <w:p w14:paraId="10A49501" w14:textId="6BC3F308" w:rsidR="002005EE" w:rsidRPr="00AF4B06" w:rsidRDefault="00A45763" w:rsidP="002005EE">
      <w:pPr>
        <w:pStyle w:val="NoSpacing"/>
        <w:rPr>
          <w:rFonts w:ascii="Arial" w:eastAsia="Times New Roman" w:hAnsi="Arial" w:cs="Arial"/>
        </w:rPr>
      </w:pPr>
      <w:r w:rsidRPr="00AF4B06">
        <w:rPr>
          <w:rFonts w:ascii="Arial" w:eastAsia="Times New Roman" w:hAnsi="Arial" w:cs="Arial"/>
          <w:sz w:val="24"/>
          <w:szCs w:val="24"/>
          <w:vertAlign w:val="superscript"/>
        </w:rPr>
        <w:t>ǁ</w:t>
      </w:r>
      <w:r w:rsidR="002005EE" w:rsidRPr="00AF4B06">
        <w:rPr>
          <w:rFonts w:ascii="Arial" w:eastAsia="Times New Roman" w:hAnsi="Arial" w:cs="Arial"/>
        </w:rPr>
        <w:t xml:space="preserve"> Food security assessed using the Household Food Insecurity Access </w:t>
      </w:r>
      <w:proofErr w:type="gramStart"/>
      <w:r w:rsidR="002005EE" w:rsidRPr="00AF4B06">
        <w:rPr>
          <w:rFonts w:ascii="Arial" w:eastAsia="Times New Roman" w:hAnsi="Arial" w:cs="Arial"/>
        </w:rPr>
        <w:t>Scale</w:t>
      </w:r>
      <w:r w:rsidR="00385816">
        <w:rPr>
          <w:rFonts w:ascii="Arial" w:eastAsia="Times New Roman" w:hAnsi="Arial" w:cs="Arial"/>
          <w:vertAlign w:val="superscript"/>
        </w:rPr>
        <w:t>(</w:t>
      </w:r>
      <w:proofErr w:type="gramEnd"/>
      <w:r w:rsidR="00385816">
        <w:rPr>
          <w:rFonts w:ascii="Arial" w:eastAsia="Times New Roman" w:hAnsi="Arial" w:cs="Arial"/>
          <w:vertAlign w:val="superscript"/>
        </w:rPr>
        <w:t>21</w:t>
      </w:r>
      <w:r w:rsidR="00385816" w:rsidRPr="00385816">
        <w:rPr>
          <w:rFonts w:ascii="Arial" w:eastAsia="Times New Roman" w:hAnsi="Arial" w:cs="Arial"/>
          <w:vertAlign w:val="superscript"/>
        </w:rPr>
        <w:t>)</w:t>
      </w:r>
      <w:r w:rsidR="002005EE" w:rsidRPr="00AF4B06">
        <w:rPr>
          <w:rFonts w:ascii="Arial" w:eastAsia="Times New Roman" w:hAnsi="Arial" w:cs="Arial"/>
        </w:rPr>
        <w:t>.</w:t>
      </w:r>
    </w:p>
    <w:p w14:paraId="14F50E8C" w14:textId="77777777" w:rsidR="002005EE" w:rsidRPr="00AF4B06" w:rsidRDefault="002005EE" w:rsidP="002005EE">
      <w:pPr>
        <w:rPr>
          <w:rFonts w:ascii="Arial" w:hAnsi="Arial" w:cs="Arial"/>
        </w:rPr>
      </w:pPr>
    </w:p>
    <w:p w14:paraId="79D016A3" w14:textId="77777777" w:rsidR="002005EE" w:rsidRPr="00AF4B06" w:rsidRDefault="002005EE" w:rsidP="00573E37">
      <w:pPr>
        <w:pStyle w:val="BodyText"/>
        <w:rPr>
          <w:sz w:val="24"/>
          <w:szCs w:val="24"/>
        </w:rPr>
      </w:pPr>
    </w:p>
    <w:p w14:paraId="7F117716" w14:textId="77777777" w:rsidR="002005EE" w:rsidRPr="00AF4B06" w:rsidRDefault="002005EE" w:rsidP="00573E37">
      <w:pPr>
        <w:pStyle w:val="BodyText"/>
        <w:rPr>
          <w:sz w:val="24"/>
          <w:szCs w:val="24"/>
        </w:rPr>
      </w:pPr>
    </w:p>
    <w:p w14:paraId="685B70FA" w14:textId="77777777" w:rsidR="002005EE" w:rsidRPr="00AF4B06" w:rsidRDefault="002005EE" w:rsidP="00573E37">
      <w:pPr>
        <w:pStyle w:val="BodyText"/>
        <w:rPr>
          <w:sz w:val="24"/>
          <w:szCs w:val="24"/>
        </w:rPr>
      </w:pPr>
    </w:p>
    <w:p w14:paraId="170A1B90" w14:textId="77777777" w:rsidR="002005EE" w:rsidRPr="00AF4B06" w:rsidRDefault="002005EE" w:rsidP="00573E37">
      <w:pPr>
        <w:pStyle w:val="BodyText"/>
        <w:rPr>
          <w:sz w:val="24"/>
          <w:szCs w:val="24"/>
        </w:rPr>
        <w:sectPr w:rsidR="002005EE" w:rsidRPr="00AF4B06" w:rsidSect="00C35CA9">
          <w:headerReference w:type="default" r:id="rId8"/>
          <w:pgSz w:w="12240" w:h="15840"/>
          <w:pgMar w:top="1440" w:right="1440" w:bottom="1440" w:left="1440" w:header="720" w:footer="720" w:gutter="0"/>
          <w:cols w:space="720"/>
          <w:docGrid w:linePitch="360"/>
        </w:sectPr>
      </w:pPr>
    </w:p>
    <w:p w14:paraId="0116497A" w14:textId="1F9054C9" w:rsidR="00573E37" w:rsidRPr="00AF4B06" w:rsidRDefault="00573E37" w:rsidP="00573E37">
      <w:pPr>
        <w:pStyle w:val="BodyText"/>
        <w:rPr>
          <w:sz w:val="24"/>
          <w:szCs w:val="24"/>
          <w:vertAlign w:val="superscript"/>
        </w:rPr>
      </w:pPr>
      <w:r w:rsidRPr="00AF4B06">
        <w:rPr>
          <w:sz w:val="24"/>
          <w:szCs w:val="24"/>
        </w:rPr>
        <w:lastRenderedPageBreak/>
        <w:t xml:space="preserve">Supplementary Table </w:t>
      </w:r>
      <w:r w:rsidR="00961029" w:rsidRPr="00AF4B06">
        <w:rPr>
          <w:sz w:val="24"/>
          <w:szCs w:val="24"/>
        </w:rPr>
        <w:t>S2</w:t>
      </w:r>
      <w:r w:rsidRPr="00AF4B06">
        <w:rPr>
          <w:sz w:val="24"/>
          <w:szCs w:val="24"/>
        </w:rPr>
        <w:t>: Effect of a low iron, high zinc MNP on hemoglobin and iron status among young children in the Lao Zinc Study*</w:t>
      </w:r>
    </w:p>
    <w:p w14:paraId="4F0D7ACD" w14:textId="77777777" w:rsidR="00573E37" w:rsidRPr="00AF4B06" w:rsidRDefault="00573E37" w:rsidP="00573E37">
      <w:pPr>
        <w:pStyle w:val="BodyText"/>
        <w:rPr>
          <w:sz w:val="24"/>
          <w:szCs w:val="24"/>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850"/>
        <w:gridCol w:w="1850"/>
        <w:gridCol w:w="1850"/>
        <w:gridCol w:w="1850"/>
        <w:gridCol w:w="1995"/>
        <w:gridCol w:w="1890"/>
      </w:tblGrid>
      <w:tr w:rsidR="00AF4B06" w:rsidRPr="00AF4B06" w14:paraId="44B17128" w14:textId="77777777" w:rsidTr="00961029">
        <w:tc>
          <w:tcPr>
            <w:tcW w:w="1850" w:type="dxa"/>
          </w:tcPr>
          <w:p w14:paraId="532CEE21" w14:textId="77777777" w:rsidR="00573E37" w:rsidRPr="00AF4B06" w:rsidRDefault="00573E37" w:rsidP="00961029">
            <w:pPr>
              <w:rPr>
                <w:rFonts w:ascii="Arial" w:hAnsi="Arial" w:cs="Arial"/>
              </w:rPr>
            </w:pPr>
          </w:p>
        </w:tc>
        <w:tc>
          <w:tcPr>
            <w:tcW w:w="3700" w:type="dxa"/>
            <w:gridSpan w:val="2"/>
          </w:tcPr>
          <w:p w14:paraId="7DB83D41" w14:textId="77777777" w:rsidR="00573E37" w:rsidRPr="00AF4B06" w:rsidRDefault="00573E37" w:rsidP="00961029">
            <w:pPr>
              <w:jc w:val="center"/>
              <w:rPr>
                <w:rFonts w:ascii="Arial" w:hAnsi="Arial" w:cs="Arial"/>
              </w:rPr>
            </w:pPr>
            <w:r w:rsidRPr="00AF4B06">
              <w:rPr>
                <w:rFonts w:ascii="Arial" w:hAnsi="Arial" w:cs="Arial"/>
              </w:rPr>
              <w:t>MNP</w:t>
            </w:r>
          </w:p>
        </w:tc>
        <w:tc>
          <w:tcPr>
            <w:tcW w:w="3700" w:type="dxa"/>
            <w:gridSpan w:val="2"/>
          </w:tcPr>
          <w:p w14:paraId="2012DB94" w14:textId="77777777" w:rsidR="00573E37" w:rsidRPr="00AF4B06" w:rsidRDefault="00573E37" w:rsidP="00961029">
            <w:pPr>
              <w:jc w:val="center"/>
              <w:rPr>
                <w:rFonts w:ascii="Arial" w:hAnsi="Arial" w:cs="Arial"/>
              </w:rPr>
            </w:pPr>
            <w:r w:rsidRPr="00AF4B06">
              <w:rPr>
                <w:rFonts w:ascii="Arial" w:hAnsi="Arial" w:cs="Arial"/>
              </w:rPr>
              <w:t>Placebo</w:t>
            </w:r>
          </w:p>
        </w:tc>
        <w:tc>
          <w:tcPr>
            <w:tcW w:w="1995" w:type="dxa"/>
            <w:vMerge w:val="restart"/>
          </w:tcPr>
          <w:p w14:paraId="0E7E8513" w14:textId="77777777" w:rsidR="00573E37" w:rsidRPr="00AF4B06" w:rsidRDefault="00573E37" w:rsidP="00961029">
            <w:pPr>
              <w:jc w:val="center"/>
              <w:rPr>
                <w:rFonts w:ascii="Arial" w:hAnsi="Arial" w:cs="Arial"/>
              </w:rPr>
            </w:pPr>
            <w:r w:rsidRPr="00AF4B06">
              <w:rPr>
                <w:rFonts w:ascii="Arial" w:hAnsi="Arial" w:cs="Arial"/>
              </w:rPr>
              <w:t>Minimally adjusted</w:t>
            </w:r>
            <w:r w:rsidRPr="00AF4B06">
              <w:rPr>
                <w:rFonts w:ascii="Times New Roman" w:eastAsia="Times New Roman" w:hAnsi="Times New Roman"/>
                <w:sz w:val="20"/>
                <w:szCs w:val="20"/>
                <w:vertAlign w:val="superscript"/>
              </w:rPr>
              <w:t>†</w:t>
            </w:r>
            <w:r w:rsidRPr="00AF4B06">
              <w:rPr>
                <w:rFonts w:ascii="Arial" w:hAnsi="Arial" w:cs="Arial"/>
                <w:vertAlign w:val="superscript"/>
              </w:rPr>
              <w:t xml:space="preserve"> </w:t>
            </w:r>
            <w:r w:rsidRPr="00AF4B06">
              <w:rPr>
                <w:rFonts w:ascii="Arial" w:hAnsi="Arial" w:cs="Arial"/>
              </w:rPr>
              <w:t>comparison at endline (95% CI)</w:t>
            </w:r>
          </w:p>
        </w:tc>
        <w:tc>
          <w:tcPr>
            <w:tcW w:w="1890" w:type="dxa"/>
            <w:vMerge w:val="restart"/>
          </w:tcPr>
          <w:p w14:paraId="26C3E83F" w14:textId="77777777" w:rsidR="00573E37" w:rsidRPr="00AF4B06" w:rsidRDefault="00573E37" w:rsidP="00961029">
            <w:pPr>
              <w:jc w:val="center"/>
              <w:rPr>
                <w:rFonts w:ascii="Arial" w:hAnsi="Arial" w:cs="Arial"/>
              </w:rPr>
            </w:pPr>
            <w:r w:rsidRPr="00AF4B06">
              <w:rPr>
                <w:rFonts w:ascii="Arial" w:hAnsi="Arial" w:cs="Arial"/>
              </w:rPr>
              <w:t>Fully adjusted</w:t>
            </w:r>
            <w:r w:rsidRPr="00AF4B06">
              <w:rPr>
                <w:rFonts w:ascii="Times New Roman" w:eastAsia="Times New Roman" w:hAnsi="Times New Roman"/>
                <w:sz w:val="20"/>
                <w:szCs w:val="20"/>
                <w:vertAlign w:val="superscript"/>
              </w:rPr>
              <w:t>‡</w:t>
            </w:r>
            <w:r w:rsidRPr="00AF4B06">
              <w:rPr>
                <w:rFonts w:ascii="Arial" w:hAnsi="Arial" w:cs="Arial"/>
                <w:vertAlign w:val="superscript"/>
              </w:rPr>
              <w:t xml:space="preserve"> </w:t>
            </w:r>
            <w:r w:rsidRPr="00AF4B06">
              <w:rPr>
                <w:rFonts w:ascii="Arial" w:hAnsi="Arial" w:cs="Arial"/>
              </w:rPr>
              <w:t>comparison at endline (95% CI)</w:t>
            </w:r>
          </w:p>
        </w:tc>
      </w:tr>
      <w:tr w:rsidR="00AF4B06" w:rsidRPr="00AF4B06" w14:paraId="5B9CD5F9" w14:textId="77777777" w:rsidTr="00961029">
        <w:tc>
          <w:tcPr>
            <w:tcW w:w="1850" w:type="dxa"/>
          </w:tcPr>
          <w:p w14:paraId="664EF52E" w14:textId="77777777" w:rsidR="00573E37" w:rsidRPr="00AF4B06" w:rsidRDefault="00573E37" w:rsidP="00961029">
            <w:pPr>
              <w:rPr>
                <w:rFonts w:ascii="Arial" w:hAnsi="Arial" w:cs="Arial"/>
              </w:rPr>
            </w:pPr>
          </w:p>
        </w:tc>
        <w:tc>
          <w:tcPr>
            <w:tcW w:w="1850" w:type="dxa"/>
          </w:tcPr>
          <w:p w14:paraId="7E20C3E4" w14:textId="77777777" w:rsidR="00573E37" w:rsidRPr="00AF4B06" w:rsidRDefault="00573E37" w:rsidP="00961029">
            <w:pPr>
              <w:jc w:val="center"/>
              <w:rPr>
                <w:rFonts w:ascii="Arial" w:hAnsi="Arial" w:cs="Arial"/>
              </w:rPr>
            </w:pPr>
            <w:r w:rsidRPr="00AF4B06">
              <w:rPr>
                <w:rFonts w:ascii="Arial" w:hAnsi="Arial" w:cs="Arial"/>
              </w:rPr>
              <w:t>Baseline</w:t>
            </w:r>
          </w:p>
        </w:tc>
        <w:tc>
          <w:tcPr>
            <w:tcW w:w="1850" w:type="dxa"/>
          </w:tcPr>
          <w:p w14:paraId="4A080E65" w14:textId="77777777" w:rsidR="00573E37" w:rsidRPr="00AF4B06" w:rsidRDefault="00573E37" w:rsidP="00961029">
            <w:pPr>
              <w:jc w:val="center"/>
              <w:rPr>
                <w:rFonts w:ascii="Arial" w:hAnsi="Arial" w:cs="Arial"/>
              </w:rPr>
            </w:pPr>
            <w:r w:rsidRPr="00AF4B06">
              <w:rPr>
                <w:rFonts w:ascii="Arial" w:hAnsi="Arial" w:cs="Arial"/>
              </w:rPr>
              <w:t>Endline</w:t>
            </w:r>
          </w:p>
        </w:tc>
        <w:tc>
          <w:tcPr>
            <w:tcW w:w="1850" w:type="dxa"/>
          </w:tcPr>
          <w:p w14:paraId="321D093E" w14:textId="77777777" w:rsidR="00573E37" w:rsidRPr="00AF4B06" w:rsidRDefault="00573E37" w:rsidP="00961029">
            <w:pPr>
              <w:jc w:val="center"/>
              <w:rPr>
                <w:rFonts w:ascii="Arial" w:hAnsi="Arial" w:cs="Arial"/>
              </w:rPr>
            </w:pPr>
            <w:r w:rsidRPr="00AF4B06">
              <w:rPr>
                <w:rFonts w:ascii="Arial" w:hAnsi="Arial" w:cs="Arial"/>
              </w:rPr>
              <w:t>Baseline</w:t>
            </w:r>
          </w:p>
        </w:tc>
        <w:tc>
          <w:tcPr>
            <w:tcW w:w="1850" w:type="dxa"/>
          </w:tcPr>
          <w:p w14:paraId="1EF84D1E" w14:textId="77777777" w:rsidR="00573E37" w:rsidRPr="00AF4B06" w:rsidRDefault="00573E37" w:rsidP="00961029">
            <w:pPr>
              <w:jc w:val="center"/>
              <w:rPr>
                <w:rFonts w:ascii="Arial" w:hAnsi="Arial" w:cs="Arial"/>
              </w:rPr>
            </w:pPr>
            <w:r w:rsidRPr="00AF4B06">
              <w:rPr>
                <w:rFonts w:ascii="Arial" w:hAnsi="Arial" w:cs="Arial"/>
              </w:rPr>
              <w:t>Endline</w:t>
            </w:r>
          </w:p>
        </w:tc>
        <w:tc>
          <w:tcPr>
            <w:tcW w:w="1995" w:type="dxa"/>
            <w:vMerge/>
          </w:tcPr>
          <w:p w14:paraId="36B33737" w14:textId="77777777" w:rsidR="00573E37" w:rsidRPr="00AF4B06" w:rsidRDefault="00573E37" w:rsidP="00961029">
            <w:pPr>
              <w:jc w:val="center"/>
              <w:rPr>
                <w:rFonts w:ascii="Arial" w:hAnsi="Arial" w:cs="Arial"/>
              </w:rPr>
            </w:pPr>
          </w:p>
        </w:tc>
        <w:tc>
          <w:tcPr>
            <w:tcW w:w="1890" w:type="dxa"/>
            <w:vMerge/>
          </w:tcPr>
          <w:p w14:paraId="1459FF1E" w14:textId="77777777" w:rsidR="00573E37" w:rsidRPr="00AF4B06" w:rsidRDefault="00573E37" w:rsidP="00961029">
            <w:pPr>
              <w:jc w:val="center"/>
              <w:rPr>
                <w:rFonts w:ascii="Arial" w:hAnsi="Arial" w:cs="Arial"/>
              </w:rPr>
            </w:pPr>
          </w:p>
        </w:tc>
      </w:tr>
      <w:tr w:rsidR="00AF4B06" w:rsidRPr="00AF4B06" w14:paraId="3F07DFDB" w14:textId="77777777" w:rsidTr="00961029">
        <w:tc>
          <w:tcPr>
            <w:tcW w:w="1850" w:type="dxa"/>
          </w:tcPr>
          <w:p w14:paraId="2AC99484" w14:textId="77777777" w:rsidR="00573E37" w:rsidRPr="00AF4B06" w:rsidRDefault="00573E37" w:rsidP="00961029">
            <w:pPr>
              <w:rPr>
                <w:rFonts w:ascii="Arial" w:hAnsi="Arial" w:cs="Arial"/>
              </w:rPr>
            </w:pPr>
            <w:r w:rsidRPr="00AF4B06">
              <w:rPr>
                <w:rFonts w:ascii="Arial" w:hAnsi="Arial" w:cs="Arial"/>
                <w:b/>
              </w:rPr>
              <w:t>Hemoglobin, N</w:t>
            </w:r>
          </w:p>
        </w:tc>
        <w:tc>
          <w:tcPr>
            <w:tcW w:w="3700" w:type="dxa"/>
            <w:gridSpan w:val="2"/>
          </w:tcPr>
          <w:p w14:paraId="12534461" w14:textId="77777777" w:rsidR="00573E37" w:rsidRPr="00AF4B06" w:rsidRDefault="00573E37" w:rsidP="00961029">
            <w:pPr>
              <w:jc w:val="center"/>
              <w:rPr>
                <w:rFonts w:ascii="Arial" w:hAnsi="Arial" w:cs="Arial"/>
              </w:rPr>
            </w:pPr>
            <w:r w:rsidRPr="00AF4B06">
              <w:rPr>
                <w:rFonts w:ascii="Arial" w:hAnsi="Arial" w:cs="Arial"/>
              </w:rPr>
              <w:t>686</w:t>
            </w:r>
          </w:p>
        </w:tc>
        <w:tc>
          <w:tcPr>
            <w:tcW w:w="3700" w:type="dxa"/>
            <w:gridSpan w:val="2"/>
          </w:tcPr>
          <w:p w14:paraId="1F72E819" w14:textId="77777777" w:rsidR="00573E37" w:rsidRPr="00AF4B06" w:rsidRDefault="00573E37" w:rsidP="00961029">
            <w:pPr>
              <w:jc w:val="center"/>
              <w:rPr>
                <w:rFonts w:ascii="Arial" w:hAnsi="Arial" w:cs="Arial"/>
              </w:rPr>
            </w:pPr>
            <w:r w:rsidRPr="00AF4B06">
              <w:rPr>
                <w:rFonts w:ascii="Arial" w:hAnsi="Arial" w:cs="Arial"/>
              </w:rPr>
              <w:t>720</w:t>
            </w:r>
          </w:p>
        </w:tc>
        <w:tc>
          <w:tcPr>
            <w:tcW w:w="1995" w:type="dxa"/>
          </w:tcPr>
          <w:p w14:paraId="163EDD07" w14:textId="77777777" w:rsidR="00573E37" w:rsidRPr="00AF4B06" w:rsidRDefault="00573E37" w:rsidP="00961029">
            <w:pPr>
              <w:jc w:val="center"/>
              <w:rPr>
                <w:rFonts w:ascii="Arial" w:hAnsi="Arial" w:cs="Arial"/>
              </w:rPr>
            </w:pPr>
          </w:p>
        </w:tc>
        <w:tc>
          <w:tcPr>
            <w:tcW w:w="1890" w:type="dxa"/>
          </w:tcPr>
          <w:p w14:paraId="04B21623" w14:textId="77777777" w:rsidR="00573E37" w:rsidRPr="00AF4B06" w:rsidRDefault="00573E37" w:rsidP="00961029">
            <w:pPr>
              <w:jc w:val="center"/>
              <w:rPr>
                <w:rFonts w:ascii="Arial" w:hAnsi="Arial" w:cs="Arial"/>
              </w:rPr>
            </w:pPr>
          </w:p>
        </w:tc>
      </w:tr>
      <w:tr w:rsidR="00AF4B06" w:rsidRPr="00AF4B06" w14:paraId="02E12A0E" w14:textId="77777777" w:rsidTr="00961029">
        <w:trPr>
          <w:trHeight w:val="251"/>
        </w:trPr>
        <w:tc>
          <w:tcPr>
            <w:tcW w:w="1850" w:type="dxa"/>
          </w:tcPr>
          <w:p w14:paraId="2C23B5AB" w14:textId="77777777" w:rsidR="00573E37" w:rsidRPr="00AF4B06" w:rsidRDefault="00573E37" w:rsidP="00961029">
            <w:pPr>
              <w:rPr>
                <w:rFonts w:ascii="Arial" w:hAnsi="Arial" w:cs="Arial"/>
              </w:rPr>
            </w:pPr>
            <w:r w:rsidRPr="00AF4B06">
              <w:rPr>
                <w:rFonts w:ascii="Arial" w:hAnsi="Arial" w:cs="Arial"/>
              </w:rPr>
              <w:t>Hemoglobin (g/L)</w:t>
            </w:r>
          </w:p>
        </w:tc>
        <w:tc>
          <w:tcPr>
            <w:tcW w:w="1850" w:type="dxa"/>
          </w:tcPr>
          <w:p w14:paraId="70FD242E" w14:textId="77777777" w:rsidR="00573E37" w:rsidRPr="00AF4B06" w:rsidRDefault="00573E37" w:rsidP="00961029">
            <w:pPr>
              <w:jc w:val="center"/>
              <w:rPr>
                <w:rFonts w:ascii="Arial" w:hAnsi="Arial" w:cs="Arial"/>
              </w:rPr>
            </w:pPr>
            <w:r w:rsidRPr="00AF4B06">
              <w:rPr>
                <w:rFonts w:ascii="Arial" w:hAnsi="Arial" w:cs="Arial"/>
              </w:rPr>
              <w:t xml:space="preserve">107.4 </w:t>
            </w:r>
            <w:r w:rsidRPr="00AF4B06">
              <w:rPr>
                <w:rFonts w:ascii="Arial" w:eastAsia="Times New Roman" w:hAnsi="Arial" w:cs="Arial"/>
              </w:rPr>
              <w:t xml:space="preserve">± </w:t>
            </w:r>
            <w:r w:rsidRPr="00AF4B06">
              <w:rPr>
                <w:rFonts w:ascii="Arial" w:hAnsi="Arial" w:cs="Arial"/>
              </w:rPr>
              <w:t>10.6</w:t>
            </w:r>
          </w:p>
        </w:tc>
        <w:tc>
          <w:tcPr>
            <w:tcW w:w="1850" w:type="dxa"/>
          </w:tcPr>
          <w:p w14:paraId="3A61E85B" w14:textId="77777777" w:rsidR="00573E37" w:rsidRPr="00AF4B06" w:rsidRDefault="00573E37" w:rsidP="00961029">
            <w:pPr>
              <w:jc w:val="center"/>
              <w:rPr>
                <w:rFonts w:ascii="Arial" w:hAnsi="Arial" w:cs="Arial"/>
              </w:rPr>
            </w:pPr>
            <w:r w:rsidRPr="00AF4B06">
              <w:rPr>
                <w:rFonts w:ascii="Arial" w:hAnsi="Arial" w:cs="Arial"/>
              </w:rPr>
              <w:t xml:space="preserve">111.4 </w:t>
            </w:r>
            <w:r w:rsidRPr="00AF4B06">
              <w:rPr>
                <w:rFonts w:ascii="Arial" w:eastAsia="Times New Roman" w:hAnsi="Arial" w:cs="Arial"/>
              </w:rPr>
              <w:t xml:space="preserve">± </w:t>
            </w:r>
            <w:r w:rsidRPr="00AF4B06">
              <w:rPr>
                <w:rFonts w:ascii="Arial" w:hAnsi="Arial" w:cs="Arial"/>
              </w:rPr>
              <w:t>10.7</w:t>
            </w:r>
          </w:p>
        </w:tc>
        <w:tc>
          <w:tcPr>
            <w:tcW w:w="1850" w:type="dxa"/>
          </w:tcPr>
          <w:p w14:paraId="591BB769" w14:textId="77777777" w:rsidR="00573E37" w:rsidRPr="00AF4B06" w:rsidRDefault="00573E37" w:rsidP="00961029">
            <w:pPr>
              <w:jc w:val="center"/>
              <w:rPr>
                <w:rFonts w:ascii="Arial" w:hAnsi="Arial" w:cs="Arial"/>
              </w:rPr>
            </w:pPr>
            <w:r w:rsidRPr="00AF4B06">
              <w:rPr>
                <w:rFonts w:ascii="Arial" w:hAnsi="Arial" w:cs="Arial"/>
              </w:rPr>
              <w:t xml:space="preserve">108.0 </w:t>
            </w:r>
            <w:r w:rsidRPr="00AF4B06">
              <w:rPr>
                <w:rFonts w:ascii="Arial" w:eastAsia="Times New Roman" w:hAnsi="Arial" w:cs="Arial"/>
              </w:rPr>
              <w:t xml:space="preserve">± </w:t>
            </w:r>
            <w:r w:rsidRPr="00AF4B06">
              <w:rPr>
                <w:rFonts w:ascii="Arial" w:hAnsi="Arial" w:cs="Arial"/>
              </w:rPr>
              <w:t>10.1</w:t>
            </w:r>
          </w:p>
        </w:tc>
        <w:tc>
          <w:tcPr>
            <w:tcW w:w="1850" w:type="dxa"/>
          </w:tcPr>
          <w:p w14:paraId="17581482" w14:textId="77777777" w:rsidR="00573E37" w:rsidRPr="00AF4B06" w:rsidRDefault="00573E37" w:rsidP="00961029">
            <w:pPr>
              <w:jc w:val="center"/>
              <w:rPr>
                <w:rFonts w:ascii="Arial" w:hAnsi="Arial" w:cs="Arial"/>
              </w:rPr>
            </w:pPr>
            <w:r w:rsidRPr="00AF4B06">
              <w:rPr>
                <w:rFonts w:ascii="Arial" w:hAnsi="Arial" w:cs="Arial"/>
              </w:rPr>
              <w:t xml:space="preserve">110.6 </w:t>
            </w:r>
            <w:r w:rsidRPr="00AF4B06">
              <w:rPr>
                <w:rFonts w:ascii="Arial" w:eastAsia="Times New Roman" w:hAnsi="Arial" w:cs="Arial"/>
              </w:rPr>
              <w:t xml:space="preserve">± </w:t>
            </w:r>
            <w:r w:rsidRPr="00AF4B06">
              <w:rPr>
                <w:rFonts w:ascii="Arial" w:hAnsi="Arial" w:cs="Arial"/>
              </w:rPr>
              <w:t>10.9</w:t>
            </w:r>
          </w:p>
        </w:tc>
        <w:tc>
          <w:tcPr>
            <w:tcW w:w="1995" w:type="dxa"/>
          </w:tcPr>
          <w:p w14:paraId="29177F24" w14:textId="77777777" w:rsidR="00573E37" w:rsidRPr="00AF4B06" w:rsidRDefault="00573E37" w:rsidP="00961029">
            <w:pPr>
              <w:jc w:val="center"/>
              <w:rPr>
                <w:rFonts w:ascii="Arial" w:hAnsi="Arial" w:cs="Arial"/>
              </w:rPr>
            </w:pPr>
            <w:r w:rsidRPr="00AF4B06">
              <w:rPr>
                <w:rFonts w:ascii="Arial" w:hAnsi="Arial" w:cs="Arial"/>
              </w:rPr>
              <w:t>1.07 (0.05, 2.09)*</w:t>
            </w:r>
          </w:p>
        </w:tc>
        <w:tc>
          <w:tcPr>
            <w:tcW w:w="1890" w:type="dxa"/>
          </w:tcPr>
          <w:p w14:paraId="05755F99" w14:textId="77777777" w:rsidR="00573E37" w:rsidRPr="00AF4B06" w:rsidRDefault="00573E37" w:rsidP="00961029">
            <w:pPr>
              <w:jc w:val="center"/>
              <w:rPr>
                <w:rFonts w:ascii="Arial" w:hAnsi="Arial" w:cs="Arial"/>
              </w:rPr>
            </w:pPr>
            <w:r w:rsidRPr="00AF4B06">
              <w:rPr>
                <w:rFonts w:ascii="Arial" w:hAnsi="Arial" w:cs="Arial"/>
              </w:rPr>
              <w:t>1.20 (0.17, 2.22)*</w:t>
            </w:r>
          </w:p>
        </w:tc>
      </w:tr>
      <w:tr w:rsidR="00AF4B06" w:rsidRPr="00AF4B06" w14:paraId="0490FD56" w14:textId="77777777" w:rsidTr="00961029">
        <w:tc>
          <w:tcPr>
            <w:tcW w:w="1850" w:type="dxa"/>
          </w:tcPr>
          <w:p w14:paraId="13171AC7" w14:textId="77777777" w:rsidR="00573E37" w:rsidRPr="00AF4B06" w:rsidRDefault="00573E37" w:rsidP="00961029">
            <w:pPr>
              <w:rPr>
                <w:rFonts w:ascii="Arial" w:hAnsi="Arial" w:cs="Arial"/>
              </w:rPr>
            </w:pPr>
            <w:r w:rsidRPr="00AF4B06">
              <w:rPr>
                <w:rFonts w:ascii="Arial" w:hAnsi="Arial" w:cs="Arial"/>
              </w:rPr>
              <w:t>Anemia (Hb &lt; 110g/L), %</w:t>
            </w:r>
          </w:p>
        </w:tc>
        <w:tc>
          <w:tcPr>
            <w:tcW w:w="1850" w:type="dxa"/>
          </w:tcPr>
          <w:p w14:paraId="786B06E7" w14:textId="77777777" w:rsidR="00573E37" w:rsidRPr="00AF4B06" w:rsidRDefault="00573E37" w:rsidP="00961029">
            <w:pPr>
              <w:jc w:val="center"/>
              <w:rPr>
                <w:rFonts w:ascii="Arial" w:hAnsi="Arial" w:cs="Arial"/>
              </w:rPr>
            </w:pPr>
            <w:r w:rsidRPr="00AF4B06">
              <w:rPr>
                <w:rFonts w:ascii="Arial" w:hAnsi="Arial" w:cs="Arial"/>
              </w:rPr>
              <w:t>391 (57.0)</w:t>
            </w:r>
          </w:p>
        </w:tc>
        <w:tc>
          <w:tcPr>
            <w:tcW w:w="1850" w:type="dxa"/>
          </w:tcPr>
          <w:p w14:paraId="3CF4CF1E" w14:textId="77777777" w:rsidR="00573E37" w:rsidRPr="00AF4B06" w:rsidRDefault="00573E37" w:rsidP="00961029">
            <w:pPr>
              <w:jc w:val="center"/>
              <w:rPr>
                <w:rFonts w:ascii="Arial" w:hAnsi="Arial" w:cs="Arial"/>
              </w:rPr>
            </w:pPr>
            <w:r w:rsidRPr="00AF4B06">
              <w:rPr>
                <w:rFonts w:ascii="Arial" w:hAnsi="Arial" w:cs="Arial"/>
              </w:rPr>
              <w:t>272 (39.7)</w:t>
            </w:r>
          </w:p>
        </w:tc>
        <w:tc>
          <w:tcPr>
            <w:tcW w:w="1850" w:type="dxa"/>
          </w:tcPr>
          <w:p w14:paraId="16BA8DD7" w14:textId="77777777" w:rsidR="00573E37" w:rsidRPr="00AF4B06" w:rsidRDefault="00573E37" w:rsidP="00961029">
            <w:pPr>
              <w:jc w:val="center"/>
              <w:rPr>
                <w:rFonts w:ascii="Arial" w:hAnsi="Arial" w:cs="Arial"/>
              </w:rPr>
            </w:pPr>
            <w:r w:rsidRPr="00AF4B06">
              <w:rPr>
                <w:rFonts w:ascii="Arial" w:hAnsi="Arial" w:cs="Arial"/>
              </w:rPr>
              <w:t>388 (53.9)</w:t>
            </w:r>
          </w:p>
        </w:tc>
        <w:tc>
          <w:tcPr>
            <w:tcW w:w="1850" w:type="dxa"/>
          </w:tcPr>
          <w:p w14:paraId="0DE01FB7" w14:textId="77777777" w:rsidR="00573E37" w:rsidRPr="00AF4B06" w:rsidRDefault="00573E37" w:rsidP="00961029">
            <w:pPr>
              <w:jc w:val="center"/>
              <w:rPr>
                <w:rFonts w:ascii="Arial" w:hAnsi="Arial" w:cs="Arial"/>
              </w:rPr>
            </w:pPr>
            <w:r w:rsidRPr="00AF4B06">
              <w:rPr>
                <w:rFonts w:ascii="Arial" w:hAnsi="Arial" w:cs="Arial"/>
              </w:rPr>
              <w:t>311 (43.2)</w:t>
            </w:r>
          </w:p>
        </w:tc>
        <w:tc>
          <w:tcPr>
            <w:tcW w:w="1995" w:type="dxa"/>
          </w:tcPr>
          <w:p w14:paraId="6A2D6234" w14:textId="77777777" w:rsidR="00573E37" w:rsidRPr="00AF4B06" w:rsidRDefault="00573E37" w:rsidP="00961029">
            <w:pPr>
              <w:jc w:val="center"/>
              <w:rPr>
                <w:rFonts w:ascii="Arial" w:hAnsi="Arial" w:cs="Arial"/>
              </w:rPr>
            </w:pPr>
            <w:r w:rsidRPr="00AF4B06">
              <w:rPr>
                <w:rFonts w:ascii="Arial" w:hAnsi="Arial" w:cs="Arial"/>
              </w:rPr>
              <w:t>0.90 (0.80, 1.01)</w:t>
            </w:r>
          </w:p>
        </w:tc>
        <w:tc>
          <w:tcPr>
            <w:tcW w:w="1890" w:type="dxa"/>
          </w:tcPr>
          <w:p w14:paraId="6A1D63F7" w14:textId="77777777" w:rsidR="00573E37" w:rsidRPr="00AF4B06" w:rsidRDefault="00573E37" w:rsidP="00961029">
            <w:pPr>
              <w:jc w:val="center"/>
              <w:rPr>
                <w:rFonts w:ascii="Arial" w:hAnsi="Arial" w:cs="Arial"/>
              </w:rPr>
            </w:pPr>
            <w:r w:rsidRPr="00AF4B06">
              <w:rPr>
                <w:rFonts w:ascii="Arial" w:hAnsi="Arial" w:cs="Arial"/>
              </w:rPr>
              <w:t>0.89 (0.80, 1.00)</w:t>
            </w:r>
          </w:p>
        </w:tc>
      </w:tr>
      <w:tr w:rsidR="00AF4B06" w:rsidRPr="00AF4B06" w14:paraId="1EA0BE88" w14:textId="77777777" w:rsidTr="00961029">
        <w:tc>
          <w:tcPr>
            <w:tcW w:w="1850" w:type="dxa"/>
          </w:tcPr>
          <w:p w14:paraId="4953705B" w14:textId="77777777" w:rsidR="00573E37" w:rsidRPr="00AF4B06" w:rsidRDefault="00573E37" w:rsidP="00961029">
            <w:pPr>
              <w:rPr>
                <w:rFonts w:ascii="Arial" w:hAnsi="Arial" w:cs="Arial"/>
                <w:b/>
              </w:rPr>
            </w:pPr>
            <w:r w:rsidRPr="00AF4B06">
              <w:rPr>
                <w:rFonts w:ascii="Arial" w:hAnsi="Arial" w:cs="Arial"/>
                <w:b/>
              </w:rPr>
              <w:t>Iron status</w:t>
            </w:r>
            <w:r w:rsidRPr="00AF4B06">
              <w:rPr>
                <w:rFonts w:ascii="Arial" w:hAnsi="Arial" w:cs="Arial"/>
                <w:vertAlign w:val="superscript"/>
              </w:rPr>
              <w:t>§</w:t>
            </w:r>
            <w:r w:rsidRPr="00AF4B06">
              <w:rPr>
                <w:rFonts w:ascii="Arial" w:hAnsi="Arial" w:cs="Arial"/>
                <w:b/>
              </w:rPr>
              <w:t xml:space="preserve">, N </w:t>
            </w:r>
          </w:p>
        </w:tc>
        <w:tc>
          <w:tcPr>
            <w:tcW w:w="3700" w:type="dxa"/>
            <w:gridSpan w:val="2"/>
          </w:tcPr>
          <w:p w14:paraId="210A4208" w14:textId="77777777" w:rsidR="00573E37" w:rsidRPr="00AF4B06" w:rsidRDefault="00573E37" w:rsidP="00961029">
            <w:pPr>
              <w:jc w:val="center"/>
              <w:rPr>
                <w:rFonts w:ascii="Arial" w:hAnsi="Arial" w:cs="Arial"/>
              </w:rPr>
            </w:pPr>
            <w:r w:rsidRPr="00AF4B06">
              <w:rPr>
                <w:rFonts w:ascii="Arial" w:hAnsi="Arial" w:cs="Arial"/>
              </w:rPr>
              <w:t>513</w:t>
            </w:r>
          </w:p>
        </w:tc>
        <w:tc>
          <w:tcPr>
            <w:tcW w:w="3700" w:type="dxa"/>
            <w:gridSpan w:val="2"/>
          </w:tcPr>
          <w:p w14:paraId="2193E0C2" w14:textId="77777777" w:rsidR="00573E37" w:rsidRPr="00AF4B06" w:rsidRDefault="00573E37" w:rsidP="00961029">
            <w:pPr>
              <w:jc w:val="center"/>
              <w:rPr>
                <w:rFonts w:ascii="Arial" w:hAnsi="Arial" w:cs="Arial"/>
              </w:rPr>
            </w:pPr>
            <w:r w:rsidRPr="00AF4B06">
              <w:rPr>
                <w:rFonts w:ascii="Arial" w:hAnsi="Arial" w:cs="Arial"/>
              </w:rPr>
              <w:t>522</w:t>
            </w:r>
          </w:p>
        </w:tc>
        <w:tc>
          <w:tcPr>
            <w:tcW w:w="1995" w:type="dxa"/>
          </w:tcPr>
          <w:p w14:paraId="412240A1" w14:textId="77777777" w:rsidR="00573E37" w:rsidRPr="00AF4B06" w:rsidRDefault="00573E37" w:rsidP="00961029">
            <w:pPr>
              <w:jc w:val="center"/>
              <w:rPr>
                <w:rFonts w:ascii="Arial" w:hAnsi="Arial" w:cs="Arial"/>
              </w:rPr>
            </w:pPr>
          </w:p>
        </w:tc>
        <w:tc>
          <w:tcPr>
            <w:tcW w:w="1890" w:type="dxa"/>
          </w:tcPr>
          <w:p w14:paraId="5A162545" w14:textId="77777777" w:rsidR="00573E37" w:rsidRPr="00AF4B06" w:rsidRDefault="00573E37" w:rsidP="00961029">
            <w:pPr>
              <w:jc w:val="center"/>
              <w:rPr>
                <w:rFonts w:ascii="Arial" w:hAnsi="Arial" w:cs="Arial"/>
              </w:rPr>
            </w:pPr>
          </w:p>
        </w:tc>
      </w:tr>
      <w:tr w:rsidR="00AF4B06" w:rsidRPr="00AF4B06" w14:paraId="75F33E19" w14:textId="77777777" w:rsidTr="00961029">
        <w:tc>
          <w:tcPr>
            <w:tcW w:w="1850" w:type="dxa"/>
            <w:vAlign w:val="center"/>
          </w:tcPr>
          <w:p w14:paraId="17BA218E" w14:textId="77777777" w:rsidR="00573E37" w:rsidRPr="00AF4B06" w:rsidRDefault="00573E37" w:rsidP="00961029">
            <w:pPr>
              <w:rPr>
                <w:rFonts w:ascii="Arial" w:hAnsi="Arial" w:cs="Arial"/>
              </w:rPr>
            </w:pPr>
            <w:r w:rsidRPr="00AF4B06">
              <w:rPr>
                <w:rFonts w:ascii="Arial" w:hAnsi="Arial" w:cs="Arial"/>
                <w:w w:val="105"/>
              </w:rPr>
              <w:t>Ferritin (µg/L)</w:t>
            </w:r>
          </w:p>
        </w:tc>
        <w:tc>
          <w:tcPr>
            <w:tcW w:w="1850" w:type="dxa"/>
          </w:tcPr>
          <w:p w14:paraId="5AA5F643" w14:textId="77777777" w:rsidR="00573E37" w:rsidRPr="00AF4B06" w:rsidRDefault="00573E37" w:rsidP="00961029">
            <w:pPr>
              <w:jc w:val="center"/>
              <w:rPr>
                <w:rFonts w:ascii="Arial" w:hAnsi="Arial" w:cs="Arial"/>
              </w:rPr>
            </w:pPr>
            <w:r w:rsidRPr="00AF4B06">
              <w:rPr>
                <w:rFonts w:ascii="Arial" w:hAnsi="Arial" w:cs="Arial"/>
              </w:rPr>
              <w:t>16.9 (8.6, 29.5)</w:t>
            </w:r>
          </w:p>
        </w:tc>
        <w:tc>
          <w:tcPr>
            <w:tcW w:w="1850" w:type="dxa"/>
          </w:tcPr>
          <w:p w14:paraId="2BE55297" w14:textId="77777777" w:rsidR="00573E37" w:rsidRPr="00AF4B06" w:rsidRDefault="00573E37" w:rsidP="00961029">
            <w:pPr>
              <w:jc w:val="center"/>
              <w:rPr>
                <w:rFonts w:ascii="Arial" w:hAnsi="Arial" w:cs="Arial"/>
              </w:rPr>
            </w:pPr>
            <w:r w:rsidRPr="00AF4B06">
              <w:rPr>
                <w:rFonts w:ascii="Arial" w:hAnsi="Arial" w:cs="Arial"/>
              </w:rPr>
              <w:t>25.0 (14.5, 39.4)</w:t>
            </w:r>
          </w:p>
        </w:tc>
        <w:tc>
          <w:tcPr>
            <w:tcW w:w="1850" w:type="dxa"/>
          </w:tcPr>
          <w:p w14:paraId="179E3410" w14:textId="77777777" w:rsidR="00573E37" w:rsidRPr="00AF4B06" w:rsidRDefault="00573E37" w:rsidP="00961029">
            <w:pPr>
              <w:jc w:val="center"/>
              <w:rPr>
                <w:rFonts w:ascii="Arial" w:hAnsi="Arial" w:cs="Arial"/>
              </w:rPr>
            </w:pPr>
            <w:r w:rsidRPr="00AF4B06">
              <w:rPr>
                <w:rFonts w:ascii="Arial" w:hAnsi="Arial" w:cs="Arial"/>
              </w:rPr>
              <w:t>17.2 (9.8, 30.4)</w:t>
            </w:r>
          </w:p>
        </w:tc>
        <w:tc>
          <w:tcPr>
            <w:tcW w:w="1850" w:type="dxa"/>
          </w:tcPr>
          <w:p w14:paraId="2B400F0C" w14:textId="77777777" w:rsidR="00573E37" w:rsidRPr="00AF4B06" w:rsidRDefault="00573E37" w:rsidP="00961029">
            <w:pPr>
              <w:jc w:val="center"/>
              <w:rPr>
                <w:rFonts w:ascii="Arial" w:hAnsi="Arial" w:cs="Arial"/>
              </w:rPr>
            </w:pPr>
            <w:r w:rsidRPr="00AF4B06">
              <w:rPr>
                <w:rFonts w:ascii="Arial" w:hAnsi="Arial" w:cs="Arial"/>
              </w:rPr>
              <w:t>19.0 (10.5, 30.9)</w:t>
            </w:r>
          </w:p>
        </w:tc>
        <w:tc>
          <w:tcPr>
            <w:tcW w:w="1995" w:type="dxa"/>
          </w:tcPr>
          <w:p w14:paraId="538E12E7" w14:textId="77777777" w:rsidR="00573E37" w:rsidRPr="00AF4B06" w:rsidRDefault="00573E37" w:rsidP="00961029">
            <w:pPr>
              <w:jc w:val="center"/>
              <w:rPr>
                <w:rFonts w:ascii="Arial" w:hAnsi="Arial" w:cs="Arial"/>
              </w:rPr>
            </w:pPr>
            <w:r w:rsidRPr="00AF4B06">
              <w:rPr>
                <w:rFonts w:ascii="Arial" w:hAnsi="Arial" w:cs="Arial"/>
              </w:rPr>
              <w:t>1.30 (1.21, 1.40)*</w:t>
            </w:r>
          </w:p>
        </w:tc>
        <w:tc>
          <w:tcPr>
            <w:tcW w:w="1890" w:type="dxa"/>
          </w:tcPr>
          <w:p w14:paraId="0C781611" w14:textId="77777777" w:rsidR="00573E37" w:rsidRPr="00AF4B06" w:rsidRDefault="00573E37" w:rsidP="00961029">
            <w:pPr>
              <w:jc w:val="center"/>
              <w:rPr>
                <w:rFonts w:ascii="Arial" w:hAnsi="Arial" w:cs="Arial"/>
              </w:rPr>
            </w:pPr>
            <w:r w:rsidRPr="00AF4B06">
              <w:rPr>
                <w:rFonts w:ascii="Arial" w:hAnsi="Arial" w:cs="Arial"/>
              </w:rPr>
              <w:t>1.30 (1.20, 1.40)*</w:t>
            </w:r>
          </w:p>
        </w:tc>
      </w:tr>
      <w:tr w:rsidR="00AF4B06" w:rsidRPr="00AF4B06" w14:paraId="1245D53E" w14:textId="77777777" w:rsidTr="00961029">
        <w:tc>
          <w:tcPr>
            <w:tcW w:w="1850" w:type="dxa"/>
            <w:vAlign w:val="center"/>
          </w:tcPr>
          <w:p w14:paraId="0FA24091" w14:textId="77777777" w:rsidR="00573E37" w:rsidRPr="00AF4B06" w:rsidRDefault="00573E37" w:rsidP="00961029">
            <w:pPr>
              <w:rPr>
                <w:rFonts w:ascii="Arial" w:hAnsi="Arial" w:cs="Arial"/>
              </w:rPr>
            </w:pPr>
            <w:r w:rsidRPr="00AF4B06">
              <w:rPr>
                <w:rFonts w:ascii="Arial" w:hAnsi="Arial" w:cs="Arial"/>
                <w:w w:val="105"/>
              </w:rPr>
              <w:t>Low ferritin</w:t>
            </w:r>
            <w:r w:rsidRPr="00AF4B06">
              <w:rPr>
                <w:rFonts w:ascii="Arial" w:hAnsi="Arial" w:cs="Arial"/>
                <w:w w:val="105"/>
                <w:vertAlign w:val="superscript"/>
              </w:rPr>
              <w:t xml:space="preserve"> </w:t>
            </w:r>
            <w:r w:rsidRPr="00AF4B06">
              <w:rPr>
                <w:rFonts w:ascii="Arial" w:hAnsi="Arial" w:cs="Arial"/>
                <w:w w:val="105"/>
              </w:rPr>
              <w:t>(pF</w:t>
            </w:r>
            <w:r w:rsidRPr="00AF4B06">
              <w:rPr>
                <w:rFonts w:ascii="Arial" w:hAnsi="Arial" w:cs="Arial"/>
                <w:i/>
                <w:w w:val="105"/>
              </w:rPr>
              <w:t>&lt;</w:t>
            </w:r>
            <w:r w:rsidRPr="00AF4B06">
              <w:rPr>
                <w:rFonts w:ascii="Arial" w:hAnsi="Arial" w:cs="Arial"/>
                <w:w w:val="105"/>
              </w:rPr>
              <w:t>12 µg/L), %</w:t>
            </w:r>
          </w:p>
        </w:tc>
        <w:tc>
          <w:tcPr>
            <w:tcW w:w="1850" w:type="dxa"/>
          </w:tcPr>
          <w:p w14:paraId="5E93BB56" w14:textId="77777777" w:rsidR="00573E37" w:rsidRPr="00AF4B06" w:rsidRDefault="00573E37" w:rsidP="00961029">
            <w:pPr>
              <w:jc w:val="center"/>
              <w:rPr>
                <w:rFonts w:ascii="Arial" w:hAnsi="Arial" w:cs="Arial"/>
              </w:rPr>
            </w:pPr>
            <w:r w:rsidRPr="00AF4B06">
              <w:rPr>
                <w:rFonts w:ascii="Arial" w:hAnsi="Arial" w:cs="Arial"/>
              </w:rPr>
              <w:t>178 (34.7)</w:t>
            </w:r>
          </w:p>
        </w:tc>
        <w:tc>
          <w:tcPr>
            <w:tcW w:w="1850" w:type="dxa"/>
          </w:tcPr>
          <w:p w14:paraId="6486C914" w14:textId="77777777" w:rsidR="00573E37" w:rsidRPr="00AF4B06" w:rsidRDefault="00573E37" w:rsidP="00961029">
            <w:pPr>
              <w:jc w:val="center"/>
              <w:rPr>
                <w:rFonts w:ascii="Arial" w:hAnsi="Arial" w:cs="Arial"/>
              </w:rPr>
            </w:pPr>
            <w:r w:rsidRPr="00AF4B06">
              <w:rPr>
                <w:rFonts w:ascii="Arial" w:hAnsi="Arial" w:cs="Arial"/>
              </w:rPr>
              <w:t>104 (20.3)</w:t>
            </w:r>
          </w:p>
        </w:tc>
        <w:tc>
          <w:tcPr>
            <w:tcW w:w="1850" w:type="dxa"/>
          </w:tcPr>
          <w:p w14:paraId="21DCE141" w14:textId="77777777" w:rsidR="00573E37" w:rsidRPr="00AF4B06" w:rsidRDefault="00573E37" w:rsidP="00961029">
            <w:pPr>
              <w:jc w:val="center"/>
              <w:rPr>
                <w:rFonts w:ascii="Arial" w:hAnsi="Arial" w:cs="Arial"/>
              </w:rPr>
            </w:pPr>
            <w:r w:rsidRPr="00AF4B06">
              <w:rPr>
                <w:rFonts w:ascii="Arial" w:hAnsi="Arial" w:cs="Arial"/>
              </w:rPr>
              <w:t>172 (33.0)</w:t>
            </w:r>
          </w:p>
        </w:tc>
        <w:tc>
          <w:tcPr>
            <w:tcW w:w="1850" w:type="dxa"/>
          </w:tcPr>
          <w:p w14:paraId="31BA3E0D" w14:textId="77777777" w:rsidR="00573E37" w:rsidRPr="00AF4B06" w:rsidRDefault="00573E37" w:rsidP="00961029">
            <w:pPr>
              <w:jc w:val="center"/>
              <w:rPr>
                <w:rFonts w:ascii="Arial" w:hAnsi="Arial" w:cs="Arial"/>
              </w:rPr>
            </w:pPr>
            <w:r w:rsidRPr="00AF4B06">
              <w:rPr>
                <w:rFonts w:ascii="Arial" w:hAnsi="Arial" w:cs="Arial"/>
              </w:rPr>
              <w:t>160 (30.7%)</w:t>
            </w:r>
          </w:p>
        </w:tc>
        <w:tc>
          <w:tcPr>
            <w:tcW w:w="1995" w:type="dxa"/>
          </w:tcPr>
          <w:p w14:paraId="50EB3E7B" w14:textId="77777777" w:rsidR="00573E37" w:rsidRPr="00AF4B06" w:rsidRDefault="00573E37" w:rsidP="00961029">
            <w:pPr>
              <w:jc w:val="center"/>
              <w:rPr>
                <w:rFonts w:ascii="Arial" w:hAnsi="Arial" w:cs="Arial"/>
              </w:rPr>
            </w:pPr>
            <w:r w:rsidRPr="00AF4B06">
              <w:rPr>
                <w:rFonts w:ascii="Arial" w:hAnsi="Arial" w:cs="Arial"/>
              </w:rPr>
              <w:t>0.65 (0.54, 0.79)*</w:t>
            </w:r>
          </w:p>
        </w:tc>
        <w:tc>
          <w:tcPr>
            <w:tcW w:w="1890" w:type="dxa"/>
          </w:tcPr>
          <w:p w14:paraId="6BC8D2A4" w14:textId="77777777" w:rsidR="00573E37" w:rsidRPr="00AF4B06" w:rsidRDefault="00573E37" w:rsidP="00961029">
            <w:pPr>
              <w:jc w:val="center"/>
              <w:rPr>
                <w:rFonts w:ascii="Arial" w:hAnsi="Arial" w:cs="Arial"/>
              </w:rPr>
            </w:pPr>
            <w:r w:rsidRPr="00AF4B06">
              <w:rPr>
                <w:rFonts w:ascii="Arial" w:hAnsi="Arial" w:cs="Arial"/>
              </w:rPr>
              <w:t>0.64 (0.53, 0.78)*</w:t>
            </w:r>
          </w:p>
        </w:tc>
      </w:tr>
      <w:tr w:rsidR="00AF4B06" w:rsidRPr="00AF4B06" w14:paraId="2355572E" w14:textId="77777777" w:rsidTr="00961029">
        <w:tc>
          <w:tcPr>
            <w:tcW w:w="1850" w:type="dxa"/>
            <w:vAlign w:val="center"/>
          </w:tcPr>
          <w:p w14:paraId="1C126226" w14:textId="77777777" w:rsidR="00573E37" w:rsidRPr="00AF4B06" w:rsidRDefault="00573E37" w:rsidP="00961029">
            <w:pPr>
              <w:rPr>
                <w:rFonts w:ascii="Arial" w:hAnsi="Arial" w:cs="Arial"/>
              </w:rPr>
            </w:pPr>
            <w:r w:rsidRPr="00AF4B06">
              <w:rPr>
                <w:rFonts w:ascii="Arial" w:hAnsi="Arial" w:cs="Arial"/>
                <w:w w:val="110"/>
              </w:rPr>
              <w:t>sTfR (mg/L)</w:t>
            </w:r>
          </w:p>
        </w:tc>
        <w:tc>
          <w:tcPr>
            <w:tcW w:w="1850" w:type="dxa"/>
          </w:tcPr>
          <w:p w14:paraId="084C0F3E" w14:textId="77777777" w:rsidR="00573E37" w:rsidRPr="00AF4B06" w:rsidRDefault="00573E37" w:rsidP="00961029">
            <w:pPr>
              <w:jc w:val="center"/>
              <w:rPr>
                <w:rFonts w:ascii="Arial" w:hAnsi="Arial" w:cs="Arial"/>
              </w:rPr>
            </w:pPr>
            <w:r w:rsidRPr="00AF4B06">
              <w:rPr>
                <w:rFonts w:ascii="Arial" w:hAnsi="Arial" w:cs="Arial"/>
              </w:rPr>
              <w:t>9.07 (7.61, 11.60)</w:t>
            </w:r>
          </w:p>
        </w:tc>
        <w:tc>
          <w:tcPr>
            <w:tcW w:w="1850" w:type="dxa"/>
          </w:tcPr>
          <w:p w14:paraId="68F18348" w14:textId="77777777" w:rsidR="00573E37" w:rsidRPr="00AF4B06" w:rsidRDefault="00573E37" w:rsidP="00961029">
            <w:pPr>
              <w:jc w:val="center"/>
              <w:rPr>
                <w:rFonts w:ascii="Arial" w:hAnsi="Arial" w:cs="Arial"/>
              </w:rPr>
            </w:pPr>
            <w:r w:rsidRPr="00AF4B06">
              <w:rPr>
                <w:rFonts w:ascii="Arial" w:hAnsi="Arial" w:cs="Arial"/>
              </w:rPr>
              <w:t>8.01 (6.77, 9.84)</w:t>
            </w:r>
          </w:p>
        </w:tc>
        <w:tc>
          <w:tcPr>
            <w:tcW w:w="1850" w:type="dxa"/>
          </w:tcPr>
          <w:p w14:paraId="14463F1F" w14:textId="77777777" w:rsidR="00573E37" w:rsidRPr="00AF4B06" w:rsidRDefault="00573E37" w:rsidP="00961029">
            <w:pPr>
              <w:jc w:val="center"/>
              <w:rPr>
                <w:rFonts w:ascii="Arial" w:hAnsi="Arial" w:cs="Arial"/>
              </w:rPr>
            </w:pPr>
            <w:r w:rsidRPr="00AF4B06">
              <w:rPr>
                <w:rFonts w:ascii="Arial" w:hAnsi="Arial" w:cs="Arial"/>
              </w:rPr>
              <w:t>8.94 (7.36, 10.99)</w:t>
            </w:r>
          </w:p>
        </w:tc>
        <w:tc>
          <w:tcPr>
            <w:tcW w:w="1850" w:type="dxa"/>
          </w:tcPr>
          <w:p w14:paraId="65F03332" w14:textId="77777777" w:rsidR="00573E37" w:rsidRPr="00AF4B06" w:rsidRDefault="00573E37" w:rsidP="00961029">
            <w:pPr>
              <w:jc w:val="center"/>
              <w:rPr>
                <w:rFonts w:ascii="Arial" w:hAnsi="Arial" w:cs="Arial"/>
              </w:rPr>
            </w:pPr>
            <w:r w:rsidRPr="00AF4B06">
              <w:rPr>
                <w:rFonts w:ascii="Arial" w:hAnsi="Arial" w:cs="Arial"/>
              </w:rPr>
              <w:t>8.44 (7.21, 10.48)</w:t>
            </w:r>
          </w:p>
        </w:tc>
        <w:tc>
          <w:tcPr>
            <w:tcW w:w="1995" w:type="dxa"/>
          </w:tcPr>
          <w:p w14:paraId="4AE8E213" w14:textId="77777777" w:rsidR="00573E37" w:rsidRPr="00AF4B06" w:rsidRDefault="00573E37" w:rsidP="00961029">
            <w:pPr>
              <w:jc w:val="center"/>
              <w:rPr>
                <w:rFonts w:ascii="Arial" w:hAnsi="Arial" w:cs="Arial"/>
              </w:rPr>
            </w:pPr>
            <w:r w:rsidRPr="00AF4B06">
              <w:rPr>
                <w:rFonts w:ascii="Arial" w:hAnsi="Arial" w:cs="Arial"/>
              </w:rPr>
              <w:t>0.93 (0.90, 0.95)*</w:t>
            </w:r>
          </w:p>
        </w:tc>
        <w:tc>
          <w:tcPr>
            <w:tcW w:w="1890" w:type="dxa"/>
          </w:tcPr>
          <w:p w14:paraId="6335D5BB" w14:textId="77777777" w:rsidR="00573E37" w:rsidRPr="00AF4B06" w:rsidRDefault="00573E37" w:rsidP="00961029">
            <w:pPr>
              <w:jc w:val="center"/>
              <w:rPr>
                <w:rFonts w:ascii="Arial" w:hAnsi="Arial" w:cs="Arial"/>
              </w:rPr>
            </w:pPr>
            <w:r w:rsidRPr="00AF4B06">
              <w:rPr>
                <w:rFonts w:ascii="Arial" w:hAnsi="Arial" w:cs="Arial"/>
              </w:rPr>
              <w:t>0.93 (0.90, 0.95)*</w:t>
            </w:r>
          </w:p>
        </w:tc>
      </w:tr>
      <w:tr w:rsidR="00AF4B06" w:rsidRPr="00AF4B06" w14:paraId="7D2A24BF" w14:textId="77777777" w:rsidTr="00961029">
        <w:tc>
          <w:tcPr>
            <w:tcW w:w="1850" w:type="dxa"/>
            <w:vAlign w:val="center"/>
          </w:tcPr>
          <w:p w14:paraId="1BFE36F0" w14:textId="77777777" w:rsidR="00573E37" w:rsidRPr="00AF4B06" w:rsidRDefault="00573E37" w:rsidP="00961029">
            <w:pPr>
              <w:rPr>
                <w:rFonts w:ascii="Arial" w:hAnsi="Arial" w:cs="Arial"/>
              </w:rPr>
            </w:pPr>
            <w:r w:rsidRPr="00AF4B06">
              <w:rPr>
                <w:rFonts w:ascii="Arial" w:hAnsi="Arial" w:cs="Arial"/>
                <w:w w:val="105"/>
              </w:rPr>
              <w:t>High sTfR (sTfR</w:t>
            </w:r>
            <w:r w:rsidRPr="00AF4B06">
              <w:rPr>
                <w:rFonts w:ascii="Arial" w:hAnsi="Arial" w:cs="Arial"/>
                <w:i/>
                <w:w w:val="105"/>
              </w:rPr>
              <w:t>&gt;</w:t>
            </w:r>
            <w:r w:rsidRPr="00AF4B06">
              <w:rPr>
                <w:rFonts w:ascii="Arial" w:hAnsi="Arial" w:cs="Arial"/>
                <w:w w:val="105"/>
              </w:rPr>
              <w:t>8.3 mg/L), %</w:t>
            </w:r>
          </w:p>
        </w:tc>
        <w:tc>
          <w:tcPr>
            <w:tcW w:w="1850" w:type="dxa"/>
          </w:tcPr>
          <w:p w14:paraId="028E43A6" w14:textId="77777777" w:rsidR="00573E37" w:rsidRPr="00AF4B06" w:rsidRDefault="00573E37" w:rsidP="00961029">
            <w:pPr>
              <w:jc w:val="center"/>
              <w:rPr>
                <w:rFonts w:ascii="Arial" w:hAnsi="Arial" w:cs="Arial"/>
              </w:rPr>
            </w:pPr>
            <w:r w:rsidRPr="00AF4B06">
              <w:rPr>
                <w:rFonts w:ascii="Arial" w:hAnsi="Arial" w:cs="Arial"/>
              </w:rPr>
              <w:t>315 (61.4)</w:t>
            </w:r>
          </w:p>
        </w:tc>
        <w:tc>
          <w:tcPr>
            <w:tcW w:w="1850" w:type="dxa"/>
          </w:tcPr>
          <w:p w14:paraId="26C5DC19" w14:textId="77777777" w:rsidR="00573E37" w:rsidRPr="00AF4B06" w:rsidRDefault="00573E37" w:rsidP="00961029">
            <w:pPr>
              <w:jc w:val="center"/>
              <w:rPr>
                <w:rFonts w:ascii="Arial" w:hAnsi="Arial" w:cs="Arial"/>
              </w:rPr>
            </w:pPr>
            <w:r w:rsidRPr="00AF4B06">
              <w:rPr>
                <w:rFonts w:ascii="Arial" w:hAnsi="Arial" w:cs="Arial"/>
              </w:rPr>
              <w:t>232 (45.2)</w:t>
            </w:r>
          </w:p>
        </w:tc>
        <w:tc>
          <w:tcPr>
            <w:tcW w:w="1850" w:type="dxa"/>
          </w:tcPr>
          <w:p w14:paraId="0F9965AE" w14:textId="77777777" w:rsidR="00573E37" w:rsidRPr="00AF4B06" w:rsidRDefault="00573E37" w:rsidP="00961029">
            <w:pPr>
              <w:jc w:val="center"/>
              <w:rPr>
                <w:rFonts w:ascii="Arial" w:hAnsi="Arial" w:cs="Arial"/>
              </w:rPr>
            </w:pPr>
            <w:r w:rsidRPr="00AF4B06">
              <w:rPr>
                <w:rFonts w:ascii="Arial" w:hAnsi="Arial" w:cs="Arial"/>
              </w:rPr>
              <w:t>304 (58.2)</w:t>
            </w:r>
          </w:p>
        </w:tc>
        <w:tc>
          <w:tcPr>
            <w:tcW w:w="1850" w:type="dxa"/>
          </w:tcPr>
          <w:p w14:paraId="0ADE9057" w14:textId="77777777" w:rsidR="00573E37" w:rsidRPr="00AF4B06" w:rsidRDefault="00573E37" w:rsidP="00961029">
            <w:pPr>
              <w:jc w:val="center"/>
              <w:rPr>
                <w:rFonts w:ascii="Arial" w:hAnsi="Arial" w:cs="Arial"/>
              </w:rPr>
            </w:pPr>
            <w:r w:rsidRPr="00AF4B06">
              <w:rPr>
                <w:rFonts w:ascii="Arial" w:hAnsi="Arial" w:cs="Arial"/>
              </w:rPr>
              <w:t>278 (53.3)</w:t>
            </w:r>
          </w:p>
        </w:tc>
        <w:tc>
          <w:tcPr>
            <w:tcW w:w="1995" w:type="dxa"/>
          </w:tcPr>
          <w:p w14:paraId="17542210" w14:textId="77777777" w:rsidR="00573E37" w:rsidRPr="00AF4B06" w:rsidRDefault="00573E37" w:rsidP="00961029">
            <w:pPr>
              <w:jc w:val="center"/>
              <w:rPr>
                <w:rFonts w:ascii="Arial" w:hAnsi="Arial" w:cs="Arial"/>
              </w:rPr>
            </w:pPr>
            <w:r w:rsidRPr="00AF4B06">
              <w:rPr>
                <w:rFonts w:ascii="Arial" w:hAnsi="Arial" w:cs="Arial"/>
              </w:rPr>
              <w:t>0.86 (0.77, 0.96)*</w:t>
            </w:r>
          </w:p>
        </w:tc>
        <w:tc>
          <w:tcPr>
            <w:tcW w:w="1890" w:type="dxa"/>
          </w:tcPr>
          <w:p w14:paraId="11AB8C18" w14:textId="77777777" w:rsidR="00573E37" w:rsidRPr="00AF4B06" w:rsidRDefault="00573E37" w:rsidP="00961029">
            <w:pPr>
              <w:jc w:val="center"/>
              <w:rPr>
                <w:rFonts w:ascii="Arial" w:hAnsi="Arial" w:cs="Arial"/>
              </w:rPr>
            </w:pPr>
            <w:r w:rsidRPr="00AF4B06">
              <w:rPr>
                <w:rFonts w:ascii="Arial" w:hAnsi="Arial" w:cs="Arial"/>
              </w:rPr>
              <w:t>0.85 (0.76, 0.95)*</w:t>
            </w:r>
          </w:p>
        </w:tc>
      </w:tr>
      <w:tr w:rsidR="00AF4B06" w:rsidRPr="00AF4B06" w14:paraId="5E28F12B" w14:textId="77777777" w:rsidTr="00961029">
        <w:tc>
          <w:tcPr>
            <w:tcW w:w="1850" w:type="dxa"/>
            <w:vAlign w:val="center"/>
          </w:tcPr>
          <w:p w14:paraId="54D09DC9" w14:textId="77777777" w:rsidR="00573E37" w:rsidRPr="00AF4B06" w:rsidRDefault="00573E37" w:rsidP="00961029">
            <w:pPr>
              <w:rPr>
                <w:rFonts w:ascii="Arial" w:hAnsi="Arial" w:cs="Arial"/>
              </w:rPr>
            </w:pPr>
            <w:r w:rsidRPr="00AF4B06">
              <w:rPr>
                <w:rFonts w:ascii="Arial" w:hAnsi="Arial" w:cs="Arial"/>
              </w:rPr>
              <w:t xml:space="preserve">Iron </w:t>
            </w:r>
            <w:proofErr w:type="spellStart"/>
            <w:r w:rsidRPr="00AF4B06">
              <w:rPr>
                <w:rFonts w:ascii="Arial" w:hAnsi="Arial" w:cs="Arial"/>
              </w:rPr>
              <w:t>deficiency</w:t>
            </w:r>
            <w:r w:rsidRPr="00AF4B06">
              <w:rPr>
                <w:rFonts w:ascii="Arial" w:eastAsia="Times New Roman" w:hAnsi="Arial" w:cs="Arial"/>
                <w:sz w:val="24"/>
                <w:szCs w:val="24"/>
                <w:vertAlign w:val="superscript"/>
              </w:rPr>
              <w:t>ǁ</w:t>
            </w:r>
            <w:proofErr w:type="spellEnd"/>
            <w:r w:rsidRPr="00AF4B06">
              <w:rPr>
                <w:rFonts w:ascii="Arial" w:hAnsi="Arial" w:cs="Arial"/>
              </w:rPr>
              <w:t>, %</w:t>
            </w:r>
          </w:p>
        </w:tc>
        <w:tc>
          <w:tcPr>
            <w:tcW w:w="1850" w:type="dxa"/>
          </w:tcPr>
          <w:p w14:paraId="6241FF29" w14:textId="77777777" w:rsidR="00573E37" w:rsidRPr="00AF4B06" w:rsidRDefault="00573E37" w:rsidP="00961029">
            <w:pPr>
              <w:jc w:val="center"/>
              <w:rPr>
                <w:rFonts w:ascii="Arial" w:hAnsi="Arial" w:cs="Arial"/>
              </w:rPr>
            </w:pPr>
            <w:r w:rsidRPr="00AF4B06">
              <w:rPr>
                <w:rFonts w:ascii="Arial" w:hAnsi="Arial" w:cs="Arial"/>
              </w:rPr>
              <w:t>343 (66.9)</w:t>
            </w:r>
          </w:p>
        </w:tc>
        <w:tc>
          <w:tcPr>
            <w:tcW w:w="1850" w:type="dxa"/>
          </w:tcPr>
          <w:p w14:paraId="18E6AB41" w14:textId="77777777" w:rsidR="00573E37" w:rsidRPr="00AF4B06" w:rsidRDefault="00573E37" w:rsidP="00961029">
            <w:pPr>
              <w:jc w:val="center"/>
              <w:rPr>
                <w:rFonts w:ascii="Arial" w:hAnsi="Arial" w:cs="Arial"/>
              </w:rPr>
            </w:pPr>
            <w:r w:rsidRPr="00AF4B06">
              <w:rPr>
                <w:rFonts w:ascii="Arial" w:hAnsi="Arial" w:cs="Arial"/>
              </w:rPr>
              <w:t>261 (50.9)</w:t>
            </w:r>
          </w:p>
        </w:tc>
        <w:tc>
          <w:tcPr>
            <w:tcW w:w="1850" w:type="dxa"/>
          </w:tcPr>
          <w:p w14:paraId="64448A8B" w14:textId="77777777" w:rsidR="00573E37" w:rsidRPr="00AF4B06" w:rsidRDefault="00573E37" w:rsidP="00961029">
            <w:pPr>
              <w:jc w:val="center"/>
              <w:rPr>
                <w:rFonts w:ascii="Arial" w:hAnsi="Arial" w:cs="Arial"/>
              </w:rPr>
            </w:pPr>
            <w:r w:rsidRPr="00AF4B06">
              <w:rPr>
                <w:rFonts w:ascii="Arial" w:hAnsi="Arial" w:cs="Arial"/>
              </w:rPr>
              <w:t>339 (64.9)</w:t>
            </w:r>
          </w:p>
        </w:tc>
        <w:tc>
          <w:tcPr>
            <w:tcW w:w="1850" w:type="dxa"/>
          </w:tcPr>
          <w:p w14:paraId="3483DD99" w14:textId="77777777" w:rsidR="00573E37" w:rsidRPr="00AF4B06" w:rsidRDefault="00573E37" w:rsidP="00961029">
            <w:pPr>
              <w:jc w:val="center"/>
              <w:rPr>
                <w:rFonts w:ascii="Arial" w:hAnsi="Arial" w:cs="Arial"/>
              </w:rPr>
            </w:pPr>
            <w:r w:rsidRPr="00AF4B06">
              <w:rPr>
                <w:rFonts w:ascii="Arial" w:hAnsi="Arial" w:cs="Arial"/>
              </w:rPr>
              <w:t>304 (58.2)</w:t>
            </w:r>
          </w:p>
        </w:tc>
        <w:tc>
          <w:tcPr>
            <w:tcW w:w="1995" w:type="dxa"/>
          </w:tcPr>
          <w:p w14:paraId="41D90E06" w14:textId="77777777" w:rsidR="00573E37" w:rsidRPr="00AF4B06" w:rsidRDefault="00573E37" w:rsidP="00961029">
            <w:pPr>
              <w:jc w:val="center"/>
              <w:rPr>
                <w:rFonts w:ascii="Arial" w:hAnsi="Arial" w:cs="Arial"/>
              </w:rPr>
            </w:pPr>
            <w:r w:rsidRPr="00AF4B06">
              <w:rPr>
                <w:rFonts w:ascii="Arial" w:hAnsi="Arial" w:cs="Arial"/>
              </w:rPr>
              <w:t>0.87 (0.79, 0.96)*</w:t>
            </w:r>
          </w:p>
        </w:tc>
        <w:tc>
          <w:tcPr>
            <w:tcW w:w="1890" w:type="dxa"/>
          </w:tcPr>
          <w:p w14:paraId="3EFBD50C" w14:textId="77777777" w:rsidR="00573E37" w:rsidRPr="00AF4B06" w:rsidRDefault="00573E37" w:rsidP="00961029">
            <w:pPr>
              <w:jc w:val="center"/>
              <w:rPr>
                <w:rFonts w:ascii="Arial" w:hAnsi="Arial" w:cs="Arial"/>
              </w:rPr>
            </w:pPr>
            <w:r w:rsidRPr="00AF4B06">
              <w:rPr>
                <w:rFonts w:ascii="Arial" w:hAnsi="Arial" w:cs="Arial"/>
              </w:rPr>
              <w:t>0.85 (0.77, 0.95)*</w:t>
            </w:r>
          </w:p>
        </w:tc>
      </w:tr>
      <w:tr w:rsidR="00AF4B06" w:rsidRPr="00AF4B06" w14:paraId="76F66AEF" w14:textId="77777777" w:rsidTr="00961029">
        <w:tc>
          <w:tcPr>
            <w:tcW w:w="1850" w:type="dxa"/>
            <w:vAlign w:val="center"/>
          </w:tcPr>
          <w:p w14:paraId="63B8E738" w14:textId="77777777" w:rsidR="00573E37" w:rsidRPr="00AF4B06" w:rsidRDefault="00573E37" w:rsidP="00961029">
            <w:pPr>
              <w:rPr>
                <w:rFonts w:ascii="Arial" w:hAnsi="Arial" w:cs="Arial"/>
              </w:rPr>
            </w:pPr>
            <w:r w:rsidRPr="00AF4B06">
              <w:rPr>
                <w:rFonts w:ascii="Arial" w:hAnsi="Arial" w:cs="Arial"/>
              </w:rPr>
              <w:t xml:space="preserve">Iron </w:t>
            </w:r>
            <w:proofErr w:type="spellStart"/>
            <w:r w:rsidRPr="00AF4B06">
              <w:rPr>
                <w:rFonts w:ascii="Arial" w:hAnsi="Arial" w:cs="Arial"/>
              </w:rPr>
              <w:t>deficiency</w:t>
            </w:r>
            <w:r w:rsidRPr="00AF4B06">
              <w:rPr>
                <w:rFonts w:ascii="Arial" w:eastAsia="Times New Roman" w:hAnsi="Arial" w:cs="Arial"/>
                <w:sz w:val="24"/>
                <w:szCs w:val="24"/>
                <w:vertAlign w:val="superscript"/>
              </w:rPr>
              <w:t>ǁ</w:t>
            </w:r>
            <w:proofErr w:type="spellEnd"/>
            <w:r w:rsidRPr="00AF4B06">
              <w:rPr>
                <w:rFonts w:ascii="Arial" w:hAnsi="Arial" w:cs="Arial"/>
              </w:rPr>
              <w:t xml:space="preserve"> anemia, %</w:t>
            </w:r>
          </w:p>
        </w:tc>
        <w:tc>
          <w:tcPr>
            <w:tcW w:w="1850" w:type="dxa"/>
          </w:tcPr>
          <w:p w14:paraId="478B3F10" w14:textId="77777777" w:rsidR="00573E37" w:rsidRPr="00AF4B06" w:rsidRDefault="00573E37" w:rsidP="00961029">
            <w:pPr>
              <w:jc w:val="center"/>
              <w:rPr>
                <w:rFonts w:ascii="Arial" w:hAnsi="Arial" w:cs="Arial"/>
              </w:rPr>
            </w:pPr>
            <w:r w:rsidRPr="00AF4B06">
              <w:rPr>
                <w:rFonts w:ascii="Arial" w:hAnsi="Arial" w:cs="Arial"/>
              </w:rPr>
              <w:t>220 (43.9)</w:t>
            </w:r>
          </w:p>
        </w:tc>
        <w:tc>
          <w:tcPr>
            <w:tcW w:w="1850" w:type="dxa"/>
          </w:tcPr>
          <w:p w14:paraId="43FF1BFC" w14:textId="77777777" w:rsidR="00573E37" w:rsidRPr="00AF4B06" w:rsidRDefault="00573E37" w:rsidP="00961029">
            <w:pPr>
              <w:jc w:val="center"/>
              <w:rPr>
                <w:rFonts w:ascii="Arial" w:hAnsi="Arial" w:cs="Arial"/>
              </w:rPr>
            </w:pPr>
            <w:r w:rsidRPr="00AF4B06">
              <w:rPr>
                <w:rFonts w:ascii="Arial" w:hAnsi="Arial" w:cs="Arial"/>
              </w:rPr>
              <w:t>136 (27.1)</w:t>
            </w:r>
          </w:p>
        </w:tc>
        <w:tc>
          <w:tcPr>
            <w:tcW w:w="1850" w:type="dxa"/>
          </w:tcPr>
          <w:p w14:paraId="2CE15DDA" w14:textId="77777777" w:rsidR="00573E37" w:rsidRPr="00AF4B06" w:rsidRDefault="00573E37" w:rsidP="00961029">
            <w:pPr>
              <w:jc w:val="center"/>
              <w:rPr>
                <w:rFonts w:ascii="Arial" w:hAnsi="Arial" w:cs="Arial"/>
              </w:rPr>
            </w:pPr>
            <w:r w:rsidRPr="00AF4B06">
              <w:rPr>
                <w:rFonts w:ascii="Arial" w:hAnsi="Arial" w:cs="Arial"/>
              </w:rPr>
              <w:t>204 (39.5)</w:t>
            </w:r>
          </w:p>
        </w:tc>
        <w:tc>
          <w:tcPr>
            <w:tcW w:w="1850" w:type="dxa"/>
          </w:tcPr>
          <w:p w14:paraId="5CDA3CB9" w14:textId="77777777" w:rsidR="00573E37" w:rsidRPr="00AF4B06" w:rsidRDefault="00573E37" w:rsidP="00961029">
            <w:pPr>
              <w:jc w:val="center"/>
              <w:rPr>
                <w:rFonts w:ascii="Arial" w:hAnsi="Arial" w:cs="Arial"/>
              </w:rPr>
            </w:pPr>
            <w:r w:rsidRPr="00AF4B06">
              <w:rPr>
                <w:rFonts w:ascii="Arial" w:hAnsi="Arial" w:cs="Arial"/>
              </w:rPr>
              <w:t>160 (31.0)</w:t>
            </w:r>
          </w:p>
        </w:tc>
        <w:tc>
          <w:tcPr>
            <w:tcW w:w="1995" w:type="dxa"/>
          </w:tcPr>
          <w:p w14:paraId="3B587ED1" w14:textId="77777777" w:rsidR="00573E37" w:rsidRPr="00AF4B06" w:rsidRDefault="00573E37" w:rsidP="00961029">
            <w:pPr>
              <w:jc w:val="center"/>
              <w:rPr>
                <w:rFonts w:ascii="Arial" w:hAnsi="Arial" w:cs="Arial"/>
              </w:rPr>
            </w:pPr>
            <w:r w:rsidRPr="00AF4B06">
              <w:rPr>
                <w:rFonts w:ascii="Arial" w:hAnsi="Arial" w:cs="Arial"/>
              </w:rPr>
              <w:t>0.87 (0.73, 1.03)</w:t>
            </w:r>
          </w:p>
        </w:tc>
        <w:tc>
          <w:tcPr>
            <w:tcW w:w="1890" w:type="dxa"/>
          </w:tcPr>
          <w:p w14:paraId="4D05EA32" w14:textId="77777777" w:rsidR="00573E37" w:rsidRPr="00AF4B06" w:rsidRDefault="00573E37" w:rsidP="00961029">
            <w:pPr>
              <w:jc w:val="center"/>
              <w:rPr>
                <w:rFonts w:ascii="Arial" w:hAnsi="Arial" w:cs="Arial"/>
              </w:rPr>
            </w:pPr>
            <w:r w:rsidRPr="00AF4B06">
              <w:rPr>
                <w:rFonts w:ascii="Arial" w:hAnsi="Arial" w:cs="Arial"/>
              </w:rPr>
              <w:t>0.85 (0.72, 1.02)</w:t>
            </w:r>
          </w:p>
        </w:tc>
      </w:tr>
    </w:tbl>
    <w:p w14:paraId="66714CCE" w14:textId="77777777" w:rsidR="00573E37" w:rsidRPr="00AF4B06" w:rsidRDefault="00573E37" w:rsidP="00573E37">
      <w:pPr>
        <w:pStyle w:val="BodyText"/>
        <w:rPr>
          <w:position w:val="6"/>
          <w:sz w:val="22"/>
          <w:szCs w:val="22"/>
        </w:rPr>
      </w:pPr>
      <w:r w:rsidRPr="00AF4B06">
        <w:rPr>
          <w:position w:val="6"/>
          <w:sz w:val="22"/>
          <w:szCs w:val="22"/>
        </w:rPr>
        <w:lastRenderedPageBreak/>
        <w:t xml:space="preserve">Hb, hemoglobin; MNP, micronutrient powder; pF, plasma ferritin; sTfR, soluble transferrin receptor </w:t>
      </w:r>
    </w:p>
    <w:p w14:paraId="239C6FF3" w14:textId="77777777" w:rsidR="00573E37" w:rsidRPr="00AF4B06" w:rsidRDefault="00573E37" w:rsidP="00573E37">
      <w:pPr>
        <w:pStyle w:val="BodyText"/>
        <w:spacing w:line="259" w:lineRule="auto"/>
        <w:ind w:left="223" w:right="636"/>
        <w:jc w:val="both"/>
        <w:rPr>
          <w:sz w:val="22"/>
          <w:szCs w:val="22"/>
          <w:vertAlign w:val="superscript"/>
        </w:rPr>
      </w:pPr>
    </w:p>
    <w:p w14:paraId="437F9372" w14:textId="77777777" w:rsidR="00573E37" w:rsidRPr="00AF4B06" w:rsidRDefault="00573E37" w:rsidP="00573E37">
      <w:pPr>
        <w:pStyle w:val="BodyText"/>
        <w:spacing w:line="259" w:lineRule="auto"/>
        <w:ind w:left="223" w:right="636"/>
        <w:jc w:val="both"/>
        <w:rPr>
          <w:sz w:val="22"/>
          <w:szCs w:val="22"/>
        </w:rPr>
      </w:pPr>
      <w:r w:rsidRPr="00AF4B06">
        <w:rPr>
          <w:sz w:val="22"/>
          <w:szCs w:val="22"/>
        </w:rPr>
        <w:t>* Values are mean ±</w:t>
      </w:r>
      <w:r w:rsidRPr="00AF4B06">
        <w:rPr>
          <w:rFonts w:eastAsia="Times New Roman"/>
        </w:rPr>
        <w:t xml:space="preserve"> </w:t>
      </w:r>
      <w:r w:rsidRPr="00AF4B06">
        <w:rPr>
          <w:sz w:val="22"/>
          <w:szCs w:val="22"/>
        </w:rPr>
        <w:t>SD with difference in means for comparison, or n (%) and prevalence ratio for comparison, or median (Q1, Q3) and geometric mean ratio for comparison.</w:t>
      </w:r>
    </w:p>
    <w:p w14:paraId="104851E9" w14:textId="77777777" w:rsidR="00573E37" w:rsidRPr="00AF4B06" w:rsidRDefault="00573E37" w:rsidP="00573E37">
      <w:pPr>
        <w:pStyle w:val="BodyText"/>
        <w:spacing w:line="259" w:lineRule="auto"/>
        <w:ind w:left="223" w:right="636"/>
        <w:jc w:val="both"/>
        <w:rPr>
          <w:sz w:val="22"/>
          <w:szCs w:val="22"/>
        </w:rPr>
      </w:pPr>
      <w:r w:rsidRPr="00AF4B06">
        <w:rPr>
          <w:rFonts w:ascii="Times New Roman" w:eastAsia="Times New Roman" w:hAnsi="Times New Roman"/>
          <w:sz w:val="20"/>
          <w:szCs w:val="20"/>
          <w:vertAlign w:val="superscript"/>
        </w:rPr>
        <w:t xml:space="preserve">† </w:t>
      </w:r>
      <w:r w:rsidRPr="00AF4B06">
        <w:rPr>
          <w:sz w:val="22"/>
          <w:szCs w:val="22"/>
        </w:rPr>
        <w:t>Minimally adjusted for baseline value, age at enrolment, and district.</w:t>
      </w:r>
    </w:p>
    <w:p w14:paraId="417B14C9" w14:textId="77777777" w:rsidR="00573E37" w:rsidRPr="00AF4B06" w:rsidRDefault="00573E37" w:rsidP="00573E37">
      <w:pPr>
        <w:pStyle w:val="BodyText"/>
        <w:spacing w:line="259" w:lineRule="auto"/>
        <w:ind w:left="223" w:right="636"/>
        <w:jc w:val="both"/>
        <w:rPr>
          <w:sz w:val="22"/>
          <w:szCs w:val="22"/>
        </w:rPr>
      </w:pPr>
      <w:r w:rsidRPr="00AF4B06">
        <w:rPr>
          <w:rFonts w:ascii="Times New Roman" w:eastAsia="Times New Roman" w:hAnsi="Times New Roman"/>
          <w:sz w:val="20"/>
          <w:szCs w:val="20"/>
          <w:vertAlign w:val="superscript"/>
        </w:rPr>
        <w:t xml:space="preserve">‡ </w:t>
      </w:r>
      <w:r w:rsidRPr="00AF4B06">
        <w:rPr>
          <w:sz w:val="22"/>
          <w:szCs w:val="22"/>
        </w:rPr>
        <w:t>Adjusted for baseline value, age at enrolment and district, and potentially adjusted (where P for correlation&lt;0.1) for maternal age at baseline, height, BMI, and education, child sex, month of enrolment, adequate dietary diversity at baseline, minimum meal frequency at baseline, iron rich foods consumed at baseline, number of children under 5 in the household, household food insecurity score, socio-economic index, average adequate dietary diversity, average consumption of iron rich foods, and baseline growth status.</w:t>
      </w:r>
    </w:p>
    <w:p w14:paraId="29D94541" w14:textId="77777777" w:rsidR="00573E37" w:rsidRPr="00AF4B06" w:rsidRDefault="00573E37" w:rsidP="00573E37">
      <w:pPr>
        <w:pStyle w:val="BodyText"/>
        <w:spacing w:line="259" w:lineRule="auto"/>
        <w:ind w:left="223" w:right="636"/>
        <w:jc w:val="both"/>
        <w:rPr>
          <w:sz w:val="22"/>
          <w:szCs w:val="22"/>
        </w:rPr>
      </w:pPr>
      <w:r w:rsidRPr="00AF4B06">
        <w:rPr>
          <w:vertAlign w:val="superscript"/>
        </w:rPr>
        <w:t xml:space="preserve">§ </w:t>
      </w:r>
      <w:r w:rsidRPr="00AF4B06">
        <w:rPr>
          <w:sz w:val="22"/>
          <w:szCs w:val="22"/>
        </w:rPr>
        <w:t xml:space="preserve">Iron status indicators adjusted for inflammation. Continuous outcomes log transformed for analysis. </w:t>
      </w:r>
    </w:p>
    <w:p w14:paraId="0F42871D" w14:textId="77777777" w:rsidR="00573E37" w:rsidRPr="00AF4B06" w:rsidRDefault="00573E37" w:rsidP="00573E37">
      <w:pPr>
        <w:pStyle w:val="BodyText"/>
        <w:spacing w:line="259" w:lineRule="auto"/>
        <w:ind w:left="223" w:right="636"/>
        <w:jc w:val="both"/>
        <w:rPr>
          <w:sz w:val="22"/>
          <w:szCs w:val="22"/>
        </w:rPr>
      </w:pPr>
      <w:r w:rsidRPr="00AF4B06">
        <w:rPr>
          <w:rFonts w:eastAsia="Times New Roman"/>
          <w:sz w:val="24"/>
          <w:szCs w:val="24"/>
          <w:vertAlign w:val="superscript"/>
        </w:rPr>
        <w:t>ǁ</w:t>
      </w:r>
      <w:r w:rsidRPr="00AF4B06">
        <w:rPr>
          <w:sz w:val="22"/>
          <w:szCs w:val="22"/>
          <w:vertAlign w:val="superscript"/>
        </w:rPr>
        <w:t xml:space="preserve"> </w:t>
      </w:r>
      <w:r w:rsidRPr="00AF4B06">
        <w:rPr>
          <w:sz w:val="22"/>
          <w:szCs w:val="22"/>
        </w:rPr>
        <w:t>Iron deficiency defined as ferritin &lt; 12 µg/L and/or sTfR &gt; 8.3 mg/L</w:t>
      </w:r>
    </w:p>
    <w:p w14:paraId="412F79F6" w14:textId="77777777" w:rsidR="00573E37" w:rsidRPr="00AF4B06" w:rsidRDefault="00573E37" w:rsidP="00573E37">
      <w:pPr>
        <w:pStyle w:val="BodyText"/>
        <w:spacing w:line="259" w:lineRule="auto"/>
        <w:ind w:left="223" w:right="636"/>
        <w:jc w:val="both"/>
        <w:rPr>
          <w:sz w:val="22"/>
          <w:szCs w:val="22"/>
        </w:rPr>
      </w:pPr>
      <w:r w:rsidRPr="00AF4B06">
        <w:rPr>
          <w:sz w:val="22"/>
          <w:szCs w:val="22"/>
        </w:rPr>
        <w:t>Statistically significant *P &lt; 0.05</w:t>
      </w:r>
    </w:p>
    <w:p w14:paraId="7EA87F94" w14:textId="77777777" w:rsidR="00385816" w:rsidRDefault="00385816">
      <w:pPr>
        <w:sectPr w:rsidR="00385816" w:rsidSect="00385816">
          <w:footerReference w:type="default" r:id="rId9"/>
          <w:pgSz w:w="15840" w:h="12240" w:orient="landscape"/>
          <w:pgMar w:top="1440" w:right="1440" w:bottom="1440" w:left="1440" w:header="720" w:footer="720" w:gutter="0"/>
          <w:cols w:space="720"/>
          <w:docGrid w:linePitch="360"/>
        </w:sectPr>
      </w:pPr>
    </w:p>
    <w:p w14:paraId="5F2B5BF3" w14:textId="213346C8" w:rsidR="00573E37" w:rsidRPr="00AF4B06" w:rsidRDefault="00573E37">
      <w:pPr>
        <w:rPr>
          <w:rFonts w:ascii="Arial" w:eastAsia="Arial" w:hAnsi="Arial" w:cs="Arial"/>
        </w:rPr>
      </w:pPr>
    </w:p>
    <w:p w14:paraId="1D7366FA" w14:textId="4DF44DB6" w:rsidR="00573E37" w:rsidRPr="00AF4B06" w:rsidRDefault="00573E37" w:rsidP="00573E37">
      <w:pPr>
        <w:pStyle w:val="BodyText"/>
        <w:rPr>
          <w:sz w:val="22"/>
          <w:szCs w:val="22"/>
        </w:rPr>
      </w:pPr>
      <w:r w:rsidRPr="00AF4B06">
        <w:rPr>
          <w:sz w:val="22"/>
          <w:szCs w:val="22"/>
        </w:rPr>
        <w:t xml:space="preserve">Supplementary Table </w:t>
      </w:r>
      <w:r w:rsidR="00961029" w:rsidRPr="00AF4B06">
        <w:rPr>
          <w:sz w:val="22"/>
          <w:szCs w:val="22"/>
        </w:rPr>
        <w:t>S3</w:t>
      </w:r>
      <w:r w:rsidRPr="00AF4B06">
        <w:rPr>
          <w:sz w:val="22"/>
          <w:szCs w:val="22"/>
        </w:rPr>
        <w:t>: Effect of a low iron, high zinc MNP on growth of young children in the Lao Zinc Study*</w:t>
      </w:r>
    </w:p>
    <w:p w14:paraId="6F42354C" w14:textId="77777777" w:rsidR="00573E37" w:rsidRPr="00AF4B06" w:rsidRDefault="00573E37" w:rsidP="00573E37">
      <w:pPr>
        <w:tabs>
          <w:tab w:val="left" w:pos="5802"/>
          <w:tab w:val="left" w:pos="7815"/>
          <w:tab w:val="left" w:pos="9810"/>
        </w:tabs>
        <w:spacing w:after="41" w:line="200" w:lineRule="exact"/>
        <w:rPr>
          <w:rFonts w:ascii="Arial" w:hAnsi="Arial" w:cs="Arial"/>
          <w:b/>
          <w:sz w:val="12"/>
        </w:rPr>
      </w:pPr>
      <w:r w:rsidRPr="00AF4B06">
        <w:rPr>
          <w:rFonts w:ascii="Arial" w:hAnsi="Arial" w:cs="Arial"/>
          <w:b/>
          <w:sz w:val="16"/>
        </w:rPr>
        <w:tab/>
      </w:r>
      <w:r w:rsidRPr="00AF4B06">
        <w:rPr>
          <w:rFonts w:ascii="Arial" w:hAnsi="Arial" w:cs="Arial"/>
          <w:b/>
          <w:sz w:val="16"/>
        </w:rPr>
        <w:tab/>
      </w:r>
      <w:r w:rsidRPr="00AF4B06">
        <w:rPr>
          <w:rFonts w:ascii="Arial" w:hAnsi="Arial" w:cs="Arial"/>
          <w:b/>
          <w:position w:val="6"/>
          <w:sz w:val="12"/>
        </w:rPr>
        <w:tab/>
      </w:r>
    </w:p>
    <w:tbl>
      <w:tblPr>
        <w:tblW w:w="47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46"/>
        <w:gridCol w:w="1122"/>
        <w:gridCol w:w="935"/>
        <w:gridCol w:w="933"/>
        <w:gridCol w:w="935"/>
        <w:gridCol w:w="1532"/>
        <w:gridCol w:w="1431"/>
      </w:tblGrid>
      <w:tr w:rsidR="00AF4B06" w:rsidRPr="00AF4B06" w14:paraId="3441E4C5" w14:textId="77777777" w:rsidTr="00961029">
        <w:trPr>
          <w:trHeight w:val="409"/>
        </w:trPr>
        <w:tc>
          <w:tcPr>
            <w:tcW w:w="1102" w:type="pct"/>
            <w:vAlign w:val="center"/>
          </w:tcPr>
          <w:p w14:paraId="5A039274" w14:textId="77777777" w:rsidR="00573E37" w:rsidRPr="00AF4B06" w:rsidRDefault="00573E37" w:rsidP="00961029">
            <w:pPr>
              <w:pStyle w:val="TableParagraph"/>
              <w:ind w:left="0"/>
            </w:pPr>
          </w:p>
        </w:tc>
        <w:tc>
          <w:tcPr>
            <w:tcW w:w="1164" w:type="pct"/>
            <w:gridSpan w:val="2"/>
            <w:vAlign w:val="center"/>
          </w:tcPr>
          <w:p w14:paraId="56165111" w14:textId="77777777" w:rsidR="00573E37" w:rsidRPr="00AF4B06" w:rsidRDefault="00573E37" w:rsidP="00961029">
            <w:pPr>
              <w:pStyle w:val="TableParagraph"/>
              <w:ind w:left="0"/>
              <w:jc w:val="center"/>
            </w:pPr>
            <w:r w:rsidRPr="00AF4B06">
              <w:t>MNP</w:t>
            </w:r>
          </w:p>
        </w:tc>
        <w:tc>
          <w:tcPr>
            <w:tcW w:w="1057" w:type="pct"/>
            <w:gridSpan w:val="2"/>
            <w:vAlign w:val="center"/>
          </w:tcPr>
          <w:p w14:paraId="3130ECB7" w14:textId="77777777" w:rsidR="00573E37" w:rsidRPr="00AF4B06" w:rsidRDefault="00573E37" w:rsidP="00961029">
            <w:pPr>
              <w:pStyle w:val="TableParagraph"/>
              <w:ind w:left="0"/>
              <w:jc w:val="center"/>
            </w:pPr>
            <w:r w:rsidRPr="00AF4B06">
              <w:t>Placebo</w:t>
            </w:r>
          </w:p>
        </w:tc>
        <w:tc>
          <w:tcPr>
            <w:tcW w:w="867" w:type="pct"/>
            <w:vMerge w:val="restart"/>
            <w:vAlign w:val="center"/>
          </w:tcPr>
          <w:p w14:paraId="3CF605C4" w14:textId="77777777" w:rsidR="00573E37" w:rsidRPr="00AF4B06" w:rsidRDefault="00573E37" w:rsidP="00961029">
            <w:pPr>
              <w:pStyle w:val="TableParagraph"/>
              <w:ind w:left="0" w:right="52"/>
              <w:jc w:val="center"/>
              <w:rPr>
                <w:w w:val="105"/>
              </w:rPr>
            </w:pPr>
            <w:r w:rsidRPr="00AF4B06">
              <w:t>Minimally</w:t>
            </w:r>
            <w:r w:rsidRPr="00AF4B06">
              <w:rPr>
                <w:spacing w:val="-13"/>
              </w:rPr>
              <w:t xml:space="preserve"> </w:t>
            </w:r>
            <w:r w:rsidRPr="00AF4B06">
              <w:t>adjusted</w:t>
            </w:r>
            <w:r w:rsidRPr="00AF4B06">
              <w:rPr>
                <w:rFonts w:eastAsia="Times New Roman"/>
                <w:sz w:val="24"/>
                <w:szCs w:val="24"/>
                <w:vertAlign w:val="superscript"/>
              </w:rPr>
              <w:t>†</w:t>
            </w:r>
          </w:p>
          <w:p w14:paraId="45480F83" w14:textId="77777777" w:rsidR="00573E37" w:rsidRPr="00AF4B06" w:rsidRDefault="00573E37" w:rsidP="00961029">
            <w:pPr>
              <w:pStyle w:val="TableParagraph"/>
              <w:ind w:left="0" w:right="52"/>
              <w:jc w:val="center"/>
            </w:pPr>
            <w:r w:rsidRPr="00AF4B06">
              <w:rPr>
                <w:w w:val="105"/>
              </w:rPr>
              <w:t>comparison (95% CI)</w:t>
            </w:r>
          </w:p>
        </w:tc>
        <w:tc>
          <w:tcPr>
            <w:tcW w:w="810" w:type="pct"/>
            <w:vMerge w:val="restart"/>
            <w:vAlign w:val="center"/>
          </w:tcPr>
          <w:p w14:paraId="7887F039" w14:textId="77777777" w:rsidR="00573E37" w:rsidRPr="00AF4B06" w:rsidRDefault="00573E37" w:rsidP="00961029">
            <w:pPr>
              <w:pStyle w:val="TableParagraph"/>
              <w:ind w:left="0" w:right="53"/>
              <w:jc w:val="center"/>
              <w:rPr>
                <w:w w:val="105"/>
              </w:rPr>
            </w:pPr>
            <w:r w:rsidRPr="00AF4B06">
              <w:t>Fully</w:t>
            </w:r>
            <w:r w:rsidRPr="00AF4B06">
              <w:rPr>
                <w:spacing w:val="8"/>
              </w:rPr>
              <w:t xml:space="preserve"> </w:t>
            </w:r>
            <w:r w:rsidRPr="00AF4B06">
              <w:t>adjusted</w:t>
            </w:r>
            <w:r w:rsidRPr="00AF4B06">
              <w:rPr>
                <w:rFonts w:ascii="Times New Roman" w:eastAsia="Times New Roman" w:hAnsi="Times New Roman"/>
                <w:sz w:val="20"/>
                <w:szCs w:val="20"/>
                <w:vertAlign w:val="superscript"/>
              </w:rPr>
              <w:t>‡</w:t>
            </w:r>
          </w:p>
          <w:p w14:paraId="1217C088" w14:textId="77777777" w:rsidR="00573E37" w:rsidRPr="00AF4B06" w:rsidRDefault="00573E37" w:rsidP="00961029">
            <w:pPr>
              <w:pStyle w:val="TableParagraph"/>
              <w:ind w:left="0" w:right="53"/>
              <w:jc w:val="center"/>
            </w:pPr>
            <w:r w:rsidRPr="00AF4B06">
              <w:rPr>
                <w:w w:val="105"/>
              </w:rPr>
              <w:t>comparison (95% CI)</w:t>
            </w:r>
          </w:p>
        </w:tc>
      </w:tr>
      <w:tr w:rsidR="00AF4B06" w:rsidRPr="00AF4B06" w14:paraId="6649DFCE" w14:textId="77777777" w:rsidTr="00961029">
        <w:trPr>
          <w:trHeight w:val="409"/>
        </w:trPr>
        <w:tc>
          <w:tcPr>
            <w:tcW w:w="1102" w:type="pct"/>
            <w:vAlign w:val="center"/>
          </w:tcPr>
          <w:p w14:paraId="5EF2185B" w14:textId="77777777" w:rsidR="00573E37" w:rsidRPr="00AF4B06" w:rsidRDefault="00573E37" w:rsidP="00961029">
            <w:pPr>
              <w:pStyle w:val="TableParagraph"/>
              <w:ind w:left="0"/>
            </w:pPr>
          </w:p>
        </w:tc>
        <w:tc>
          <w:tcPr>
            <w:tcW w:w="635" w:type="pct"/>
            <w:vAlign w:val="center"/>
          </w:tcPr>
          <w:p w14:paraId="089D3D25" w14:textId="77777777" w:rsidR="00573E37" w:rsidRPr="00AF4B06" w:rsidRDefault="00573E37" w:rsidP="00961029">
            <w:pPr>
              <w:pStyle w:val="TableParagraph"/>
              <w:ind w:left="0"/>
              <w:jc w:val="center"/>
            </w:pPr>
            <w:r w:rsidRPr="00AF4B06">
              <w:t>Baseline</w:t>
            </w:r>
          </w:p>
        </w:tc>
        <w:tc>
          <w:tcPr>
            <w:tcW w:w="529" w:type="pct"/>
            <w:vAlign w:val="center"/>
          </w:tcPr>
          <w:p w14:paraId="133F5F01" w14:textId="77777777" w:rsidR="00573E37" w:rsidRPr="00AF4B06" w:rsidRDefault="00573E37" w:rsidP="00961029">
            <w:pPr>
              <w:pStyle w:val="TableParagraph"/>
              <w:ind w:left="0"/>
              <w:jc w:val="center"/>
            </w:pPr>
            <w:r w:rsidRPr="00AF4B06">
              <w:t>Endline</w:t>
            </w:r>
          </w:p>
        </w:tc>
        <w:tc>
          <w:tcPr>
            <w:tcW w:w="528" w:type="pct"/>
            <w:vAlign w:val="center"/>
          </w:tcPr>
          <w:p w14:paraId="012C6370" w14:textId="77777777" w:rsidR="00573E37" w:rsidRPr="00AF4B06" w:rsidRDefault="00573E37" w:rsidP="00961029">
            <w:pPr>
              <w:pStyle w:val="TableParagraph"/>
              <w:ind w:left="0"/>
              <w:jc w:val="center"/>
            </w:pPr>
            <w:r w:rsidRPr="00AF4B06">
              <w:t>Baseline</w:t>
            </w:r>
          </w:p>
        </w:tc>
        <w:tc>
          <w:tcPr>
            <w:tcW w:w="529" w:type="pct"/>
            <w:vAlign w:val="center"/>
          </w:tcPr>
          <w:p w14:paraId="1EEF6A66" w14:textId="77777777" w:rsidR="00573E37" w:rsidRPr="00AF4B06" w:rsidRDefault="00573E37" w:rsidP="00961029">
            <w:pPr>
              <w:pStyle w:val="TableParagraph"/>
              <w:ind w:left="0"/>
              <w:jc w:val="center"/>
            </w:pPr>
            <w:r w:rsidRPr="00AF4B06">
              <w:t>Endline</w:t>
            </w:r>
          </w:p>
        </w:tc>
        <w:tc>
          <w:tcPr>
            <w:tcW w:w="867" w:type="pct"/>
            <w:vMerge/>
            <w:vAlign w:val="center"/>
          </w:tcPr>
          <w:p w14:paraId="61D1930F" w14:textId="77777777" w:rsidR="00573E37" w:rsidRPr="00AF4B06" w:rsidRDefault="00573E37" w:rsidP="00961029">
            <w:pPr>
              <w:pStyle w:val="TableParagraph"/>
              <w:ind w:left="0" w:right="52"/>
              <w:jc w:val="center"/>
            </w:pPr>
          </w:p>
        </w:tc>
        <w:tc>
          <w:tcPr>
            <w:tcW w:w="810" w:type="pct"/>
            <w:vMerge/>
            <w:vAlign w:val="center"/>
          </w:tcPr>
          <w:p w14:paraId="4003A125" w14:textId="77777777" w:rsidR="00573E37" w:rsidRPr="00AF4B06" w:rsidRDefault="00573E37" w:rsidP="00961029">
            <w:pPr>
              <w:pStyle w:val="TableParagraph"/>
              <w:ind w:left="0" w:right="53"/>
              <w:jc w:val="center"/>
            </w:pPr>
          </w:p>
        </w:tc>
      </w:tr>
      <w:tr w:rsidR="00AF4B06" w:rsidRPr="00AF4B06" w14:paraId="429FF32F" w14:textId="77777777" w:rsidTr="00961029">
        <w:trPr>
          <w:trHeight w:val="409"/>
        </w:trPr>
        <w:tc>
          <w:tcPr>
            <w:tcW w:w="1102" w:type="pct"/>
            <w:vAlign w:val="center"/>
          </w:tcPr>
          <w:p w14:paraId="3B1BDA19" w14:textId="77777777" w:rsidR="00573E37" w:rsidRPr="00AF4B06" w:rsidRDefault="00573E37" w:rsidP="00961029">
            <w:pPr>
              <w:pStyle w:val="TableParagraph"/>
              <w:spacing w:before="45"/>
              <w:ind w:left="175"/>
              <w:rPr>
                <w:w w:val="105"/>
              </w:rPr>
            </w:pPr>
            <w:r w:rsidRPr="00AF4B06">
              <w:rPr>
                <w:w w:val="105"/>
              </w:rPr>
              <w:t>N</w:t>
            </w:r>
          </w:p>
        </w:tc>
        <w:tc>
          <w:tcPr>
            <w:tcW w:w="1164" w:type="pct"/>
            <w:gridSpan w:val="2"/>
            <w:vAlign w:val="center"/>
          </w:tcPr>
          <w:p w14:paraId="368AB904" w14:textId="77777777" w:rsidR="00573E37" w:rsidRPr="00AF4B06" w:rsidRDefault="00573E37" w:rsidP="00961029">
            <w:pPr>
              <w:pStyle w:val="TableParagraph"/>
              <w:spacing w:before="45"/>
              <w:ind w:left="0"/>
              <w:jc w:val="center"/>
            </w:pPr>
            <w:r w:rsidRPr="00AF4B06">
              <w:t>701</w:t>
            </w:r>
          </w:p>
        </w:tc>
        <w:tc>
          <w:tcPr>
            <w:tcW w:w="1057" w:type="pct"/>
            <w:gridSpan w:val="2"/>
            <w:vAlign w:val="center"/>
          </w:tcPr>
          <w:p w14:paraId="02E89052" w14:textId="77777777" w:rsidR="00573E37" w:rsidRPr="00AF4B06" w:rsidRDefault="00573E37" w:rsidP="00961029">
            <w:pPr>
              <w:pStyle w:val="TableParagraph"/>
              <w:spacing w:before="45"/>
              <w:ind w:left="0"/>
              <w:jc w:val="center"/>
            </w:pPr>
            <w:r w:rsidRPr="00AF4B06">
              <w:t>740</w:t>
            </w:r>
          </w:p>
        </w:tc>
        <w:tc>
          <w:tcPr>
            <w:tcW w:w="867" w:type="pct"/>
            <w:vAlign w:val="center"/>
          </w:tcPr>
          <w:p w14:paraId="2EF5404E" w14:textId="77777777" w:rsidR="00573E37" w:rsidRPr="00AF4B06" w:rsidRDefault="00573E37" w:rsidP="00961029">
            <w:pPr>
              <w:pStyle w:val="TableParagraph"/>
              <w:spacing w:before="45"/>
              <w:ind w:left="0" w:right="53"/>
              <w:jc w:val="center"/>
            </w:pPr>
          </w:p>
        </w:tc>
        <w:tc>
          <w:tcPr>
            <w:tcW w:w="810" w:type="pct"/>
            <w:vAlign w:val="center"/>
          </w:tcPr>
          <w:p w14:paraId="11B0B1C1" w14:textId="77777777" w:rsidR="00573E37" w:rsidRPr="00AF4B06" w:rsidRDefault="00573E37" w:rsidP="00961029">
            <w:pPr>
              <w:pStyle w:val="TableParagraph"/>
              <w:spacing w:before="45"/>
              <w:ind w:left="0" w:right="53"/>
              <w:jc w:val="center"/>
            </w:pPr>
          </w:p>
        </w:tc>
      </w:tr>
      <w:tr w:rsidR="00AF4B06" w:rsidRPr="00AF4B06" w14:paraId="2DABF599" w14:textId="77777777" w:rsidTr="00961029">
        <w:trPr>
          <w:trHeight w:val="409"/>
        </w:trPr>
        <w:tc>
          <w:tcPr>
            <w:tcW w:w="1102" w:type="pct"/>
            <w:vAlign w:val="center"/>
          </w:tcPr>
          <w:p w14:paraId="0D412326" w14:textId="77777777" w:rsidR="00573E37" w:rsidRPr="00AF4B06" w:rsidRDefault="00573E37" w:rsidP="00961029">
            <w:pPr>
              <w:pStyle w:val="TableParagraph"/>
              <w:spacing w:before="45"/>
              <w:ind w:left="175"/>
            </w:pPr>
            <w:r w:rsidRPr="00AF4B06">
              <w:rPr>
                <w:w w:val="105"/>
              </w:rPr>
              <w:t>Length (cm)</w:t>
            </w:r>
          </w:p>
        </w:tc>
        <w:tc>
          <w:tcPr>
            <w:tcW w:w="635" w:type="pct"/>
            <w:vAlign w:val="center"/>
          </w:tcPr>
          <w:p w14:paraId="16EE30D0" w14:textId="4357B2B3" w:rsidR="00573E37" w:rsidRPr="00AF4B06" w:rsidRDefault="00D011A7" w:rsidP="00961029">
            <w:pPr>
              <w:pStyle w:val="TableParagraph"/>
              <w:spacing w:before="45"/>
              <w:ind w:left="0"/>
              <w:jc w:val="center"/>
            </w:pPr>
            <w:r w:rsidRPr="00AF4B06">
              <w:t>72.5 ± 5.4</w:t>
            </w:r>
          </w:p>
        </w:tc>
        <w:tc>
          <w:tcPr>
            <w:tcW w:w="529" w:type="pct"/>
            <w:vAlign w:val="center"/>
          </w:tcPr>
          <w:p w14:paraId="4AD36464" w14:textId="46D7A62B" w:rsidR="00573E37" w:rsidRPr="00AF4B06" w:rsidRDefault="00D011A7" w:rsidP="00961029">
            <w:pPr>
              <w:pStyle w:val="TableParagraph"/>
              <w:spacing w:before="45"/>
              <w:ind w:left="0"/>
              <w:jc w:val="center"/>
            </w:pPr>
            <w:r w:rsidRPr="00AF4B06">
              <w:t>79.2 ± 4.8</w:t>
            </w:r>
          </w:p>
        </w:tc>
        <w:tc>
          <w:tcPr>
            <w:tcW w:w="528" w:type="pct"/>
            <w:vAlign w:val="center"/>
          </w:tcPr>
          <w:p w14:paraId="2ABF3F73" w14:textId="45397305" w:rsidR="00573E37" w:rsidRPr="00AF4B06" w:rsidRDefault="00573E37" w:rsidP="00D011A7">
            <w:pPr>
              <w:pStyle w:val="TableParagraph"/>
              <w:spacing w:before="45"/>
              <w:ind w:left="0"/>
              <w:jc w:val="center"/>
            </w:pPr>
            <w:r w:rsidRPr="00AF4B06">
              <w:t>72.5 ± 5.</w:t>
            </w:r>
            <w:r w:rsidR="00D011A7" w:rsidRPr="00AF4B06">
              <w:t>6</w:t>
            </w:r>
          </w:p>
        </w:tc>
        <w:tc>
          <w:tcPr>
            <w:tcW w:w="529" w:type="pct"/>
            <w:vAlign w:val="center"/>
          </w:tcPr>
          <w:p w14:paraId="05F1E091" w14:textId="47FE5784" w:rsidR="00573E37" w:rsidRPr="00AF4B06" w:rsidRDefault="00573E37" w:rsidP="00D011A7">
            <w:pPr>
              <w:pStyle w:val="TableParagraph"/>
              <w:spacing w:before="45"/>
              <w:ind w:left="0"/>
              <w:jc w:val="center"/>
            </w:pPr>
            <w:r w:rsidRPr="00AF4B06">
              <w:t>79.3 ± 4.9</w:t>
            </w:r>
          </w:p>
        </w:tc>
        <w:tc>
          <w:tcPr>
            <w:tcW w:w="867" w:type="pct"/>
            <w:vAlign w:val="center"/>
          </w:tcPr>
          <w:p w14:paraId="2B40E096" w14:textId="77777777" w:rsidR="00573E37" w:rsidRPr="00AF4B06" w:rsidRDefault="00573E37" w:rsidP="00961029">
            <w:pPr>
              <w:pStyle w:val="TableParagraph"/>
              <w:spacing w:before="45"/>
              <w:ind w:left="0" w:right="53"/>
              <w:jc w:val="center"/>
            </w:pPr>
            <w:r w:rsidRPr="00AF4B06">
              <w:t>-0.08 (-0.21, 0.06)</w:t>
            </w:r>
          </w:p>
        </w:tc>
        <w:tc>
          <w:tcPr>
            <w:tcW w:w="810" w:type="pct"/>
            <w:vAlign w:val="center"/>
          </w:tcPr>
          <w:p w14:paraId="72F4A006" w14:textId="77777777" w:rsidR="00573E37" w:rsidRPr="00AF4B06" w:rsidRDefault="00573E37" w:rsidP="00961029">
            <w:pPr>
              <w:pStyle w:val="TableParagraph"/>
              <w:spacing w:before="45"/>
              <w:ind w:left="0" w:right="53"/>
              <w:jc w:val="center"/>
            </w:pPr>
            <w:r w:rsidRPr="00AF4B06">
              <w:t>-0.06 (-0.19, 0.07)</w:t>
            </w:r>
          </w:p>
        </w:tc>
      </w:tr>
      <w:tr w:rsidR="00AF4B06" w:rsidRPr="00AF4B06" w14:paraId="5C761244" w14:textId="77777777" w:rsidTr="00961029">
        <w:trPr>
          <w:trHeight w:val="409"/>
        </w:trPr>
        <w:tc>
          <w:tcPr>
            <w:tcW w:w="1102" w:type="pct"/>
            <w:vAlign w:val="center"/>
          </w:tcPr>
          <w:p w14:paraId="38F9CC51" w14:textId="77777777" w:rsidR="00573E37" w:rsidRPr="00AF4B06" w:rsidRDefault="00573E37" w:rsidP="00961029">
            <w:pPr>
              <w:pStyle w:val="TableParagraph"/>
              <w:ind w:left="175"/>
            </w:pPr>
            <w:r w:rsidRPr="00AF4B06">
              <w:t>LAZ</w:t>
            </w:r>
          </w:p>
        </w:tc>
        <w:tc>
          <w:tcPr>
            <w:tcW w:w="635" w:type="pct"/>
            <w:vAlign w:val="center"/>
          </w:tcPr>
          <w:p w14:paraId="6220222E" w14:textId="77777777" w:rsidR="00573E37" w:rsidRPr="00AF4B06" w:rsidRDefault="00573E37" w:rsidP="00961029">
            <w:pPr>
              <w:pStyle w:val="TableParagraph"/>
              <w:ind w:left="0"/>
              <w:jc w:val="center"/>
            </w:pPr>
            <w:r w:rsidRPr="00AF4B06">
              <w:t>-1.76 ± 1.07</w:t>
            </w:r>
          </w:p>
        </w:tc>
        <w:tc>
          <w:tcPr>
            <w:tcW w:w="529" w:type="pct"/>
            <w:vAlign w:val="center"/>
          </w:tcPr>
          <w:p w14:paraId="05CC27FD" w14:textId="77777777" w:rsidR="00573E37" w:rsidRPr="00AF4B06" w:rsidRDefault="00573E37" w:rsidP="00961029">
            <w:pPr>
              <w:pStyle w:val="TableParagraph"/>
              <w:ind w:left="0"/>
              <w:jc w:val="center"/>
            </w:pPr>
            <w:r w:rsidRPr="00AF4B06">
              <w:t>-1.95 ± 0.99</w:t>
            </w:r>
          </w:p>
        </w:tc>
        <w:tc>
          <w:tcPr>
            <w:tcW w:w="528" w:type="pct"/>
            <w:vAlign w:val="center"/>
          </w:tcPr>
          <w:p w14:paraId="0426D042" w14:textId="77777777" w:rsidR="00573E37" w:rsidRPr="00AF4B06" w:rsidRDefault="00573E37" w:rsidP="00961029">
            <w:pPr>
              <w:pStyle w:val="TableParagraph"/>
              <w:ind w:left="0"/>
              <w:jc w:val="center"/>
            </w:pPr>
            <w:r w:rsidRPr="00AF4B06">
              <w:t>-1.67 ± 1.09</w:t>
            </w:r>
          </w:p>
        </w:tc>
        <w:tc>
          <w:tcPr>
            <w:tcW w:w="529" w:type="pct"/>
            <w:vAlign w:val="center"/>
          </w:tcPr>
          <w:p w14:paraId="6010220E" w14:textId="77777777" w:rsidR="00573E37" w:rsidRPr="00AF4B06" w:rsidRDefault="00573E37" w:rsidP="00961029">
            <w:pPr>
              <w:pStyle w:val="TableParagraph"/>
              <w:ind w:left="0"/>
              <w:jc w:val="center"/>
            </w:pPr>
            <w:r w:rsidRPr="00AF4B06">
              <w:t>-1.87 ± 1.00</w:t>
            </w:r>
          </w:p>
        </w:tc>
        <w:tc>
          <w:tcPr>
            <w:tcW w:w="867" w:type="pct"/>
            <w:vAlign w:val="center"/>
          </w:tcPr>
          <w:p w14:paraId="65F7681F" w14:textId="77777777" w:rsidR="00573E37" w:rsidRPr="00AF4B06" w:rsidRDefault="00573E37" w:rsidP="00961029">
            <w:pPr>
              <w:pStyle w:val="TableParagraph"/>
              <w:ind w:left="0" w:right="53"/>
              <w:jc w:val="center"/>
            </w:pPr>
            <w:r w:rsidRPr="00AF4B06">
              <w:t>-0.01 (-0.06, 0.03)</w:t>
            </w:r>
          </w:p>
        </w:tc>
        <w:tc>
          <w:tcPr>
            <w:tcW w:w="810" w:type="pct"/>
            <w:vAlign w:val="center"/>
          </w:tcPr>
          <w:p w14:paraId="5F6262D3" w14:textId="77777777" w:rsidR="00573E37" w:rsidRPr="00AF4B06" w:rsidRDefault="00573E37" w:rsidP="00961029">
            <w:pPr>
              <w:pStyle w:val="TableParagraph"/>
              <w:ind w:left="0" w:right="53"/>
              <w:jc w:val="center"/>
            </w:pPr>
            <w:r w:rsidRPr="00AF4B06">
              <w:t>-0.01 (-0.05, 0.03)</w:t>
            </w:r>
          </w:p>
        </w:tc>
      </w:tr>
      <w:tr w:rsidR="00AF4B06" w:rsidRPr="00AF4B06" w14:paraId="1A9E0447" w14:textId="77777777" w:rsidTr="00961029">
        <w:trPr>
          <w:trHeight w:val="409"/>
        </w:trPr>
        <w:tc>
          <w:tcPr>
            <w:tcW w:w="1102" w:type="pct"/>
            <w:vAlign w:val="center"/>
          </w:tcPr>
          <w:p w14:paraId="38A79DD6" w14:textId="77777777" w:rsidR="00573E37" w:rsidRPr="00AF4B06" w:rsidRDefault="00573E37" w:rsidP="00961029">
            <w:pPr>
              <w:pStyle w:val="TableParagraph"/>
              <w:ind w:left="175"/>
            </w:pPr>
            <w:r w:rsidRPr="00AF4B06">
              <w:rPr>
                <w:w w:val="105"/>
              </w:rPr>
              <w:t>Stunting, % (LAZ &lt; -2 SD)</w:t>
            </w:r>
          </w:p>
        </w:tc>
        <w:tc>
          <w:tcPr>
            <w:tcW w:w="635" w:type="pct"/>
            <w:vAlign w:val="center"/>
          </w:tcPr>
          <w:p w14:paraId="115EDA22" w14:textId="77777777" w:rsidR="00573E37" w:rsidRPr="00AF4B06" w:rsidRDefault="00573E37" w:rsidP="00961029">
            <w:pPr>
              <w:pStyle w:val="TableParagraph"/>
              <w:ind w:left="0"/>
              <w:jc w:val="center"/>
            </w:pPr>
            <w:r w:rsidRPr="00AF4B06">
              <w:t>287 (41.0)</w:t>
            </w:r>
          </w:p>
        </w:tc>
        <w:tc>
          <w:tcPr>
            <w:tcW w:w="529" w:type="pct"/>
            <w:vAlign w:val="center"/>
          </w:tcPr>
          <w:p w14:paraId="7EE31773" w14:textId="77777777" w:rsidR="00573E37" w:rsidRPr="00AF4B06" w:rsidRDefault="00573E37" w:rsidP="00961029">
            <w:pPr>
              <w:pStyle w:val="TableParagraph"/>
              <w:ind w:left="0"/>
              <w:jc w:val="center"/>
            </w:pPr>
            <w:r w:rsidRPr="00AF4B06">
              <w:t>336 (48.0)</w:t>
            </w:r>
          </w:p>
        </w:tc>
        <w:tc>
          <w:tcPr>
            <w:tcW w:w="528" w:type="pct"/>
            <w:vAlign w:val="center"/>
          </w:tcPr>
          <w:p w14:paraId="69079375" w14:textId="77777777" w:rsidR="00573E37" w:rsidRPr="00AF4B06" w:rsidRDefault="00573E37" w:rsidP="00961029">
            <w:pPr>
              <w:pStyle w:val="TableParagraph"/>
              <w:ind w:left="0"/>
              <w:jc w:val="center"/>
            </w:pPr>
            <w:r w:rsidRPr="00AF4B06">
              <w:t>276 (37.3)</w:t>
            </w:r>
          </w:p>
        </w:tc>
        <w:tc>
          <w:tcPr>
            <w:tcW w:w="529" w:type="pct"/>
            <w:vAlign w:val="center"/>
          </w:tcPr>
          <w:p w14:paraId="62B0D2EF" w14:textId="77777777" w:rsidR="00573E37" w:rsidRPr="00AF4B06" w:rsidRDefault="00573E37" w:rsidP="00961029">
            <w:pPr>
              <w:pStyle w:val="TableParagraph"/>
              <w:ind w:left="0"/>
              <w:jc w:val="center"/>
            </w:pPr>
            <w:r w:rsidRPr="00AF4B06">
              <w:t>317 (42.8)</w:t>
            </w:r>
          </w:p>
        </w:tc>
        <w:tc>
          <w:tcPr>
            <w:tcW w:w="867" w:type="pct"/>
            <w:vAlign w:val="center"/>
          </w:tcPr>
          <w:p w14:paraId="3498F617" w14:textId="77777777" w:rsidR="00573E37" w:rsidRPr="00AF4B06" w:rsidRDefault="00573E37" w:rsidP="00961029">
            <w:pPr>
              <w:pStyle w:val="TableParagraph"/>
              <w:ind w:left="0" w:right="53"/>
              <w:jc w:val="center"/>
            </w:pPr>
            <w:r w:rsidRPr="00AF4B06">
              <w:t>1.05 (0.95, 1.16)</w:t>
            </w:r>
          </w:p>
        </w:tc>
        <w:tc>
          <w:tcPr>
            <w:tcW w:w="810" w:type="pct"/>
            <w:vAlign w:val="center"/>
          </w:tcPr>
          <w:p w14:paraId="6B258CF8" w14:textId="77777777" w:rsidR="00573E37" w:rsidRPr="00AF4B06" w:rsidRDefault="00573E37" w:rsidP="00961029">
            <w:pPr>
              <w:pStyle w:val="TableParagraph"/>
              <w:ind w:left="0" w:right="53"/>
              <w:jc w:val="center"/>
            </w:pPr>
            <w:r w:rsidRPr="00AF4B06">
              <w:t>1.04 (0.95, 1.15)</w:t>
            </w:r>
          </w:p>
        </w:tc>
      </w:tr>
      <w:tr w:rsidR="00AF4B06" w:rsidRPr="00AF4B06" w14:paraId="5A0054FE" w14:textId="77777777" w:rsidTr="00961029">
        <w:trPr>
          <w:trHeight w:val="409"/>
        </w:trPr>
        <w:tc>
          <w:tcPr>
            <w:tcW w:w="1102" w:type="pct"/>
            <w:vAlign w:val="center"/>
          </w:tcPr>
          <w:p w14:paraId="3B16C6C6" w14:textId="77777777" w:rsidR="00573E37" w:rsidRPr="00AF4B06" w:rsidRDefault="00573E37" w:rsidP="00961029">
            <w:pPr>
              <w:pStyle w:val="TableParagraph"/>
              <w:spacing w:before="91"/>
              <w:ind w:left="175"/>
            </w:pPr>
            <w:r w:rsidRPr="00AF4B06">
              <w:rPr>
                <w:w w:val="105"/>
              </w:rPr>
              <w:t>Weight (kg)</w:t>
            </w:r>
          </w:p>
        </w:tc>
        <w:tc>
          <w:tcPr>
            <w:tcW w:w="635" w:type="pct"/>
            <w:vAlign w:val="center"/>
          </w:tcPr>
          <w:p w14:paraId="73D46F7F" w14:textId="77777777" w:rsidR="00573E37" w:rsidRPr="00AF4B06" w:rsidRDefault="00573E37" w:rsidP="00961029">
            <w:pPr>
              <w:pStyle w:val="TableParagraph"/>
              <w:spacing w:before="91"/>
              <w:ind w:left="0"/>
              <w:jc w:val="center"/>
            </w:pPr>
            <w:r w:rsidRPr="00AF4B06">
              <w:t>8.28 ±</w:t>
            </w:r>
            <w:r w:rsidRPr="00AF4B06">
              <w:rPr>
                <w:b/>
              </w:rPr>
              <w:t xml:space="preserve"> </w:t>
            </w:r>
            <w:r w:rsidRPr="00AF4B06">
              <w:t>1.30</w:t>
            </w:r>
          </w:p>
        </w:tc>
        <w:tc>
          <w:tcPr>
            <w:tcW w:w="529" w:type="pct"/>
            <w:vAlign w:val="center"/>
          </w:tcPr>
          <w:p w14:paraId="37C6459C" w14:textId="77777777" w:rsidR="00573E37" w:rsidRPr="00AF4B06" w:rsidRDefault="00573E37" w:rsidP="00961029">
            <w:pPr>
              <w:pStyle w:val="TableParagraph"/>
              <w:spacing w:before="91"/>
              <w:ind w:left="0"/>
              <w:jc w:val="center"/>
            </w:pPr>
            <w:r w:rsidRPr="00AF4B06">
              <w:t>9.58 ± 1.32</w:t>
            </w:r>
          </w:p>
        </w:tc>
        <w:tc>
          <w:tcPr>
            <w:tcW w:w="528" w:type="pct"/>
            <w:vAlign w:val="center"/>
          </w:tcPr>
          <w:p w14:paraId="4C694FDB" w14:textId="77777777" w:rsidR="00573E37" w:rsidRPr="00AF4B06" w:rsidRDefault="00573E37" w:rsidP="00961029">
            <w:pPr>
              <w:pStyle w:val="TableParagraph"/>
              <w:spacing w:before="91"/>
              <w:ind w:left="0"/>
              <w:jc w:val="center"/>
            </w:pPr>
            <w:r w:rsidRPr="00AF4B06">
              <w:t>8.33 ± 1.31</w:t>
            </w:r>
          </w:p>
        </w:tc>
        <w:tc>
          <w:tcPr>
            <w:tcW w:w="529" w:type="pct"/>
            <w:vAlign w:val="center"/>
          </w:tcPr>
          <w:p w14:paraId="7F296AC2" w14:textId="77777777" w:rsidR="00573E37" w:rsidRPr="00AF4B06" w:rsidRDefault="00573E37" w:rsidP="00961029">
            <w:pPr>
              <w:pStyle w:val="TableParagraph"/>
              <w:spacing w:before="91"/>
              <w:ind w:left="0"/>
              <w:jc w:val="center"/>
            </w:pPr>
            <w:r w:rsidRPr="00AF4B06">
              <w:t>9.64 ± 1.33</w:t>
            </w:r>
          </w:p>
        </w:tc>
        <w:tc>
          <w:tcPr>
            <w:tcW w:w="867" w:type="pct"/>
            <w:vAlign w:val="center"/>
          </w:tcPr>
          <w:p w14:paraId="72F18B63" w14:textId="77777777" w:rsidR="00573E37" w:rsidRPr="00AF4B06" w:rsidRDefault="00573E37" w:rsidP="00961029">
            <w:pPr>
              <w:pStyle w:val="TableParagraph"/>
              <w:spacing w:before="91"/>
              <w:ind w:left="0" w:right="53"/>
              <w:jc w:val="center"/>
            </w:pPr>
            <w:r w:rsidRPr="00AF4B06">
              <w:t>-0.01 (-0.05, 0.04)</w:t>
            </w:r>
          </w:p>
        </w:tc>
        <w:tc>
          <w:tcPr>
            <w:tcW w:w="810" w:type="pct"/>
            <w:vAlign w:val="center"/>
          </w:tcPr>
          <w:p w14:paraId="377D38FF" w14:textId="77777777" w:rsidR="00573E37" w:rsidRPr="00AF4B06" w:rsidRDefault="00573E37" w:rsidP="00961029">
            <w:pPr>
              <w:pStyle w:val="TableParagraph"/>
              <w:spacing w:before="91"/>
              <w:ind w:left="0" w:right="53"/>
              <w:jc w:val="center"/>
            </w:pPr>
            <w:r w:rsidRPr="00AF4B06">
              <w:t>-0.01 (-0.05, 0.04)</w:t>
            </w:r>
          </w:p>
        </w:tc>
      </w:tr>
      <w:tr w:rsidR="00AF4B06" w:rsidRPr="00AF4B06" w14:paraId="3A86E596" w14:textId="77777777" w:rsidTr="00961029">
        <w:trPr>
          <w:trHeight w:val="409"/>
        </w:trPr>
        <w:tc>
          <w:tcPr>
            <w:tcW w:w="1102" w:type="pct"/>
            <w:vAlign w:val="center"/>
          </w:tcPr>
          <w:p w14:paraId="59C9839E" w14:textId="77777777" w:rsidR="00573E37" w:rsidRPr="00AF4B06" w:rsidRDefault="00573E37" w:rsidP="00961029">
            <w:pPr>
              <w:pStyle w:val="TableParagraph"/>
              <w:ind w:left="175"/>
            </w:pPr>
            <w:r w:rsidRPr="00AF4B06">
              <w:t>WAZ</w:t>
            </w:r>
          </w:p>
        </w:tc>
        <w:tc>
          <w:tcPr>
            <w:tcW w:w="635" w:type="pct"/>
            <w:vAlign w:val="center"/>
          </w:tcPr>
          <w:p w14:paraId="22CB1B18" w14:textId="77777777" w:rsidR="00573E37" w:rsidRPr="00AF4B06" w:rsidRDefault="00573E37" w:rsidP="00961029">
            <w:pPr>
              <w:pStyle w:val="TableParagraph"/>
              <w:ind w:left="0"/>
              <w:jc w:val="center"/>
            </w:pPr>
            <w:r w:rsidRPr="00AF4B06">
              <w:t>-1.46 ±</w:t>
            </w:r>
            <w:r w:rsidRPr="00AF4B06">
              <w:rPr>
                <w:b/>
              </w:rPr>
              <w:t xml:space="preserve"> </w:t>
            </w:r>
            <w:r w:rsidRPr="00AF4B06">
              <w:t>1.02</w:t>
            </w:r>
          </w:p>
        </w:tc>
        <w:tc>
          <w:tcPr>
            <w:tcW w:w="529" w:type="pct"/>
            <w:vAlign w:val="center"/>
          </w:tcPr>
          <w:p w14:paraId="64DB2143" w14:textId="77777777" w:rsidR="00573E37" w:rsidRPr="00AF4B06" w:rsidRDefault="00573E37" w:rsidP="00961029">
            <w:pPr>
              <w:pStyle w:val="TableParagraph"/>
              <w:ind w:left="0"/>
              <w:jc w:val="center"/>
            </w:pPr>
            <w:r w:rsidRPr="00AF4B06">
              <w:t>-1.54 ± 0.93</w:t>
            </w:r>
          </w:p>
        </w:tc>
        <w:tc>
          <w:tcPr>
            <w:tcW w:w="528" w:type="pct"/>
            <w:vAlign w:val="center"/>
          </w:tcPr>
          <w:p w14:paraId="4597F45C" w14:textId="77777777" w:rsidR="00573E37" w:rsidRPr="00AF4B06" w:rsidRDefault="00573E37" w:rsidP="00961029">
            <w:pPr>
              <w:pStyle w:val="TableParagraph"/>
              <w:ind w:left="0"/>
              <w:jc w:val="center"/>
            </w:pPr>
            <w:r w:rsidRPr="00AF4B06">
              <w:t>-1.37 ± 0.99</w:t>
            </w:r>
          </w:p>
        </w:tc>
        <w:tc>
          <w:tcPr>
            <w:tcW w:w="529" w:type="pct"/>
            <w:vAlign w:val="center"/>
          </w:tcPr>
          <w:p w14:paraId="71865246" w14:textId="77777777" w:rsidR="00573E37" w:rsidRPr="00AF4B06" w:rsidRDefault="00573E37" w:rsidP="00961029">
            <w:pPr>
              <w:pStyle w:val="TableParagraph"/>
              <w:ind w:left="0"/>
              <w:jc w:val="center"/>
            </w:pPr>
            <w:r w:rsidRPr="00AF4B06">
              <w:t>-1.47 ± 0.91</w:t>
            </w:r>
          </w:p>
        </w:tc>
        <w:tc>
          <w:tcPr>
            <w:tcW w:w="867" w:type="pct"/>
            <w:vAlign w:val="center"/>
          </w:tcPr>
          <w:p w14:paraId="490F3400" w14:textId="77777777" w:rsidR="00573E37" w:rsidRPr="00AF4B06" w:rsidRDefault="00573E37" w:rsidP="00961029">
            <w:pPr>
              <w:pStyle w:val="TableParagraph"/>
              <w:ind w:left="0" w:right="53"/>
              <w:jc w:val="center"/>
            </w:pPr>
            <w:r w:rsidRPr="00AF4B06">
              <w:t>0.00 (-0.04, 0.04)</w:t>
            </w:r>
          </w:p>
        </w:tc>
        <w:tc>
          <w:tcPr>
            <w:tcW w:w="810" w:type="pct"/>
            <w:vAlign w:val="center"/>
          </w:tcPr>
          <w:p w14:paraId="674AC57B" w14:textId="77777777" w:rsidR="00573E37" w:rsidRPr="00AF4B06" w:rsidRDefault="00573E37" w:rsidP="00961029">
            <w:pPr>
              <w:pStyle w:val="TableParagraph"/>
              <w:ind w:left="0" w:right="53"/>
              <w:jc w:val="center"/>
            </w:pPr>
            <w:r w:rsidRPr="00AF4B06">
              <w:t>0.00 (-0.04, 0.04)</w:t>
            </w:r>
          </w:p>
        </w:tc>
      </w:tr>
      <w:tr w:rsidR="00AF4B06" w:rsidRPr="00AF4B06" w14:paraId="306AE6E4" w14:textId="77777777" w:rsidTr="00961029">
        <w:trPr>
          <w:trHeight w:val="409"/>
        </w:trPr>
        <w:tc>
          <w:tcPr>
            <w:tcW w:w="1102" w:type="pct"/>
            <w:vAlign w:val="center"/>
          </w:tcPr>
          <w:p w14:paraId="64228687" w14:textId="77777777" w:rsidR="00573E37" w:rsidRPr="00AF4B06" w:rsidRDefault="00573E37" w:rsidP="00961029">
            <w:pPr>
              <w:pStyle w:val="TableParagraph"/>
              <w:ind w:left="175"/>
            </w:pPr>
            <w:r w:rsidRPr="00AF4B06">
              <w:t>Underweight, % (WAZ &lt; -2 SD)</w:t>
            </w:r>
          </w:p>
        </w:tc>
        <w:tc>
          <w:tcPr>
            <w:tcW w:w="635" w:type="pct"/>
            <w:vAlign w:val="center"/>
          </w:tcPr>
          <w:p w14:paraId="1B8FDD7C" w14:textId="77777777" w:rsidR="00573E37" w:rsidRPr="00AF4B06" w:rsidRDefault="00573E37" w:rsidP="00961029">
            <w:pPr>
              <w:pStyle w:val="TableParagraph"/>
              <w:ind w:left="0"/>
              <w:jc w:val="center"/>
            </w:pPr>
            <w:r w:rsidRPr="00AF4B06">
              <w:t>212 (30.2)</w:t>
            </w:r>
          </w:p>
        </w:tc>
        <w:tc>
          <w:tcPr>
            <w:tcW w:w="529" w:type="pct"/>
            <w:vAlign w:val="center"/>
          </w:tcPr>
          <w:p w14:paraId="79309BDC" w14:textId="77777777" w:rsidR="00573E37" w:rsidRPr="00AF4B06" w:rsidRDefault="00573E37" w:rsidP="00961029">
            <w:pPr>
              <w:pStyle w:val="TableParagraph"/>
              <w:ind w:left="0"/>
              <w:jc w:val="center"/>
            </w:pPr>
            <w:r w:rsidRPr="00AF4B06">
              <w:t>197 (28.1)</w:t>
            </w:r>
          </w:p>
        </w:tc>
        <w:tc>
          <w:tcPr>
            <w:tcW w:w="528" w:type="pct"/>
            <w:vAlign w:val="center"/>
          </w:tcPr>
          <w:p w14:paraId="58D84181" w14:textId="77777777" w:rsidR="00573E37" w:rsidRPr="00AF4B06" w:rsidRDefault="00573E37" w:rsidP="00961029">
            <w:pPr>
              <w:pStyle w:val="TableParagraph"/>
              <w:ind w:left="0"/>
              <w:jc w:val="center"/>
            </w:pPr>
            <w:r w:rsidRPr="00AF4B06">
              <w:t>176 (23.8)</w:t>
            </w:r>
          </w:p>
        </w:tc>
        <w:tc>
          <w:tcPr>
            <w:tcW w:w="529" w:type="pct"/>
            <w:vAlign w:val="center"/>
          </w:tcPr>
          <w:p w14:paraId="7B55D1FE" w14:textId="77777777" w:rsidR="00573E37" w:rsidRPr="00AF4B06" w:rsidRDefault="00573E37" w:rsidP="00961029">
            <w:pPr>
              <w:pStyle w:val="TableParagraph"/>
              <w:ind w:left="0"/>
              <w:jc w:val="center"/>
            </w:pPr>
            <w:r w:rsidRPr="00AF4B06">
              <w:t>203 (27.4)</w:t>
            </w:r>
          </w:p>
        </w:tc>
        <w:tc>
          <w:tcPr>
            <w:tcW w:w="867" w:type="pct"/>
            <w:vAlign w:val="center"/>
          </w:tcPr>
          <w:p w14:paraId="2665FF33" w14:textId="77777777" w:rsidR="00573E37" w:rsidRPr="00AF4B06" w:rsidRDefault="00573E37" w:rsidP="00961029">
            <w:pPr>
              <w:pStyle w:val="TableParagraph"/>
              <w:ind w:left="0" w:right="53"/>
              <w:jc w:val="center"/>
            </w:pPr>
            <w:r w:rsidRPr="00AF4B06">
              <w:t>0.90 (0.78, 1.04)</w:t>
            </w:r>
          </w:p>
        </w:tc>
        <w:tc>
          <w:tcPr>
            <w:tcW w:w="810" w:type="pct"/>
            <w:vAlign w:val="center"/>
          </w:tcPr>
          <w:p w14:paraId="31FC202B" w14:textId="77777777" w:rsidR="00573E37" w:rsidRPr="00AF4B06" w:rsidRDefault="00573E37" w:rsidP="00961029">
            <w:pPr>
              <w:pStyle w:val="TableParagraph"/>
              <w:ind w:left="0" w:right="53"/>
              <w:jc w:val="center"/>
            </w:pPr>
            <w:r w:rsidRPr="00AF4B06">
              <w:t>0.91 (0.78, 1.05)</w:t>
            </w:r>
          </w:p>
        </w:tc>
      </w:tr>
      <w:tr w:rsidR="00AF4B06" w:rsidRPr="00AF4B06" w14:paraId="767B5F34" w14:textId="77777777" w:rsidTr="00961029">
        <w:trPr>
          <w:trHeight w:val="409"/>
        </w:trPr>
        <w:tc>
          <w:tcPr>
            <w:tcW w:w="1102" w:type="pct"/>
            <w:vAlign w:val="center"/>
          </w:tcPr>
          <w:p w14:paraId="1028876E" w14:textId="77777777" w:rsidR="00573E37" w:rsidRPr="00AF4B06" w:rsidRDefault="00573E37" w:rsidP="00961029">
            <w:pPr>
              <w:pStyle w:val="TableParagraph"/>
              <w:ind w:left="175"/>
            </w:pPr>
            <w:r w:rsidRPr="00AF4B06">
              <w:t>WLZ</w:t>
            </w:r>
          </w:p>
        </w:tc>
        <w:tc>
          <w:tcPr>
            <w:tcW w:w="635" w:type="pct"/>
            <w:vAlign w:val="center"/>
          </w:tcPr>
          <w:p w14:paraId="7DE04F30" w14:textId="77777777" w:rsidR="00573E37" w:rsidRPr="00AF4B06" w:rsidRDefault="00573E37" w:rsidP="00961029">
            <w:pPr>
              <w:pStyle w:val="TableParagraph"/>
              <w:ind w:left="0"/>
              <w:jc w:val="center"/>
            </w:pPr>
            <w:r w:rsidRPr="00AF4B06">
              <w:t>-0.73 ± 0.96</w:t>
            </w:r>
          </w:p>
        </w:tc>
        <w:tc>
          <w:tcPr>
            <w:tcW w:w="529" w:type="pct"/>
            <w:vAlign w:val="center"/>
          </w:tcPr>
          <w:p w14:paraId="214AE88A" w14:textId="77777777" w:rsidR="00573E37" w:rsidRPr="00AF4B06" w:rsidRDefault="00573E37" w:rsidP="00961029">
            <w:pPr>
              <w:pStyle w:val="TableParagraph"/>
              <w:ind w:left="0"/>
              <w:jc w:val="center"/>
            </w:pPr>
            <w:r w:rsidRPr="00AF4B06">
              <w:t>-0.74 ± 0.85</w:t>
            </w:r>
          </w:p>
        </w:tc>
        <w:tc>
          <w:tcPr>
            <w:tcW w:w="528" w:type="pct"/>
            <w:vAlign w:val="center"/>
          </w:tcPr>
          <w:p w14:paraId="51C7B299" w14:textId="77777777" w:rsidR="00573E37" w:rsidRPr="00AF4B06" w:rsidRDefault="00573E37" w:rsidP="00961029">
            <w:pPr>
              <w:pStyle w:val="TableParagraph"/>
              <w:ind w:left="0"/>
              <w:jc w:val="center"/>
            </w:pPr>
            <w:r w:rsidRPr="00AF4B06">
              <w:t>-0.67 ± 0.94</w:t>
            </w:r>
          </w:p>
        </w:tc>
        <w:tc>
          <w:tcPr>
            <w:tcW w:w="529" w:type="pct"/>
            <w:vAlign w:val="center"/>
          </w:tcPr>
          <w:p w14:paraId="751B87D2" w14:textId="77777777" w:rsidR="00573E37" w:rsidRPr="00AF4B06" w:rsidRDefault="00573E37" w:rsidP="00961029">
            <w:pPr>
              <w:pStyle w:val="TableParagraph"/>
              <w:ind w:left="0"/>
              <w:jc w:val="center"/>
            </w:pPr>
            <w:r w:rsidRPr="00AF4B06">
              <w:t>-0.71 ± 0.82</w:t>
            </w:r>
          </w:p>
        </w:tc>
        <w:tc>
          <w:tcPr>
            <w:tcW w:w="867" w:type="pct"/>
            <w:vAlign w:val="center"/>
          </w:tcPr>
          <w:p w14:paraId="3C36873D" w14:textId="77777777" w:rsidR="00573E37" w:rsidRPr="00AF4B06" w:rsidRDefault="00573E37" w:rsidP="00961029">
            <w:pPr>
              <w:pStyle w:val="TableParagraph"/>
              <w:ind w:left="0" w:right="53"/>
              <w:jc w:val="center"/>
            </w:pPr>
            <w:r w:rsidRPr="00AF4B06">
              <w:t>0.02 (-0.04, 0.07)</w:t>
            </w:r>
          </w:p>
        </w:tc>
        <w:tc>
          <w:tcPr>
            <w:tcW w:w="810" w:type="pct"/>
            <w:vAlign w:val="center"/>
          </w:tcPr>
          <w:p w14:paraId="12EF040F" w14:textId="77777777" w:rsidR="00573E37" w:rsidRPr="00AF4B06" w:rsidRDefault="00573E37" w:rsidP="00961029">
            <w:pPr>
              <w:pStyle w:val="TableParagraph"/>
              <w:ind w:left="0" w:right="53"/>
              <w:jc w:val="center"/>
            </w:pPr>
            <w:r w:rsidRPr="00AF4B06">
              <w:t>0.00 (-0.05, 0.06)</w:t>
            </w:r>
          </w:p>
        </w:tc>
      </w:tr>
      <w:tr w:rsidR="00AF4B06" w:rsidRPr="00AF4B06" w14:paraId="01FE055D" w14:textId="77777777" w:rsidTr="00961029">
        <w:trPr>
          <w:trHeight w:val="409"/>
        </w:trPr>
        <w:tc>
          <w:tcPr>
            <w:tcW w:w="1102" w:type="pct"/>
            <w:vAlign w:val="center"/>
          </w:tcPr>
          <w:p w14:paraId="76005116" w14:textId="77777777" w:rsidR="00573E37" w:rsidRPr="00AF4B06" w:rsidRDefault="00573E37" w:rsidP="00961029">
            <w:pPr>
              <w:pStyle w:val="TableParagraph"/>
              <w:ind w:left="175"/>
            </w:pPr>
            <w:r w:rsidRPr="00AF4B06">
              <w:rPr>
                <w:w w:val="105"/>
              </w:rPr>
              <w:t>Wasting, % (WLZ &lt; -2 SD)</w:t>
            </w:r>
          </w:p>
        </w:tc>
        <w:tc>
          <w:tcPr>
            <w:tcW w:w="635" w:type="pct"/>
            <w:vAlign w:val="center"/>
          </w:tcPr>
          <w:p w14:paraId="0533BB4C" w14:textId="77777777" w:rsidR="00573E37" w:rsidRPr="00AF4B06" w:rsidRDefault="00573E37" w:rsidP="00961029">
            <w:pPr>
              <w:pStyle w:val="TableParagraph"/>
              <w:ind w:left="0"/>
              <w:jc w:val="center"/>
            </w:pPr>
            <w:r w:rsidRPr="00AF4B06">
              <w:rPr>
                <w:w w:val="105"/>
              </w:rPr>
              <w:t>58 (8.3)</w:t>
            </w:r>
          </w:p>
        </w:tc>
        <w:tc>
          <w:tcPr>
            <w:tcW w:w="529" w:type="pct"/>
            <w:vAlign w:val="center"/>
          </w:tcPr>
          <w:p w14:paraId="2CA5014B" w14:textId="77777777" w:rsidR="00573E37" w:rsidRPr="00AF4B06" w:rsidRDefault="00573E37" w:rsidP="00961029">
            <w:pPr>
              <w:pStyle w:val="TableParagraph"/>
              <w:ind w:left="0"/>
              <w:jc w:val="center"/>
            </w:pPr>
            <w:r w:rsidRPr="00AF4B06">
              <w:t>39 (5.6)</w:t>
            </w:r>
          </w:p>
        </w:tc>
        <w:tc>
          <w:tcPr>
            <w:tcW w:w="528" w:type="pct"/>
            <w:vAlign w:val="center"/>
          </w:tcPr>
          <w:p w14:paraId="512F53F1" w14:textId="77777777" w:rsidR="00573E37" w:rsidRPr="00AF4B06" w:rsidRDefault="00573E37" w:rsidP="00961029">
            <w:pPr>
              <w:pStyle w:val="TableParagraph"/>
              <w:ind w:left="0"/>
              <w:jc w:val="center"/>
            </w:pPr>
            <w:r w:rsidRPr="00AF4B06">
              <w:t>55 (7.4)</w:t>
            </w:r>
          </w:p>
        </w:tc>
        <w:tc>
          <w:tcPr>
            <w:tcW w:w="529" w:type="pct"/>
            <w:vAlign w:val="center"/>
          </w:tcPr>
          <w:p w14:paraId="1FB41926" w14:textId="77777777" w:rsidR="00573E37" w:rsidRPr="00AF4B06" w:rsidRDefault="00573E37" w:rsidP="00961029">
            <w:pPr>
              <w:pStyle w:val="TableParagraph"/>
              <w:ind w:left="0"/>
              <w:jc w:val="center"/>
            </w:pPr>
            <w:r w:rsidRPr="00AF4B06">
              <w:t>35 (4.7)</w:t>
            </w:r>
          </w:p>
        </w:tc>
        <w:tc>
          <w:tcPr>
            <w:tcW w:w="867" w:type="pct"/>
            <w:vAlign w:val="center"/>
          </w:tcPr>
          <w:p w14:paraId="5B357D0D" w14:textId="77777777" w:rsidR="00573E37" w:rsidRPr="00AF4B06" w:rsidRDefault="00573E37" w:rsidP="00961029">
            <w:pPr>
              <w:pStyle w:val="TableParagraph"/>
              <w:ind w:left="0" w:right="53"/>
              <w:jc w:val="center"/>
            </w:pPr>
            <w:r w:rsidRPr="00AF4B06">
              <w:t>1.22 (0.80, 1.86)</w:t>
            </w:r>
          </w:p>
        </w:tc>
        <w:tc>
          <w:tcPr>
            <w:tcW w:w="810" w:type="pct"/>
            <w:vAlign w:val="center"/>
          </w:tcPr>
          <w:p w14:paraId="2E0B490B" w14:textId="77777777" w:rsidR="00573E37" w:rsidRPr="00AF4B06" w:rsidRDefault="00573E37" w:rsidP="00961029">
            <w:pPr>
              <w:pStyle w:val="TableParagraph"/>
              <w:ind w:left="0" w:right="53"/>
              <w:jc w:val="center"/>
            </w:pPr>
            <w:r w:rsidRPr="00AF4B06">
              <w:t>1.36 (0.89, 2.08)</w:t>
            </w:r>
          </w:p>
        </w:tc>
      </w:tr>
      <w:tr w:rsidR="00AF4B06" w:rsidRPr="00AF4B06" w14:paraId="50361AF3" w14:textId="77777777" w:rsidTr="00961029">
        <w:trPr>
          <w:trHeight w:val="409"/>
        </w:trPr>
        <w:tc>
          <w:tcPr>
            <w:tcW w:w="1102" w:type="pct"/>
            <w:vAlign w:val="center"/>
          </w:tcPr>
          <w:p w14:paraId="09207683" w14:textId="77777777" w:rsidR="00573E37" w:rsidRPr="00AF4B06" w:rsidRDefault="00573E37" w:rsidP="00961029">
            <w:pPr>
              <w:pStyle w:val="TableParagraph"/>
              <w:spacing w:before="91"/>
              <w:ind w:left="175"/>
            </w:pPr>
            <w:r w:rsidRPr="00AF4B06">
              <w:rPr>
                <w:w w:val="105"/>
              </w:rPr>
              <w:t>MUAC (cm)</w:t>
            </w:r>
          </w:p>
        </w:tc>
        <w:tc>
          <w:tcPr>
            <w:tcW w:w="635" w:type="pct"/>
            <w:vAlign w:val="center"/>
          </w:tcPr>
          <w:p w14:paraId="3D6F3C22" w14:textId="77777777" w:rsidR="00573E37" w:rsidRPr="00AF4B06" w:rsidRDefault="00573E37" w:rsidP="00961029">
            <w:pPr>
              <w:pStyle w:val="TableParagraph"/>
              <w:spacing w:before="91"/>
              <w:ind w:left="0"/>
              <w:jc w:val="center"/>
            </w:pPr>
            <w:r w:rsidRPr="00AF4B06">
              <w:t>13.78 ± 1.00</w:t>
            </w:r>
          </w:p>
        </w:tc>
        <w:tc>
          <w:tcPr>
            <w:tcW w:w="529" w:type="pct"/>
            <w:vAlign w:val="center"/>
          </w:tcPr>
          <w:p w14:paraId="6F62CC31" w14:textId="77777777" w:rsidR="00573E37" w:rsidRPr="00AF4B06" w:rsidRDefault="00573E37" w:rsidP="00961029">
            <w:pPr>
              <w:pStyle w:val="TableParagraph"/>
              <w:spacing w:before="91"/>
              <w:ind w:left="0"/>
              <w:jc w:val="center"/>
            </w:pPr>
            <w:r w:rsidRPr="00AF4B06">
              <w:t>13.97 ± 0.96</w:t>
            </w:r>
          </w:p>
        </w:tc>
        <w:tc>
          <w:tcPr>
            <w:tcW w:w="528" w:type="pct"/>
            <w:vAlign w:val="center"/>
          </w:tcPr>
          <w:p w14:paraId="3C405B47" w14:textId="77777777" w:rsidR="00573E37" w:rsidRPr="00AF4B06" w:rsidRDefault="00573E37" w:rsidP="00961029">
            <w:pPr>
              <w:pStyle w:val="TableParagraph"/>
              <w:spacing w:before="91"/>
              <w:ind w:left="0"/>
              <w:jc w:val="center"/>
            </w:pPr>
            <w:r w:rsidRPr="00AF4B06">
              <w:t>13.82 ± 1.00</w:t>
            </w:r>
          </w:p>
        </w:tc>
        <w:tc>
          <w:tcPr>
            <w:tcW w:w="529" w:type="pct"/>
            <w:vAlign w:val="center"/>
          </w:tcPr>
          <w:p w14:paraId="0BFA86CB" w14:textId="77777777" w:rsidR="00573E37" w:rsidRPr="00AF4B06" w:rsidRDefault="00573E37" w:rsidP="00961029">
            <w:pPr>
              <w:pStyle w:val="TableParagraph"/>
              <w:spacing w:before="91"/>
              <w:ind w:left="0"/>
              <w:jc w:val="center"/>
            </w:pPr>
            <w:r w:rsidRPr="00AF4B06">
              <w:t>14.01 ± 0.94</w:t>
            </w:r>
          </w:p>
        </w:tc>
        <w:tc>
          <w:tcPr>
            <w:tcW w:w="867" w:type="pct"/>
            <w:vAlign w:val="center"/>
          </w:tcPr>
          <w:p w14:paraId="2511BE9D" w14:textId="77777777" w:rsidR="00573E37" w:rsidRPr="00AF4B06" w:rsidRDefault="00573E37" w:rsidP="00961029">
            <w:pPr>
              <w:pStyle w:val="TableParagraph"/>
              <w:spacing w:before="91"/>
              <w:ind w:left="0" w:right="53"/>
              <w:jc w:val="center"/>
            </w:pPr>
            <w:r w:rsidRPr="00AF4B06">
              <w:t>-0.01 (-0.07, 0.04)</w:t>
            </w:r>
          </w:p>
        </w:tc>
        <w:tc>
          <w:tcPr>
            <w:tcW w:w="810" w:type="pct"/>
            <w:vAlign w:val="center"/>
          </w:tcPr>
          <w:p w14:paraId="34CA4E99" w14:textId="77777777" w:rsidR="00573E37" w:rsidRPr="00AF4B06" w:rsidRDefault="00573E37" w:rsidP="00961029">
            <w:pPr>
              <w:pStyle w:val="TableParagraph"/>
              <w:spacing w:before="91"/>
              <w:ind w:left="0" w:right="53"/>
              <w:jc w:val="center"/>
            </w:pPr>
            <w:r w:rsidRPr="00AF4B06">
              <w:t>-0.03 (-0.09, 0.03)</w:t>
            </w:r>
          </w:p>
        </w:tc>
      </w:tr>
      <w:tr w:rsidR="00AF4B06" w:rsidRPr="00AF4B06" w14:paraId="3378C618" w14:textId="77777777" w:rsidTr="00961029">
        <w:trPr>
          <w:trHeight w:val="409"/>
        </w:trPr>
        <w:tc>
          <w:tcPr>
            <w:tcW w:w="1102" w:type="pct"/>
            <w:vAlign w:val="center"/>
          </w:tcPr>
          <w:p w14:paraId="46B4AE2D" w14:textId="77777777" w:rsidR="00573E37" w:rsidRPr="00AF4B06" w:rsidRDefault="00573E37" w:rsidP="00961029">
            <w:pPr>
              <w:pStyle w:val="TableParagraph"/>
              <w:ind w:left="175"/>
            </w:pPr>
            <w:r w:rsidRPr="00AF4B06">
              <w:t>MUACZ</w:t>
            </w:r>
          </w:p>
        </w:tc>
        <w:tc>
          <w:tcPr>
            <w:tcW w:w="635" w:type="pct"/>
            <w:vAlign w:val="center"/>
          </w:tcPr>
          <w:p w14:paraId="1C8ABC48" w14:textId="77777777" w:rsidR="00573E37" w:rsidRPr="00AF4B06" w:rsidRDefault="00573E37" w:rsidP="00961029">
            <w:pPr>
              <w:pStyle w:val="TableParagraph"/>
              <w:ind w:left="0"/>
              <w:jc w:val="center"/>
            </w:pPr>
            <w:r w:rsidRPr="00AF4B06">
              <w:t>-0.69 ± 0.90</w:t>
            </w:r>
          </w:p>
        </w:tc>
        <w:tc>
          <w:tcPr>
            <w:tcW w:w="529" w:type="pct"/>
            <w:vAlign w:val="center"/>
          </w:tcPr>
          <w:p w14:paraId="1165D805" w14:textId="77777777" w:rsidR="00573E37" w:rsidRPr="00AF4B06" w:rsidRDefault="00573E37" w:rsidP="00961029">
            <w:pPr>
              <w:pStyle w:val="TableParagraph"/>
              <w:ind w:left="0"/>
              <w:jc w:val="center"/>
            </w:pPr>
            <w:r w:rsidRPr="00AF4B06">
              <w:t>-0.85 ± 0.83</w:t>
            </w:r>
          </w:p>
        </w:tc>
        <w:tc>
          <w:tcPr>
            <w:tcW w:w="528" w:type="pct"/>
            <w:vAlign w:val="center"/>
          </w:tcPr>
          <w:p w14:paraId="0B1D04B2" w14:textId="77777777" w:rsidR="00573E37" w:rsidRPr="00AF4B06" w:rsidRDefault="00573E37" w:rsidP="00961029">
            <w:pPr>
              <w:pStyle w:val="TableParagraph"/>
              <w:ind w:left="0"/>
              <w:jc w:val="center"/>
            </w:pPr>
            <w:r w:rsidRPr="00AF4B06">
              <w:t>-0.65 ± 0.88</w:t>
            </w:r>
          </w:p>
        </w:tc>
        <w:tc>
          <w:tcPr>
            <w:tcW w:w="529" w:type="pct"/>
            <w:vAlign w:val="center"/>
          </w:tcPr>
          <w:p w14:paraId="7349E213" w14:textId="77777777" w:rsidR="00573E37" w:rsidRPr="00AF4B06" w:rsidRDefault="00573E37" w:rsidP="00961029">
            <w:pPr>
              <w:pStyle w:val="TableParagraph"/>
              <w:ind w:left="0"/>
              <w:jc w:val="center"/>
            </w:pPr>
            <w:r w:rsidRPr="00AF4B06">
              <w:t>-0.81 ± 0.80</w:t>
            </w:r>
          </w:p>
        </w:tc>
        <w:tc>
          <w:tcPr>
            <w:tcW w:w="867" w:type="pct"/>
            <w:vAlign w:val="center"/>
          </w:tcPr>
          <w:p w14:paraId="7472E2B1" w14:textId="77777777" w:rsidR="00573E37" w:rsidRPr="00AF4B06" w:rsidRDefault="00573E37" w:rsidP="00961029">
            <w:pPr>
              <w:pStyle w:val="TableParagraph"/>
              <w:ind w:left="0" w:right="53"/>
              <w:jc w:val="center"/>
            </w:pPr>
            <w:r w:rsidRPr="00AF4B06">
              <w:t>-0.01 (-0.06, 0.04)</w:t>
            </w:r>
          </w:p>
        </w:tc>
        <w:tc>
          <w:tcPr>
            <w:tcW w:w="810" w:type="pct"/>
            <w:vAlign w:val="center"/>
          </w:tcPr>
          <w:p w14:paraId="766FA0CD" w14:textId="77777777" w:rsidR="00573E37" w:rsidRPr="00AF4B06" w:rsidRDefault="00573E37" w:rsidP="00961029">
            <w:pPr>
              <w:pStyle w:val="TableParagraph"/>
              <w:ind w:left="0" w:right="53"/>
              <w:jc w:val="center"/>
            </w:pPr>
            <w:r w:rsidRPr="00AF4B06">
              <w:t>-0.02 (-0.08, 0.03)</w:t>
            </w:r>
          </w:p>
        </w:tc>
      </w:tr>
      <w:tr w:rsidR="00AF4B06" w:rsidRPr="00AF4B06" w14:paraId="3DCADC80" w14:textId="77777777" w:rsidTr="00961029">
        <w:trPr>
          <w:trHeight w:val="409"/>
        </w:trPr>
        <w:tc>
          <w:tcPr>
            <w:tcW w:w="1102" w:type="pct"/>
            <w:vAlign w:val="center"/>
          </w:tcPr>
          <w:p w14:paraId="3B5456AB" w14:textId="77777777" w:rsidR="00573E37" w:rsidRPr="00AF4B06" w:rsidRDefault="00573E37" w:rsidP="00961029">
            <w:pPr>
              <w:pStyle w:val="TableParagraph"/>
              <w:ind w:left="175"/>
            </w:pPr>
            <w:r w:rsidRPr="00AF4B06">
              <w:rPr>
                <w:w w:val="105"/>
              </w:rPr>
              <w:t>Low MUACZ, % (MUACZ</w:t>
            </w:r>
            <w:r w:rsidRPr="00AF4B06">
              <w:rPr>
                <w:i/>
                <w:w w:val="105"/>
              </w:rPr>
              <w:t>&lt;</w:t>
            </w:r>
            <w:r w:rsidRPr="00AF4B06">
              <w:rPr>
                <w:w w:val="105"/>
              </w:rPr>
              <w:t>-2 SD)</w:t>
            </w:r>
          </w:p>
        </w:tc>
        <w:tc>
          <w:tcPr>
            <w:tcW w:w="635" w:type="pct"/>
            <w:vAlign w:val="center"/>
          </w:tcPr>
          <w:p w14:paraId="2D8DB0B2" w14:textId="77777777" w:rsidR="00573E37" w:rsidRPr="00AF4B06" w:rsidRDefault="00573E37" w:rsidP="00961029">
            <w:pPr>
              <w:pStyle w:val="TableParagraph"/>
              <w:ind w:left="0"/>
              <w:jc w:val="center"/>
            </w:pPr>
            <w:r w:rsidRPr="00AF4B06">
              <w:rPr>
                <w:w w:val="105"/>
              </w:rPr>
              <w:t>48 (6.8)</w:t>
            </w:r>
          </w:p>
        </w:tc>
        <w:tc>
          <w:tcPr>
            <w:tcW w:w="529" w:type="pct"/>
            <w:vAlign w:val="center"/>
          </w:tcPr>
          <w:p w14:paraId="2FC05696" w14:textId="77777777" w:rsidR="00573E37" w:rsidRPr="00AF4B06" w:rsidRDefault="00573E37" w:rsidP="00961029">
            <w:pPr>
              <w:pStyle w:val="TableParagraph"/>
              <w:ind w:left="0"/>
              <w:jc w:val="center"/>
            </w:pPr>
            <w:r w:rsidRPr="00AF4B06">
              <w:t>58 (8.3)</w:t>
            </w:r>
          </w:p>
        </w:tc>
        <w:tc>
          <w:tcPr>
            <w:tcW w:w="528" w:type="pct"/>
            <w:vAlign w:val="center"/>
          </w:tcPr>
          <w:p w14:paraId="00C67BA2" w14:textId="77777777" w:rsidR="00573E37" w:rsidRPr="00AF4B06" w:rsidRDefault="00573E37" w:rsidP="00961029">
            <w:pPr>
              <w:pStyle w:val="TableParagraph"/>
              <w:ind w:left="0"/>
              <w:jc w:val="center"/>
            </w:pPr>
            <w:r w:rsidRPr="00AF4B06">
              <w:t>45 (6.1)</w:t>
            </w:r>
          </w:p>
        </w:tc>
        <w:tc>
          <w:tcPr>
            <w:tcW w:w="529" w:type="pct"/>
            <w:vAlign w:val="center"/>
          </w:tcPr>
          <w:p w14:paraId="59819FBC" w14:textId="77777777" w:rsidR="00573E37" w:rsidRPr="00AF4B06" w:rsidRDefault="00573E37" w:rsidP="00961029">
            <w:pPr>
              <w:pStyle w:val="TableParagraph"/>
              <w:ind w:left="0"/>
              <w:jc w:val="center"/>
            </w:pPr>
            <w:r w:rsidRPr="00AF4B06">
              <w:t>49 (6.6)</w:t>
            </w:r>
          </w:p>
        </w:tc>
        <w:tc>
          <w:tcPr>
            <w:tcW w:w="867" w:type="pct"/>
            <w:vAlign w:val="center"/>
          </w:tcPr>
          <w:p w14:paraId="5CD9DDBE" w14:textId="77777777" w:rsidR="00573E37" w:rsidRPr="00AF4B06" w:rsidRDefault="00573E37" w:rsidP="00961029">
            <w:pPr>
              <w:pStyle w:val="TableParagraph"/>
              <w:ind w:left="0" w:right="53"/>
              <w:jc w:val="center"/>
            </w:pPr>
            <w:r w:rsidRPr="00AF4B06">
              <w:t>1.14 (0.81, 1.60)</w:t>
            </w:r>
          </w:p>
        </w:tc>
        <w:tc>
          <w:tcPr>
            <w:tcW w:w="810" w:type="pct"/>
            <w:vAlign w:val="center"/>
          </w:tcPr>
          <w:p w14:paraId="2D1C9D4A" w14:textId="77777777" w:rsidR="00573E37" w:rsidRPr="00AF4B06" w:rsidRDefault="00573E37" w:rsidP="00961029">
            <w:pPr>
              <w:pStyle w:val="TableParagraph"/>
              <w:ind w:left="0" w:right="53"/>
              <w:jc w:val="center"/>
            </w:pPr>
            <w:r w:rsidRPr="00AF4B06">
              <w:t>1.14 (0.81, 1.60)</w:t>
            </w:r>
          </w:p>
        </w:tc>
      </w:tr>
    </w:tbl>
    <w:p w14:paraId="2A79F251" w14:textId="77777777" w:rsidR="00573E37" w:rsidRPr="00AF4B06" w:rsidRDefault="00573E37" w:rsidP="00573E37">
      <w:pPr>
        <w:pStyle w:val="BodyText"/>
        <w:rPr>
          <w:position w:val="6"/>
          <w:sz w:val="22"/>
          <w:szCs w:val="22"/>
        </w:rPr>
      </w:pPr>
      <w:r w:rsidRPr="00AF4B06">
        <w:rPr>
          <w:position w:val="6"/>
          <w:sz w:val="22"/>
          <w:szCs w:val="22"/>
        </w:rPr>
        <w:t>LAZ, length-for-age z-score; MNP, micronutrient powder; MUAC, mid-upper arm circumference; MUACZ, mid-upper arm circumference z-score; WAZ, weight-for-age z-score; WLZ, weight-for-length z-score</w:t>
      </w:r>
    </w:p>
    <w:p w14:paraId="2351E2C5" w14:textId="77777777" w:rsidR="00573E37" w:rsidRPr="00AF4B06" w:rsidRDefault="00573E37" w:rsidP="00573E37">
      <w:pPr>
        <w:pStyle w:val="BodyText"/>
        <w:rPr>
          <w:position w:val="6"/>
          <w:sz w:val="22"/>
          <w:szCs w:val="22"/>
          <w:vertAlign w:val="superscript"/>
        </w:rPr>
      </w:pPr>
    </w:p>
    <w:p w14:paraId="17757523" w14:textId="77777777" w:rsidR="00573E37" w:rsidRPr="00AF4B06" w:rsidRDefault="00573E37" w:rsidP="00573E37">
      <w:pPr>
        <w:pStyle w:val="BodyText"/>
        <w:rPr>
          <w:sz w:val="24"/>
          <w:szCs w:val="24"/>
        </w:rPr>
      </w:pPr>
      <w:r w:rsidRPr="00AF4B06">
        <w:rPr>
          <w:sz w:val="24"/>
          <w:szCs w:val="24"/>
        </w:rPr>
        <w:t>*Values are mean ± SD with difference in means for comparison or n (%) and prevalence ratio for comparison.</w:t>
      </w:r>
    </w:p>
    <w:p w14:paraId="101B83D4" w14:textId="77777777" w:rsidR="00573E37" w:rsidRPr="00AF4B06" w:rsidRDefault="00573E37" w:rsidP="00573E37">
      <w:pPr>
        <w:pStyle w:val="BodyText"/>
        <w:rPr>
          <w:sz w:val="24"/>
          <w:szCs w:val="24"/>
        </w:rPr>
      </w:pPr>
      <w:r w:rsidRPr="00AF4B06">
        <w:rPr>
          <w:rFonts w:eastAsia="Times New Roman"/>
          <w:sz w:val="24"/>
          <w:szCs w:val="24"/>
          <w:vertAlign w:val="superscript"/>
        </w:rPr>
        <w:t>†</w:t>
      </w:r>
      <w:r w:rsidRPr="00AF4B06">
        <w:rPr>
          <w:sz w:val="24"/>
          <w:szCs w:val="24"/>
        </w:rPr>
        <w:t>Minimally adjusted for baseline value, age at enrolment, and district.</w:t>
      </w:r>
    </w:p>
    <w:p w14:paraId="79C09FFA" w14:textId="27EAF867" w:rsidR="00385816" w:rsidRDefault="00573E37" w:rsidP="00385816">
      <w:pPr>
        <w:pStyle w:val="BodyText"/>
      </w:pPr>
      <w:r w:rsidRPr="00AF4B06">
        <w:rPr>
          <w:rFonts w:ascii="Times New Roman" w:eastAsia="Times New Roman" w:hAnsi="Times New Roman"/>
          <w:sz w:val="24"/>
          <w:szCs w:val="24"/>
          <w:vertAlign w:val="superscript"/>
        </w:rPr>
        <w:t>‡</w:t>
      </w:r>
      <w:r w:rsidRPr="00AF4B06">
        <w:rPr>
          <w:sz w:val="24"/>
          <w:szCs w:val="24"/>
        </w:rPr>
        <w:t xml:space="preserve">Adjusted for baseline value, age at enrolment and district, and potentially adjusted (where p for correlation&lt;0.1) for maternal age at baseline, height, BMI, and education, child sex, month of enrolment, adequate dietary diversity at baseline, minimum meal frequency at baseline, iron rich foods consumed at baseline, number of children under 5 in the household, household food insecurity score, socio-economic index, average adequate dietary diversity, average consumption of iron </w:t>
      </w:r>
      <w:r w:rsidR="00385816">
        <w:rPr>
          <w:sz w:val="24"/>
          <w:szCs w:val="24"/>
        </w:rPr>
        <w:t xml:space="preserve">rich foods, and </w:t>
      </w:r>
      <w:proofErr w:type="spellStart"/>
      <w:r w:rsidR="00385816">
        <w:rPr>
          <w:sz w:val="24"/>
          <w:szCs w:val="24"/>
        </w:rPr>
        <w:t>anthropometris</w:t>
      </w:r>
      <w:proofErr w:type="spellEnd"/>
    </w:p>
    <w:sectPr w:rsidR="00385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30E25" w14:textId="77777777" w:rsidR="00256EDA" w:rsidRDefault="00256EDA" w:rsidP="00DA7DB6">
      <w:pPr>
        <w:spacing w:after="0" w:line="240" w:lineRule="auto"/>
      </w:pPr>
      <w:r>
        <w:separator/>
      </w:r>
    </w:p>
  </w:endnote>
  <w:endnote w:type="continuationSeparator" w:id="0">
    <w:p w14:paraId="0A0A86D7" w14:textId="77777777" w:rsidR="00256EDA" w:rsidRDefault="00256EDA" w:rsidP="00DA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Times New Roman Uni"/>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181461"/>
      <w:docPartObj>
        <w:docPartGallery w:val="Page Numbers (Bottom of Page)"/>
        <w:docPartUnique/>
      </w:docPartObj>
    </w:sdtPr>
    <w:sdtEndPr>
      <w:rPr>
        <w:noProof/>
      </w:rPr>
    </w:sdtEndPr>
    <w:sdtContent>
      <w:p w14:paraId="16146351" w14:textId="77777777" w:rsidR="00D654A7" w:rsidRDefault="00D654A7">
        <w:pPr>
          <w:pStyle w:val="Footer"/>
          <w:jc w:val="center"/>
        </w:pPr>
        <w:r>
          <w:fldChar w:fldCharType="begin"/>
        </w:r>
        <w:r>
          <w:instrText xml:space="preserve"> PAGE   \* MERGEFORMAT </w:instrText>
        </w:r>
        <w:r>
          <w:fldChar w:fldCharType="separate"/>
        </w:r>
        <w:r w:rsidR="00032E8D">
          <w:rPr>
            <w:noProof/>
          </w:rPr>
          <w:t>4</w:t>
        </w:r>
        <w:r>
          <w:rPr>
            <w:noProof/>
          </w:rPr>
          <w:fldChar w:fldCharType="end"/>
        </w:r>
      </w:p>
    </w:sdtContent>
  </w:sdt>
  <w:p w14:paraId="2732E56E" w14:textId="77777777" w:rsidR="00D654A7" w:rsidRDefault="00D65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E6813" w14:textId="77777777" w:rsidR="00256EDA" w:rsidRDefault="00256EDA" w:rsidP="00DA7DB6">
      <w:pPr>
        <w:spacing w:after="0" w:line="240" w:lineRule="auto"/>
      </w:pPr>
      <w:r>
        <w:separator/>
      </w:r>
    </w:p>
  </w:footnote>
  <w:footnote w:type="continuationSeparator" w:id="0">
    <w:p w14:paraId="24BEF5E6" w14:textId="77777777" w:rsidR="00256EDA" w:rsidRDefault="00256EDA" w:rsidP="00DA7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697539"/>
      <w:docPartObj>
        <w:docPartGallery w:val="Page Numbers (Top of Page)"/>
        <w:docPartUnique/>
      </w:docPartObj>
    </w:sdtPr>
    <w:sdtEndPr>
      <w:rPr>
        <w:noProof/>
      </w:rPr>
    </w:sdtEndPr>
    <w:sdtContent>
      <w:p w14:paraId="7D9DA763" w14:textId="31B6FB03" w:rsidR="00D654A7" w:rsidRDefault="00D654A7">
        <w:pPr>
          <w:pStyle w:val="Header"/>
          <w:jc w:val="right"/>
        </w:pPr>
        <w:r>
          <w:fldChar w:fldCharType="begin"/>
        </w:r>
        <w:r>
          <w:instrText xml:space="preserve"> PAGE   \* MERGEFORMAT </w:instrText>
        </w:r>
        <w:r>
          <w:fldChar w:fldCharType="separate"/>
        </w:r>
        <w:r w:rsidR="00032E8D">
          <w:rPr>
            <w:noProof/>
          </w:rPr>
          <w:t>4</w:t>
        </w:r>
        <w:r>
          <w:rPr>
            <w:noProof/>
          </w:rPr>
          <w:fldChar w:fldCharType="end"/>
        </w:r>
      </w:p>
    </w:sdtContent>
  </w:sdt>
  <w:p w14:paraId="1A07630A" w14:textId="77777777" w:rsidR="00D654A7" w:rsidRDefault="00D65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907"/>
    <w:multiLevelType w:val="hybridMultilevel"/>
    <w:tmpl w:val="D144C9C8"/>
    <w:lvl w:ilvl="0" w:tplc="78888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E1E12"/>
    <w:multiLevelType w:val="hybridMultilevel"/>
    <w:tmpl w:val="7CE4AEAE"/>
    <w:lvl w:ilvl="0" w:tplc="722EB904">
      <w:start w:val="1"/>
      <w:numFmt w:val="bullet"/>
      <w:lvlText w:val="-"/>
      <w:lvlJc w:val="left"/>
      <w:pPr>
        <w:ind w:left="360" w:hanging="360"/>
      </w:pPr>
      <w:rPr>
        <w:rFonts w:ascii="Adobe Caslon Pro Bold" w:hAnsi="Adobe Caslon Pro Bol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053171"/>
    <w:multiLevelType w:val="hybridMultilevel"/>
    <w:tmpl w:val="DE98EC86"/>
    <w:lvl w:ilvl="0" w:tplc="5F1638F0">
      <w:start w:val="1"/>
      <w:numFmt w:val="bullet"/>
      <w:lvlText w:val="•"/>
      <w:lvlJc w:val="left"/>
      <w:pPr>
        <w:tabs>
          <w:tab w:val="num" w:pos="720"/>
        </w:tabs>
        <w:ind w:left="720" w:hanging="360"/>
      </w:pPr>
      <w:rPr>
        <w:rFonts w:ascii="Arial" w:hAnsi="Arial" w:hint="default"/>
      </w:rPr>
    </w:lvl>
    <w:lvl w:ilvl="1" w:tplc="D3ACFB64" w:tentative="1">
      <w:start w:val="1"/>
      <w:numFmt w:val="bullet"/>
      <w:lvlText w:val="•"/>
      <w:lvlJc w:val="left"/>
      <w:pPr>
        <w:tabs>
          <w:tab w:val="num" w:pos="1440"/>
        </w:tabs>
        <w:ind w:left="1440" w:hanging="360"/>
      </w:pPr>
      <w:rPr>
        <w:rFonts w:ascii="Arial" w:hAnsi="Arial" w:hint="default"/>
      </w:rPr>
    </w:lvl>
    <w:lvl w:ilvl="2" w:tplc="C91CE5A4" w:tentative="1">
      <w:start w:val="1"/>
      <w:numFmt w:val="bullet"/>
      <w:lvlText w:val="•"/>
      <w:lvlJc w:val="left"/>
      <w:pPr>
        <w:tabs>
          <w:tab w:val="num" w:pos="2160"/>
        </w:tabs>
        <w:ind w:left="2160" w:hanging="360"/>
      </w:pPr>
      <w:rPr>
        <w:rFonts w:ascii="Arial" w:hAnsi="Arial" w:hint="default"/>
      </w:rPr>
    </w:lvl>
    <w:lvl w:ilvl="3" w:tplc="75221834" w:tentative="1">
      <w:start w:val="1"/>
      <w:numFmt w:val="bullet"/>
      <w:lvlText w:val="•"/>
      <w:lvlJc w:val="left"/>
      <w:pPr>
        <w:tabs>
          <w:tab w:val="num" w:pos="2880"/>
        </w:tabs>
        <w:ind w:left="2880" w:hanging="360"/>
      </w:pPr>
      <w:rPr>
        <w:rFonts w:ascii="Arial" w:hAnsi="Arial" w:hint="default"/>
      </w:rPr>
    </w:lvl>
    <w:lvl w:ilvl="4" w:tplc="FA4A9F84" w:tentative="1">
      <w:start w:val="1"/>
      <w:numFmt w:val="bullet"/>
      <w:lvlText w:val="•"/>
      <w:lvlJc w:val="left"/>
      <w:pPr>
        <w:tabs>
          <w:tab w:val="num" w:pos="3600"/>
        </w:tabs>
        <w:ind w:left="3600" w:hanging="360"/>
      </w:pPr>
      <w:rPr>
        <w:rFonts w:ascii="Arial" w:hAnsi="Arial" w:hint="default"/>
      </w:rPr>
    </w:lvl>
    <w:lvl w:ilvl="5" w:tplc="32682E84" w:tentative="1">
      <w:start w:val="1"/>
      <w:numFmt w:val="bullet"/>
      <w:lvlText w:val="•"/>
      <w:lvlJc w:val="left"/>
      <w:pPr>
        <w:tabs>
          <w:tab w:val="num" w:pos="4320"/>
        </w:tabs>
        <w:ind w:left="4320" w:hanging="360"/>
      </w:pPr>
      <w:rPr>
        <w:rFonts w:ascii="Arial" w:hAnsi="Arial" w:hint="default"/>
      </w:rPr>
    </w:lvl>
    <w:lvl w:ilvl="6" w:tplc="0A3047B0" w:tentative="1">
      <w:start w:val="1"/>
      <w:numFmt w:val="bullet"/>
      <w:lvlText w:val="•"/>
      <w:lvlJc w:val="left"/>
      <w:pPr>
        <w:tabs>
          <w:tab w:val="num" w:pos="5040"/>
        </w:tabs>
        <w:ind w:left="5040" w:hanging="360"/>
      </w:pPr>
      <w:rPr>
        <w:rFonts w:ascii="Arial" w:hAnsi="Arial" w:hint="default"/>
      </w:rPr>
    </w:lvl>
    <w:lvl w:ilvl="7" w:tplc="B6AEB572" w:tentative="1">
      <w:start w:val="1"/>
      <w:numFmt w:val="bullet"/>
      <w:lvlText w:val="•"/>
      <w:lvlJc w:val="left"/>
      <w:pPr>
        <w:tabs>
          <w:tab w:val="num" w:pos="5760"/>
        </w:tabs>
        <w:ind w:left="5760" w:hanging="360"/>
      </w:pPr>
      <w:rPr>
        <w:rFonts w:ascii="Arial" w:hAnsi="Arial" w:hint="default"/>
      </w:rPr>
    </w:lvl>
    <w:lvl w:ilvl="8" w:tplc="6BFC31B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wvzwzflfdv9je5ervpz9wvz5s5rzrzzxze&quot;&gt;literatur-sonja&lt;record-ids&gt;&lt;item&gt;6432&lt;/item&gt;&lt;/record-ids&gt;&lt;/item&gt;&lt;/Libraries&gt;"/>
  </w:docVars>
  <w:rsids>
    <w:rsidRoot w:val="006033DC"/>
    <w:rsid w:val="0000139C"/>
    <w:rsid w:val="00002B14"/>
    <w:rsid w:val="000035BF"/>
    <w:rsid w:val="0000388C"/>
    <w:rsid w:val="000065AC"/>
    <w:rsid w:val="00013017"/>
    <w:rsid w:val="00016A7A"/>
    <w:rsid w:val="00016F7C"/>
    <w:rsid w:val="00024881"/>
    <w:rsid w:val="00024EF1"/>
    <w:rsid w:val="00027E1F"/>
    <w:rsid w:val="00030E87"/>
    <w:rsid w:val="0003199E"/>
    <w:rsid w:val="00032E8D"/>
    <w:rsid w:val="00033C4E"/>
    <w:rsid w:val="000347AF"/>
    <w:rsid w:val="00037CFB"/>
    <w:rsid w:val="00041C0A"/>
    <w:rsid w:val="0004436F"/>
    <w:rsid w:val="000458C7"/>
    <w:rsid w:val="00051405"/>
    <w:rsid w:val="00051F98"/>
    <w:rsid w:val="00056D27"/>
    <w:rsid w:val="00062DDE"/>
    <w:rsid w:val="00065165"/>
    <w:rsid w:val="00070A65"/>
    <w:rsid w:val="00071DF2"/>
    <w:rsid w:val="000746C7"/>
    <w:rsid w:val="00077BEB"/>
    <w:rsid w:val="00077C82"/>
    <w:rsid w:val="00081BBA"/>
    <w:rsid w:val="00083C21"/>
    <w:rsid w:val="000861B1"/>
    <w:rsid w:val="0009027D"/>
    <w:rsid w:val="00091A1D"/>
    <w:rsid w:val="0009297A"/>
    <w:rsid w:val="00095AA2"/>
    <w:rsid w:val="00096B3B"/>
    <w:rsid w:val="000A2072"/>
    <w:rsid w:val="000A6B09"/>
    <w:rsid w:val="000A7657"/>
    <w:rsid w:val="000B023D"/>
    <w:rsid w:val="000B4A7C"/>
    <w:rsid w:val="000B687F"/>
    <w:rsid w:val="000B7E6D"/>
    <w:rsid w:val="000C2DDD"/>
    <w:rsid w:val="000C6385"/>
    <w:rsid w:val="000C6CA6"/>
    <w:rsid w:val="000D1A8C"/>
    <w:rsid w:val="000D27C5"/>
    <w:rsid w:val="000D28AC"/>
    <w:rsid w:val="000E24DE"/>
    <w:rsid w:val="000E375B"/>
    <w:rsid w:val="000E48C7"/>
    <w:rsid w:val="000E677A"/>
    <w:rsid w:val="000E747D"/>
    <w:rsid w:val="000F050B"/>
    <w:rsid w:val="000F3A3B"/>
    <w:rsid w:val="000F4F96"/>
    <w:rsid w:val="000F79C1"/>
    <w:rsid w:val="00100EFF"/>
    <w:rsid w:val="00101D39"/>
    <w:rsid w:val="00102E45"/>
    <w:rsid w:val="00103F6B"/>
    <w:rsid w:val="001047D1"/>
    <w:rsid w:val="00105902"/>
    <w:rsid w:val="001124AC"/>
    <w:rsid w:val="00112E67"/>
    <w:rsid w:val="00117481"/>
    <w:rsid w:val="001178DE"/>
    <w:rsid w:val="00120868"/>
    <w:rsid w:val="00123CB6"/>
    <w:rsid w:val="00125256"/>
    <w:rsid w:val="001278FE"/>
    <w:rsid w:val="001302F0"/>
    <w:rsid w:val="00130C3F"/>
    <w:rsid w:val="00131F85"/>
    <w:rsid w:val="001327A5"/>
    <w:rsid w:val="00141CD8"/>
    <w:rsid w:val="001567DE"/>
    <w:rsid w:val="001628BD"/>
    <w:rsid w:val="00166D2A"/>
    <w:rsid w:val="00167ECF"/>
    <w:rsid w:val="00171829"/>
    <w:rsid w:val="00181F50"/>
    <w:rsid w:val="00182A85"/>
    <w:rsid w:val="001837F1"/>
    <w:rsid w:val="00183F2B"/>
    <w:rsid w:val="0018753F"/>
    <w:rsid w:val="001911F8"/>
    <w:rsid w:val="0019281F"/>
    <w:rsid w:val="001932B7"/>
    <w:rsid w:val="001939DC"/>
    <w:rsid w:val="001965D6"/>
    <w:rsid w:val="0019714B"/>
    <w:rsid w:val="001A023D"/>
    <w:rsid w:val="001A0D05"/>
    <w:rsid w:val="001A12B8"/>
    <w:rsid w:val="001A262F"/>
    <w:rsid w:val="001A5D81"/>
    <w:rsid w:val="001A6B94"/>
    <w:rsid w:val="001A6C21"/>
    <w:rsid w:val="001A6DDD"/>
    <w:rsid w:val="001B35A5"/>
    <w:rsid w:val="001B6E4D"/>
    <w:rsid w:val="001C6716"/>
    <w:rsid w:val="001D036D"/>
    <w:rsid w:val="001D0DAA"/>
    <w:rsid w:val="001D0F97"/>
    <w:rsid w:val="001D1A2A"/>
    <w:rsid w:val="001D2451"/>
    <w:rsid w:val="001D4EEA"/>
    <w:rsid w:val="001D4FD6"/>
    <w:rsid w:val="001D6954"/>
    <w:rsid w:val="001D6CCD"/>
    <w:rsid w:val="001D6FBA"/>
    <w:rsid w:val="001E1B84"/>
    <w:rsid w:val="001E1DFB"/>
    <w:rsid w:val="001E337F"/>
    <w:rsid w:val="001E3803"/>
    <w:rsid w:val="001E4456"/>
    <w:rsid w:val="001E604D"/>
    <w:rsid w:val="001E7B05"/>
    <w:rsid w:val="001F017F"/>
    <w:rsid w:val="001F2436"/>
    <w:rsid w:val="001F245A"/>
    <w:rsid w:val="001F408A"/>
    <w:rsid w:val="0020008A"/>
    <w:rsid w:val="002005EE"/>
    <w:rsid w:val="00200A89"/>
    <w:rsid w:val="00201ECD"/>
    <w:rsid w:val="00204319"/>
    <w:rsid w:val="002043EB"/>
    <w:rsid w:val="002049F4"/>
    <w:rsid w:val="00205622"/>
    <w:rsid w:val="002061DE"/>
    <w:rsid w:val="00207810"/>
    <w:rsid w:val="0021584F"/>
    <w:rsid w:val="002172FF"/>
    <w:rsid w:val="00222A0D"/>
    <w:rsid w:val="00230F36"/>
    <w:rsid w:val="002334CE"/>
    <w:rsid w:val="002342CF"/>
    <w:rsid w:val="00235B3A"/>
    <w:rsid w:val="0023604E"/>
    <w:rsid w:val="00237D71"/>
    <w:rsid w:val="00240E76"/>
    <w:rsid w:val="002428DA"/>
    <w:rsid w:val="0024401A"/>
    <w:rsid w:val="0024520D"/>
    <w:rsid w:val="00245F0B"/>
    <w:rsid w:val="00245F74"/>
    <w:rsid w:val="0024612C"/>
    <w:rsid w:val="00247B26"/>
    <w:rsid w:val="00250CC6"/>
    <w:rsid w:val="00251870"/>
    <w:rsid w:val="002543F1"/>
    <w:rsid w:val="002552E5"/>
    <w:rsid w:val="00256315"/>
    <w:rsid w:val="00256EDA"/>
    <w:rsid w:val="00260533"/>
    <w:rsid w:val="00260A36"/>
    <w:rsid w:val="00261D57"/>
    <w:rsid w:val="00263F2B"/>
    <w:rsid w:val="00264115"/>
    <w:rsid w:val="00266052"/>
    <w:rsid w:val="00266B55"/>
    <w:rsid w:val="002679E3"/>
    <w:rsid w:val="002726CC"/>
    <w:rsid w:val="0027348E"/>
    <w:rsid w:val="00273851"/>
    <w:rsid w:val="002825BF"/>
    <w:rsid w:val="00282A96"/>
    <w:rsid w:val="00283A00"/>
    <w:rsid w:val="00290EF2"/>
    <w:rsid w:val="002A0F88"/>
    <w:rsid w:val="002A32FE"/>
    <w:rsid w:val="002A476D"/>
    <w:rsid w:val="002A4DAD"/>
    <w:rsid w:val="002A5756"/>
    <w:rsid w:val="002A7F57"/>
    <w:rsid w:val="002C2063"/>
    <w:rsid w:val="002C2ABD"/>
    <w:rsid w:val="002D0992"/>
    <w:rsid w:val="002D0F32"/>
    <w:rsid w:val="002D3ACB"/>
    <w:rsid w:val="002D3D43"/>
    <w:rsid w:val="002E1121"/>
    <w:rsid w:val="002E51AD"/>
    <w:rsid w:val="002E67F9"/>
    <w:rsid w:val="002F2A30"/>
    <w:rsid w:val="002F3477"/>
    <w:rsid w:val="002F621D"/>
    <w:rsid w:val="002F7C7D"/>
    <w:rsid w:val="00302143"/>
    <w:rsid w:val="003043B3"/>
    <w:rsid w:val="00304588"/>
    <w:rsid w:val="00310A76"/>
    <w:rsid w:val="0031458E"/>
    <w:rsid w:val="00322432"/>
    <w:rsid w:val="003231A0"/>
    <w:rsid w:val="00324C46"/>
    <w:rsid w:val="003264CA"/>
    <w:rsid w:val="00326B0F"/>
    <w:rsid w:val="0032743B"/>
    <w:rsid w:val="00331D16"/>
    <w:rsid w:val="00333723"/>
    <w:rsid w:val="00334875"/>
    <w:rsid w:val="0033708E"/>
    <w:rsid w:val="00343123"/>
    <w:rsid w:val="003435B6"/>
    <w:rsid w:val="00343CC1"/>
    <w:rsid w:val="00344DFE"/>
    <w:rsid w:val="00345CEF"/>
    <w:rsid w:val="00345E62"/>
    <w:rsid w:val="00346567"/>
    <w:rsid w:val="00350B07"/>
    <w:rsid w:val="00351EC0"/>
    <w:rsid w:val="00354E8D"/>
    <w:rsid w:val="00355074"/>
    <w:rsid w:val="00357667"/>
    <w:rsid w:val="00357AA4"/>
    <w:rsid w:val="00361E89"/>
    <w:rsid w:val="003658EA"/>
    <w:rsid w:val="00365E91"/>
    <w:rsid w:val="003671D3"/>
    <w:rsid w:val="00367A69"/>
    <w:rsid w:val="00382428"/>
    <w:rsid w:val="00385816"/>
    <w:rsid w:val="003935D5"/>
    <w:rsid w:val="00395479"/>
    <w:rsid w:val="0039677B"/>
    <w:rsid w:val="003A17C5"/>
    <w:rsid w:val="003A1AA1"/>
    <w:rsid w:val="003A35E9"/>
    <w:rsid w:val="003A73E7"/>
    <w:rsid w:val="003B0CC3"/>
    <w:rsid w:val="003B4A22"/>
    <w:rsid w:val="003C37D9"/>
    <w:rsid w:val="003C3B4F"/>
    <w:rsid w:val="003C5733"/>
    <w:rsid w:val="003D37F2"/>
    <w:rsid w:val="003D55E5"/>
    <w:rsid w:val="003D6761"/>
    <w:rsid w:val="003D7027"/>
    <w:rsid w:val="003E0905"/>
    <w:rsid w:val="003E172C"/>
    <w:rsid w:val="003E4389"/>
    <w:rsid w:val="003E5F6B"/>
    <w:rsid w:val="003E779B"/>
    <w:rsid w:val="003F0774"/>
    <w:rsid w:val="003F1D9D"/>
    <w:rsid w:val="003F320C"/>
    <w:rsid w:val="003F5B40"/>
    <w:rsid w:val="0040421E"/>
    <w:rsid w:val="004076C7"/>
    <w:rsid w:val="004107D5"/>
    <w:rsid w:val="00412F16"/>
    <w:rsid w:val="0041379B"/>
    <w:rsid w:val="0041438F"/>
    <w:rsid w:val="00415DDE"/>
    <w:rsid w:val="0041673B"/>
    <w:rsid w:val="00417D34"/>
    <w:rsid w:val="00422B8C"/>
    <w:rsid w:val="004236AA"/>
    <w:rsid w:val="00423A36"/>
    <w:rsid w:val="00424C02"/>
    <w:rsid w:val="00425062"/>
    <w:rsid w:val="00426D2C"/>
    <w:rsid w:val="004270FD"/>
    <w:rsid w:val="00432DF0"/>
    <w:rsid w:val="00433C2A"/>
    <w:rsid w:val="00433D46"/>
    <w:rsid w:val="00434088"/>
    <w:rsid w:val="00434C70"/>
    <w:rsid w:val="00436909"/>
    <w:rsid w:val="00441AB5"/>
    <w:rsid w:val="00445FFC"/>
    <w:rsid w:val="00453D67"/>
    <w:rsid w:val="00460205"/>
    <w:rsid w:val="00460221"/>
    <w:rsid w:val="00462369"/>
    <w:rsid w:val="004638F4"/>
    <w:rsid w:val="00463DDE"/>
    <w:rsid w:val="00464544"/>
    <w:rsid w:val="00465DF5"/>
    <w:rsid w:val="00466706"/>
    <w:rsid w:val="00466D16"/>
    <w:rsid w:val="00467B73"/>
    <w:rsid w:val="004706E5"/>
    <w:rsid w:val="0047078B"/>
    <w:rsid w:val="004727C1"/>
    <w:rsid w:val="004743CA"/>
    <w:rsid w:val="0047615B"/>
    <w:rsid w:val="00476E3C"/>
    <w:rsid w:val="00477A22"/>
    <w:rsid w:val="004802B3"/>
    <w:rsid w:val="00482032"/>
    <w:rsid w:val="004823F7"/>
    <w:rsid w:val="00483745"/>
    <w:rsid w:val="00486E3A"/>
    <w:rsid w:val="00490E92"/>
    <w:rsid w:val="004930AF"/>
    <w:rsid w:val="00493EFD"/>
    <w:rsid w:val="004A05DD"/>
    <w:rsid w:val="004A2AEB"/>
    <w:rsid w:val="004A2D1D"/>
    <w:rsid w:val="004A3226"/>
    <w:rsid w:val="004A3EE5"/>
    <w:rsid w:val="004B35DE"/>
    <w:rsid w:val="004B390B"/>
    <w:rsid w:val="004C3FBC"/>
    <w:rsid w:val="004C71D5"/>
    <w:rsid w:val="004C7499"/>
    <w:rsid w:val="004C74D0"/>
    <w:rsid w:val="004D00E2"/>
    <w:rsid w:val="004D19B4"/>
    <w:rsid w:val="004D23C7"/>
    <w:rsid w:val="004D5A5C"/>
    <w:rsid w:val="004D759A"/>
    <w:rsid w:val="004E018D"/>
    <w:rsid w:val="004E1C45"/>
    <w:rsid w:val="004E2BD7"/>
    <w:rsid w:val="004E438E"/>
    <w:rsid w:val="004E54BA"/>
    <w:rsid w:val="004E59DF"/>
    <w:rsid w:val="004E5DF4"/>
    <w:rsid w:val="004F153A"/>
    <w:rsid w:val="004F1B49"/>
    <w:rsid w:val="004F2765"/>
    <w:rsid w:val="004F2E1A"/>
    <w:rsid w:val="004F2EC4"/>
    <w:rsid w:val="00500AC5"/>
    <w:rsid w:val="00501DBE"/>
    <w:rsid w:val="00501F6B"/>
    <w:rsid w:val="00503F33"/>
    <w:rsid w:val="00511ADF"/>
    <w:rsid w:val="0051243E"/>
    <w:rsid w:val="00512B06"/>
    <w:rsid w:val="005130D0"/>
    <w:rsid w:val="00514402"/>
    <w:rsid w:val="00515C7D"/>
    <w:rsid w:val="005167A8"/>
    <w:rsid w:val="00517B72"/>
    <w:rsid w:val="005201DC"/>
    <w:rsid w:val="0052213D"/>
    <w:rsid w:val="00522BF5"/>
    <w:rsid w:val="00525892"/>
    <w:rsid w:val="005308F2"/>
    <w:rsid w:val="00531C1E"/>
    <w:rsid w:val="00531E38"/>
    <w:rsid w:val="00533D0D"/>
    <w:rsid w:val="0053635C"/>
    <w:rsid w:val="0053656C"/>
    <w:rsid w:val="0053758F"/>
    <w:rsid w:val="00537E82"/>
    <w:rsid w:val="00551099"/>
    <w:rsid w:val="00551E0B"/>
    <w:rsid w:val="005524CD"/>
    <w:rsid w:val="00554788"/>
    <w:rsid w:val="00557F23"/>
    <w:rsid w:val="00562645"/>
    <w:rsid w:val="005635F4"/>
    <w:rsid w:val="00563FE5"/>
    <w:rsid w:val="0056639E"/>
    <w:rsid w:val="00572258"/>
    <w:rsid w:val="00572631"/>
    <w:rsid w:val="00573E37"/>
    <w:rsid w:val="005756DA"/>
    <w:rsid w:val="005772A2"/>
    <w:rsid w:val="005805D0"/>
    <w:rsid w:val="0058086B"/>
    <w:rsid w:val="0058508D"/>
    <w:rsid w:val="00595907"/>
    <w:rsid w:val="005A26E2"/>
    <w:rsid w:val="005A3498"/>
    <w:rsid w:val="005A6B06"/>
    <w:rsid w:val="005B2477"/>
    <w:rsid w:val="005B3FD5"/>
    <w:rsid w:val="005B4A5A"/>
    <w:rsid w:val="005B57A1"/>
    <w:rsid w:val="005B606D"/>
    <w:rsid w:val="005B7243"/>
    <w:rsid w:val="005C27DF"/>
    <w:rsid w:val="005C5822"/>
    <w:rsid w:val="005C72F3"/>
    <w:rsid w:val="005D248A"/>
    <w:rsid w:val="005D35DE"/>
    <w:rsid w:val="005D3F05"/>
    <w:rsid w:val="005D417D"/>
    <w:rsid w:val="005D5CFF"/>
    <w:rsid w:val="005D7D02"/>
    <w:rsid w:val="005E064C"/>
    <w:rsid w:val="005E0A90"/>
    <w:rsid w:val="005F07F6"/>
    <w:rsid w:val="005F1AAA"/>
    <w:rsid w:val="005F2CCD"/>
    <w:rsid w:val="005F2F69"/>
    <w:rsid w:val="005F32E1"/>
    <w:rsid w:val="005F6C8E"/>
    <w:rsid w:val="00601648"/>
    <w:rsid w:val="006033DC"/>
    <w:rsid w:val="00603776"/>
    <w:rsid w:val="00603963"/>
    <w:rsid w:val="0060478F"/>
    <w:rsid w:val="00605918"/>
    <w:rsid w:val="00605C02"/>
    <w:rsid w:val="00605CA2"/>
    <w:rsid w:val="0061056E"/>
    <w:rsid w:val="00610645"/>
    <w:rsid w:val="00612C55"/>
    <w:rsid w:val="006136C9"/>
    <w:rsid w:val="00614AF4"/>
    <w:rsid w:val="00622AE2"/>
    <w:rsid w:val="00623E71"/>
    <w:rsid w:val="00625089"/>
    <w:rsid w:val="0063526D"/>
    <w:rsid w:val="006409E8"/>
    <w:rsid w:val="0064299C"/>
    <w:rsid w:val="00647595"/>
    <w:rsid w:val="006501FD"/>
    <w:rsid w:val="00650506"/>
    <w:rsid w:val="00652DFB"/>
    <w:rsid w:val="00653C19"/>
    <w:rsid w:val="0065467F"/>
    <w:rsid w:val="00655192"/>
    <w:rsid w:val="00656589"/>
    <w:rsid w:val="00656CC4"/>
    <w:rsid w:val="006570A3"/>
    <w:rsid w:val="00663B36"/>
    <w:rsid w:val="0066501A"/>
    <w:rsid w:val="0066644B"/>
    <w:rsid w:val="0066761F"/>
    <w:rsid w:val="00667770"/>
    <w:rsid w:val="006700F1"/>
    <w:rsid w:val="00681370"/>
    <w:rsid w:val="0068393F"/>
    <w:rsid w:val="0068605E"/>
    <w:rsid w:val="00686968"/>
    <w:rsid w:val="006876F8"/>
    <w:rsid w:val="00687B19"/>
    <w:rsid w:val="00690C75"/>
    <w:rsid w:val="00690F61"/>
    <w:rsid w:val="00691FC8"/>
    <w:rsid w:val="00692F44"/>
    <w:rsid w:val="00694624"/>
    <w:rsid w:val="00695520"/>
    <w:rsid w:val="00696B48"/>
    <w:rsid w:val="006A1A62"/>
    <w:rsid w:val="006A4B44"/>
    <w:rsid w:val="006A5B93"/>
    <w:rsid w:val="006B0B30"/>
    <w:rsid w:val="006B346F"/>
    <w:rsid w:val="006B7DE1"/>
    <w:rsid w:val="006C49CB"/>
    <w:rsid w:val="006C55D6"/>
    <w:rsid w:val="006C5F27"/>
    <w:rsid w:val="006D03A6"/>
    <w:rsid w:val="006D140D"/>
    <w:rsid w:val="006D36C0"/>
    <w:rsid w:val="006E010F"/>
    <w:rsid w:val="006E0333"/>
    <w:rsid w:val="006E189E"/>
    <w:rsid w:val="006E1E49"/>
    <w:rsid w:val="006E371E"/>
    <w:rsid w:val="006E4642"/>
    <w:rsid w:val="006E4F4D"/>
    <w:rsid w:val="006E5569"/>
    <w:rsid w:val="006E564C"/>
    <w:rsid w:val="006E6FE0"/>
    <w:rsid w:val="006F250C"/>
    <w:rsid w:val="006F26D4"/>
    <w:rsid w:val="006F300D"/>
    <w:rsid w:val="006F5D28"/>
    <w:rsid w:val="006F62AA"/>
    <w:rsid w:val="006F719D"/>
    <w:rsid w:val="00706633"/>
    <w:rsid w:val="007074A5"/>
    <w:rsid w:val="00710ED7"/>
    <w:rsid w:val="007159C9"/>
    <w:rsid w:val="00716ED9"/>
    <w:rsid w:val="00726152"/>
    <w:rsid w:val="007309F4"/>
    <w:rsid w:val="00731DF7"/>
    <w:rsid w:val="00732A21"/>
    <w:rsid w:val="007406E4"/>
    <w:rsid w:val="00742D46"/>
    <w:rsid w:val="00743124"/>
    <w:rsid w:val="00752C08"/>
    <w:rsid w:val="00755A2A"/>
    <w:rsid w:val="00760876"/>
    <w:rsid w:val="00763789"/>
    <w:rsid w:val="00764447"/>
    <w:rsid w:val="00770149"/>
    <w:rsid w:val="00772BE0"/>
    <w:rsid w:val="007730B3"/>
    <w:rsid w:val="00773FFB"/>
    <w:rsid w:val="00774EEF"/>
    <w:rsid w:val="0078029B"/>
    <w:rsid w:val="0078149C"/>
    <w:rsid w:val="00781624"/>
    <w:rsid w:val="00781984"/>
    <w:rsid w:val="00790138"/>
    <w:rsid w:val="00793CBB"/>
    <w:rsid w:val="00795EF0"/>
    <w:rsid w:val="0079601C"/>
    <w:rsid w:val="007960E3"/>
    <w:rsid w:val="007A0FEE"/>
    <w:rsid w:val="007A1B21"/>
    <w:rsid w:val="007A21FA"/>
    <w:rsid w:val="007A3239"/>
    <w:rsid w:val="007A6FF9"/>
    <w:rsid w:val="007A70F4"/>
    <w:rsid w:val="007B1540"/>
    <w:rsid w:val="007B27D3"/>
    <w:rsid w:val="007B2FDE"/>
    <w:rsid w:val="007B4645"/>
    <w:rsid w:val="007B55DF"/>
    <w:rsid w:val="007C0A7A"/>
    <w:rsid w:val="007C7CC8"/>
    <w:rsid w:val="007D2321"/>
    <w:rsid w:val="007E073F"/>
    <w:rsid w:val="007E080F"/>
    <w:rsid w:val="007E2465"/>
    <w:rsid w:val="007E37BD"/>
    <w:rsid w:val="007E4E28"/>
    <w:rsid w:val="007E6A05"/>
    <w:rsid w:val="007F1614"/>
    <w:rsid w:val="007F4F51"/>
    <w:rsid w:val="007F5104"/>
    <w:rsid w:val="007F7DAC"/>
    <w:rsid w:val="00801E58"/>
    <w:rsid w:val="008021F9"/>
    <w:rsid w:val="00804EC6"/>
    <w:rsid w:val="00805C75"/>
    <w:rsid w:val="0080749A"/>
    <w:rsid w:val="0081285D"/>
    <w:rsid w:val="00813D39"/>
    <w:rsid w:val="00813FBF"/>
    <w:rsid w:val="0081532A"/>
    <w:rsid w:val="008159F4"/>
    <w:rsid w:val="00816203"/>
    <w:rsid w:val="008227E2"/>
    <w:rsid w:val="00823429"/>
    <w:rsid w:val="00824778"/>
    <w:rsid w:val="00824A93"/>
    <w:rsid w:val="00825ECA"/>
    <w:rsid w:val="00826C25"/>
    <w:rsid w:val="00830084"/>
    <w:rsid w:val="0083037D"/>
    <w:rsid w:val="00832331"/>
    <w:rsid w:val="00832665"/>
    <w:rsid w:val="00837AAE"/>
    <w:rsid w:val="00843E20"/>
    <w:rsid w:val="00850098"/>
    <w:rsid w:val="00850B98"/>
    <w:rsid w:val="00851070"/>
    <w:rsid w:val="00855816"/>
    <w:rsid w:val="00855E57"/>
    <w:rsid w:val="00857408"/>
    <w:rsid w:val="008600F4"/>
    <w:rsid w:val="00860DAF"/>
    <w:rsid w:val="008618F3"/>
    <w:rsid w:val="00865177"/>
    <w:rsid w:val="00873A4E"/>
    <w:rsid w:val="00875206"/>
    <w:rsid w:val="00877ECB"/>
    <w:rsid w:val="00882D91"/>
    <w:rsid w:val="0088350A"/>
    <w:rsid w:val="008841DC"/>
    <w:rsid w:val="008849AA"/>
    <w:rsid w:val="00892426"/>
    <w:rsid w:val="00896080"/>
    <w:rsid w:val="008968D9"/>
    <w:rsid w:val="008A3DE3"/>
    <w:rsid w:val="008A4F61"/>
    <w:rsid w:val="008A609F"/>
    <w:rsid w:val="008B2FB2"/>
    <w:rsid w:val="008B42F4"/>
    <w:rsid w:val="008B46C5"/>
    <w:rsid w:val="008C060A"/>
    <w:rsid w:val="008C0FBB"/>
    <w:rsid w:val="008C11EC"/>
    <w:rsid w:val="008C1718"/>
    <w:rsid w:val="008C2306"/>
    <w:rsid w:val="008C573C"/>
    <w:rsid w:val="008D0C41"/>
    <w:rsid w:val="008D3C27"/>
    <w:rsid w:val="008D6679"/>
    <w:rsid w:val="008D7773"/>
    <w:rsid w:val="008E0020"/>
    <w:rsid w:val="008E4809"/>
    <w:rsid w:val="008E494B"/>
    <w:rsid w:val="008F0070"/>
    <w:rsid w:val="008F1A14"/>
    <w:rsid w:val="008F415B"/>
    <w:rsid w:val="008F6661"/>
    <w:rsid w:val="00900208"/>
    <w:rsid w:val="00903F4A"/>
    <w:rsid w:val="00904E26"/>
    <w:rsid w:val="0090591A"/>
    <w:rsid w:val="00906242"/>
    <w:rsid w:val="00906269"/>
    <w:rsid w:val="00906756"/>
    <w:rsid w:val="00906C7D"/>
    <w:rsid w:val="00906D17"/>
    <w:rsid w:val="00907508"/>
    <w:rsid w:val="009128E0"/>
    <w:rsid w:val="009142E7"/>
    <w:rsid w:val="00925486"/>
    <w:rsid w:val="00925ED9"/>
    <w:rsid w:val="00925FBB"/>
    <w:rsid w:val="009334A6"/>
    <w:rsid w:val="009412A9"/>
    <w:rsid w:val="00941D77"/>
    <w:rsid w:val="00942504"/>
    <w:rsid w:val="00943A14"/>
    <w:rsid w:val="00945294"/>
    <w:rsid w:val="00945BE0"/>
    <w:rsid w:val="00947A9C"/>
    <w:rsid w:val="00952A17"/>
    <w:rsid w:val="00954E19"/>
    <w:rsid w:val="00961029"/>
    <w:rsid w:val="0096160E"/>
    <w:rsid w:val="00961CD8"/>
    <w:rsid w:val="00961FF0"/>
    <w:rsid w:val="0096386B"/>
    <w:rsid w:val="00964BAA"/>
    <w:rsid w:val="009652D9"/>
    <w:rsid w:val="0096536E"/>
    <w:rsid w:val="009676D9"/>
    <w:rsid w:val="00967B3E"/>
    <w:rsid w:val="009704C3"/>
    <w:rsid w:val="00971A25"/>
    <w:rsid w:val="00972E6B"/>
    <w:rsid w:val="00987712"/>
    <w:rsid w:val="009972E8"/>
    <w:rsid w:val="00997C89"/>
    <w:rsid w:val="009A1122"/>
    <w:rsid w:val="009A4495"/>
    <w:rsid w:val="009A534A"/>
    <w:rsid w:val="009A59C3"/>
    <w:rsid w:val="009B1E16"/>
    <w:rsid w:val="009C041E"/>
    <w:rsid w:val="009C5AF2"/>
    <w:rsid w:val="009D2134"/>
    <w:rsid w:val="009D3AB3"/>
    <w:rsid w:val="009D4238"/>
    <w:rsid w:val="009D436A"/>
    <w:rsid w:val="009D5647"/>
    <w:rsid w:val="009D5C39"/>
    <w:rsid w:val="009D7A39"/>
    <w:rsid w:val="009E1218"/>
    <w:rsid w:val="009E4828"/>
    <w:rsid w:val="009E54A5"/>
    <w:rsid w:val="009F26D2"/>
    <w:rsid w:val="009F3C26"/>
    <w:rsid w:val="009F7EA7"/>
    <w:rsid w:val="00A04C3B"/>
    <w:rsid w:val="00A05334"/>
    <w:rsid w:val="00A065C6"/>
    <w:rsid w:val="00A1349B"/>
    <w:rsid w:val="00A1678A"/>
    <w:rsid w:val="00A17D9B"/>
    <w:rsid w:val="00A21C70"/>
    <w:rsid w:val="00A25612"/>
    <w:rsid w:val="00A26F5A"/>
    <w:rsid w:val="00A31851"/>
    <w:rsid w:val="00A328BB"/>
    <w:rsid w:val="00A351A3"/>
    <w:rsid w:val="00A44D58"/>
    <w:rsid w:val="00A44E2F"/>
    <w:rsid w:val="00A45763"/>
    <w:rsid w:val="00A4598D"/>
    <w:rsid w:val="00A46A30"/>
    <w:rsid w:val="00A47D69"/>
    <w:rsid w:val="00A5215C"/>
    <w:rsid w:val="00A5245A"/>
    <w:rsid w:val="00A56851"/>
    <w:rsid w:val="00A57DE2"/>
    <w:rsid w:val="00A60083"/>
    <w:rsid w:val="00A6055B"/>
    <w:rsid w:val="00A623D1"/>
    <w:rsid w:val="00A62AE5"/>
    <w:rsid w:val="00A630C7"/>
    <w:rsid w:val="00A65B16"/>
    <w:rsid w:val="00A70056"/>
    <w:rsid w:val="00A74D38"/>
    <w:rsid w:val="00A812CE"/>
    <w:rsid w:val="00A81FC0"/>
    <w:rsid w:val="00A85CE5"/>
    <w:rsid w:val="00A91C2A"/>
    <w:rsid w:val="00A93E02"/>
    <w:rsid w:val="00A94013"/>
    <w:rsid w:val="00A9462E"/>
    <w:rsid w:val="00A94953"/>
    <w:rsid w:val="00A96E78"/>
    <w:rsid w:val="00A97193"/>
    <w:rsid w:val="00AA0759"/>
    <w:rsid w:val="00AA200F"/>
    <w:rsid w:val="00AA5045"/>
    <w:rsid w:val="00AA5D29"/>
    <w:rsid w:val="00AA754B"/>
    <w:rsid w:val="00AB0219"/>
    <w:rsid w:val="00AB1F6B"/>
    <w:rsid w:val="00AB3CF4"/>
    <w:rsid w:val="00AB432C"/>
    <w:rsid w:val="00AB767D"/>
    <w:rsid w:val="00AC4A58"/>
    <w:rsid w:val="00AC5599"/>
    <w:rsid w:val="00AC5A5B"/>
    <w:rsid w:val="00AC6912"/>
    <w:rsid w:val="00AC7B00"/>
    <w:rsid w:val="00AD24ED"/>
    <w:rsid w:val="00AE2ED3"/>
    <w:rsid w:val="00AE30C8"/>
    <w:rsid w:val="00AE47F1"/>
    <w:rsid w:val="00AE4FD1"/>
    <w:rsid w:val="00AF4B06"/>
    <w:rsid w:val="00AF4C4B"/>
    <w:rsid w:val="00B026DD"/>
    <w:rsid w:val="00B0646D"/>
    <w:rsid w:val="00B136FF"/>
    <w:rsid w:val="00B139B7"/>
    <w:rsid w:val="00B143F4"/>
    <w:rsid w:val="00B152C9"/>
    <w:rsid w:val="00B15FFC"/>
    <w:rsid w:val="00B2238E"/>
    <w:rsid w:val="00B23B2F"/>
    <w:rsid w:val="00B23DEE"/>
    <w:rsid w:val="00B2412D"/>
    <w:rsid w:val="00B24193"/>
    <w:rsid w:val="00B3179F"/>
    <w:rsid w:val="00B345B8"/>
    <w:rsid w:val="00B360BF"/>
    <w:rsid w:val="00B367F8"/>
    <w:rsid w:val="00B409B8"/>
    <w:rsid w:val="00B411D5"/>
    <w:rsid w:val="00B42430"/>
    <w:rsid w:val="00B434A8"/>
    <w:rsid w:val="00B46E1C"/>
    <w:rsid w:val="00B47A9B"/>
    <w:rsid w:val="00B503FD"/>
    <w:rsid w:val="00B52259"/>
    <w:rsid w:val="00B53A81"/>
    <w:rsid w:val="00B53E43"/>
    <w:rsid w:val="00B60D3A"/>
    <w:rsid w:val="00B63962"/>
    <w:rsid w:val="00B64BB5"/>
    <w:rsid w:val="00B7324F"/>
    <w:rsid w:val="00B750B9"/>
    <w:rsid w:val="00B75FE0"/>
    <w:rsid w:val="00B80442"/>
    <w:rsid w:val="00B829D8"/>
    <w:rsid w:val="00B91196"/>
    <w:rsid w:val="00B92919"/>
    <w:rsid w:val="00B93371"/>
    <w:rsid w:val="00B940C5"/>
    <w:rsid w:val="00B94BCA"/>
    <w:rsid w:val="00B96AAE"/>
    <w:rsid w:val="00BA1B20"/>
    <w:rsid w:val="00BA2510"/>
    <w:rsid w:val="00BA2E46"/>
    <w:rsid w:val="00BA3D27"/>
    <w:rsid w:val="00BA4133"/>
    <w:rsid w:val="00BA7A51"/>
    <w:rsid w:val="00BA7D60"/>
    <w:rsid w:val="00BC1A1A"/>
    <w:rsid w:val="00BC2200"/>
    <w:rsid w:val="00BC3420"/>
    <w:rsid w:val="00BD0F5F"/>
    <w:rsid w:val="00BD2042"/>
    <w:rsid w:val="00BD42CD"/>
    <w:rsid w:val="00BD452A"/>
    <w:rsid w:val="00BD715D"/>
    <w:rsid w:val="00BE0363"/>
    <w:rsid w:val="00BE241D"/>
    <w:rsid w:val="00BE533E"/>
    <w:rsid w:val="00BE58C1"/>
    <w:rsid w:val="00BE5CEC"/>
    <w:rsid w:val="00BE5F60"/>
    <w:rsid w:val="00BE6791"/>
    <w:rsid w:val="00BF092F"/>
    <w:rsid w:val="00BF2F5A"/>
    <w:rsid w:val="00BF3085"/>
    <w:rsid w:val="00BF445A"/>
    <w:rsid w:val="00BF5B94"/>
    <w:rsid w:val="00BF6EEF"/>
    <w:rsid w:val="00BF7031"/>
    <w:rsid w:val="00C01CD0"/>
    <w:rsid w:val="00C02959"/>
    <w:rsid w:val="00C04ECC"/>
    <w:rsid w:val="00C1641F"/>
    <w:rsid w:val="00C16673"/>
    <w:rsid w:val="00C16FA8"/>
    <w:rsid w:val="00C24D51"/>
    <w:rsid w:val="00C26904"/>
    <w:rsid w:val="00C27299"/>
    <w:rsid w:val="00C30346"/>
    <w:rsid w:val="00C30F73"/>
    <w:rsid w:val="00C35CA9"/>
    <w:rsid w:val="00C42AE8"/>
    <w:rsid w:val="00C45A87"/>
    <w:rsid w:val="00C469CA"/>
    <w:rsid w:val="00C50E56"/>
    <w:rsid w:val="00C546A9"/>
    <w:rsid w:val="00C61D89"/>
    <w:rsid w:val="00C6350B"/>
    <w:rsid w:val="00C67248"/>
    <w:rsid w:val="00C70CD8"/>
    <w:rsid w:val="00C747E2"/>
    <w:rsid w:val="00C76598"/>
    <w:rsid w:val="00C76A83"/>
    <w:rsid w:val="00C8046E"/>
    <w:rsid w:val="00C84A54"/>
    <w:rsid w:val="00C85180"/>
    <w:rsid w:val="00C8555D"/>
    <w:rsid w:val="00C90011"/>
    <w:rsid w:val="00C90A1E"/>
    <w:rsid w:val="00C90E8B"/>
    <w:rsid w:val="00C93D2B"/>
    <w:rsid w:val="00C93DBD"/>
    <w:rsid w:val="00C94618"/>
    <w:rsid w:val="00C95BF7"/>
    <w:rsid w:val="00C9633E"/>
    <w:rsid w:val="00C9679A"/>
    <w:rsid w:val="00C96FD2"/>
    <w:rsid w:val="00C97316"/>
    <w:rsid w:val="00C97E20"/>
    <w:rsid w:val="00CA0E1F"/>
    <w:rsid w:val="00CB48A8"/>
    <w:rsid w:val="00CC2C40"/>
    <w:rsid w:val="00CC31F1"/>
    <w:rsid w:val="00CC4309"/>
    <w:rsid w:val="00CC5483"/>
    <w:rsid w:val="00CC61C8"/>
    <w:rsid w:val="00CC6A3F"/>
    <w:rsid w:val="00CC727B"/>
    <w:rsid w:val="00CD32CD"/>
    <w:rsid w:val="00CD3A7F"/>
    <w:rsid w:val="00CD5049"/>
    <w:rsid w:val="00CD5565"/>
    <w:rsid w:val="00CE12EE"/>
    <w:rsid w:val="00CE1D17"/>
    <w:rsid w:val="00CE1E08"/>
    <w:rsid w:val="00CF0664"/>
    <w:rsid w:val="00CF1E55"/>
    <w:rsid w:val="00CF2194"/>
    <w:rsid w:val="00CF2BB1"/>
    <w:rsid w:val="00CF574C"/>
    <w:rsid w:val="00CF6FAE"/>
    <w:rsid w:val="00D011A7"/>
    <w:rsid w:val="00D016D6"/>
    <w:rsid w:val="00D03D15"/>
    <w:rsid w:val="00D064F7"/>
    <w:rsid w:val="00D07AA1"/>
    <w:rsid w:val="00D11179"/>
    <w:rsid w:val="00D11E9A"/>
    <w:rsid w:val="00D13023"/>
    <w:rsid w:val="00D16CCB"/>
    <w:rsid w:val="00D249A4"/>
    <w:rsid w:val="00D265FF"/>
    <w:rsid w:val="00D3042D"/>
    <w:rsid w:val="00D31D35"/>
    <w:rsid w:val="00D3202A"/>
    <w:rsid w:val="00D322E8"/>
    <w:rsid w:val="00D32969"/>
    <w:rsid w:val="00D3316D"/>
    <w:rsid w:val="00D342AE"/>
    <w:rsid w:val="00D35BEC"/>
    <w:rsid w:val="00D373DF"/>
    <w:rsid w:val="00D424A0"/>
    <w:rsid w:val="00D42D72"/>
    <w:rsid w:val="00D44FA5"/>
    <w:rsid w:val="00D469EF"/>
    <w:rsid w:val="00D504C9"/>
    <w:rsid w:val="00D5143D"/>
    <w:rsid w:val="00D52D90"/>
    <w:rsid w:val="00D53250"/>
    <w:rsid w:val="00D5343C"/>
    <w:rsid w:val="00D5429F"/>
    <w:rsid w:val="00D61F49"/>
    <w:rsid w:val="00D654A7"/>
    <w:rsid w:val="00D6581A"/>
    <w:rsid w:val="00D67C74"/>
    <w:rsid w:val="00D70F44"/>
    <w:rsid w:val="00D72680"/>
    <w:rsid w:val="00D766DD"/>
    <w:rsid w:val="00D76F18"/>
    <w:rsid w:val="00D865B5"/>
    <w:rsid w:val="00D86999"/>
    <w:rsid w:val="00D9456F"/>
    <w:rsid w:val="00D97AE5"/>
    <w:rsid w:val="00D97BA8"/>
    <w:rsid w:val="00DA03BB"/>
    <w:rsid w:val="00DA0906"/>
    <w:rsid w:val="00DA310A"/>
    <w:rsid w:val="00DA7A19"/>
    <w:rsid w:val="00DA7DB6"/>
    <w:rsid w:val="00DA7DE7"/>
    <w:rsid w:val="00DB2F7E"/>
    <w:rsid w:val="00DB6F07"/>
    <w:rsid w:val="00DC0DC5"/>
    <w:rsid w:val="00DC33A4"/>
    <w:rsid w:val="00DC3EB8"/>
    <w:rsid w:val="00DC5FD4"/>
    <w:rsid w:val="00DD440A"/>
    <w:rsid w:val="00DD5042"/>
    <w:rsid w:val="00DD5BF2"/>
    <w:rsid w:val="00DD6986"/>
    <w:rsid w:val="00DE081F"/>
    <w:rsid w:val="00DE0894"/>
    <w:rsid w:val="00DE266E"/>
    <w:rsid w:val="00DE2B00"/>
    <w:rsid w:val="00DE4DFF"/>
    <w:rsid w:val="00DE6182"/>
    <w:rsid w:val="00DF1E6F"/>
    <w:rsid w:val="00DF6330"/>
    <w:rsid w:val="00E020AC"/>
    <w:rsid w:val="00E0247C"/>
    <w:rsid w:val="00E03A4E"/>
    <w:rsid w:val="00E06999"/>
    <w:rsid w:val="00E1000B"/>
    <w:rsid w:val="00E12B13"/>
    <w:rsid w:val="00E15A28"/>
    <w:rsid w:val="00E1732A"/>
    <w:rsid w:val="00E23E66"/>
    <w:rsid w:val="00E2460E"/>
    <w:rsid w:val="00E26CC1"/>
    <w:rsid w:val="00E26FBB"/>
    <w:rsid w:val="00E30A38"/>
    <w:rsid w:val="00E30BD0"/>
    <w:rsid w:val="00E36F93"/>
    <w:rsid w:val="00E408A2"/>
    <w:rsid w:val="00E4385C"/>
    <w:rsid w:val="00E52564"/>
    <w:rsid w:val="00E54408"/>
    <w:rsid w:val="00E5705C"/>
    <w:rsid w:val="00E641DF"/>
    <w:rsid w:val="00E66492"/>
    <w:rsid w:val="00E6777A"/>
    <w:rsid w:val="00E72821"/>
    <w:rsid w:val="00E737EE"/>
    <w:rsid w:val="00E76C8E"/>
    <w:rsid w:val="00E82AC4"/>
    <w:rsid w:val="00E830FC"/>
    <w:rsid w:val="00E84A1E"/>
    <w:rsid w:val="00E86FC2"/>
    <w:rsid w:val="00E876BB"/>
    <w:rsid w:val="00E94991"/>
    <w:rsid w:val="00E9506E"/>
    <w:rsid w:val="00E951B9"/>
    <w:rsid w:val="00EA2406"/>
    <w:rsid w:val="00EA6903"/>
    <w:rsid w:val="00EA7199"/>
    <w:rsid w:val="00EB06DD"/>
    <w:rsid w:val="00EB1762"/>
    <w:rsid w:val="00EB1C78"/>
    <w:rsid w:val="00EB213B"/>
    <w:rsid w:val="00EB3295"/>
    <w:rsid w:val="00EB37E7"/>
    <w:rsid w:val="00EB54DD"/>
    <w:rsid w:val="00EC1614"/>
    <w:rsid w:val="00EC31F5"/>
    <w:rsid w:val="00EC3BC5"/>
    <w:rsid w:val="00EC59BA"/>
    <w:rsid w:val="00EC7BA2"/>
    <w:rsid w:val="00ED0D91"/>
    <w:rsid w:val="00ED4332"/>
    <w:rsid w:val="00ED5811"/>
    <w:rsid w:val="00ED61F8"/>
    <w:rsid w:val="00ED6F15"/>
    <w:rsid w:val="00ED75F0"/>
    <w:rsid w:val="00ED76DE"/>
    <w:rsid w:val="00ED7DE2"/>
    <w:rsid w:val="00EE0AE4"/>
    <w:rsid w:val="00EE2F33"/>
    <w:rsid w:val="00EE437E"/>
    <w:rsid w:val="00EE6C52"/>
    <w:rsid w:val="00EE7C83"/>
    <w:rsid w:val="00EF1BC5"/>
    <w:rsid w:val="00EF749F"/>
    <w:rsid w:val="00EF7BB2"/>
    <w:rsid w:val="00F0538A"/>
    <w:rsid w:val="00F1236E"/>
    <w:rsid w:val="00F13A8F"/>
    <w:rsid w:val="00F13BE7"/>
    <w:rsid w:val="00F15520"/>
    <w:rsid w:val="00F17122"/>
    <w:rsid w:val="00F17D87"/>
    <w:rsid w:val="00F226A7"/>
    <w:rsid w:val="00F246F2"/>
    <w:rsid w:val="00F3423D"/>
    <w:rsid w:val="00F3531E"/>
    <w:rsid w:val="00F36A05"/>
    <w:rsid w:val="00F37012"/>
    <w:rsid w:val="00F37786"/>
    <w:rsid w:val="00F37CB9"/>
    <w:rsid w:val="00F40D44"/>
    <w:rsid w:val="00F419F4"/>
    <w:rsid w:val="00F45999"/>
    <w:rsid w:val="00F460C2"/>
    <w:rsid w:val="00F52206"/>
    <w:rsid w:val="00F52E4C"/>
    <w:rsid w:val="00F56CEC"/>
    <w:rsid w:val="00F60157"/>
    <w:rsid w:val="00F61451"/>
    <w:rsid w:val="00F62675"/>
    <w:rsid w:val="00F62719"/>
    <w:rsid w:val="00F65193"/>
    <w:rsid w:val="00F72AAF"/>
    <w:rsid w:val="00F739BB"/>
    <w:rsid w:val="00F750D3"/>
    <w:rsid w:val="00F7594A"/>
    <w:rsid w:val="00F77CD8"/>
    <w:rsid w:val="00F81287"/>
    <w:rsid w:val="00F8508E"/>
    <w:rsid w:val="00F8529D"/>
    <w:rsid w:val="00F85394"/>
    <w:rsid w:val="00F91BAD"/>
    <w:rsid w:val="00F91DDF"/>
    <w:rsid w:val="00F9221E"/>
    <w:rsid w:val="00F937AA"/>
    <w:rsid w:val="00F94B1E"/>
    <w:rsid w:val="00F95447"/>
    <w:rsid w:val="00F96632"/>
    <w:rsid w:val="00F97461"/>
    <w:rsid w:val="00FA3451"/>
    <w:rsid w:val="00FA3B46"/>
    <w:rsid w:val="00FA5F82"/>
    <w:rsid w:val="00FB1894"/>
    <w:rsid w:val="00FB2BE1"/>
    <w:rsid w:val="00FB34FD"/>
    <w:rsid w:val="00FB3C8C"/>
    <w:rsid w:val="00FB5032"/>
    <w:rsid w:val="00FC439E"/>
    <w:rsid w:val="00FD0698"/>
    <w:rsid w:val="00FD210F"/>
    <w:rsid w:val="00FD285C"/>
    <w:rsid w:val="00FD4BE4"/>
    <w:rsid w:val="00FD5229"/>
    <w:rsid w:val="00FD7809"/>
    <w:rsid w:val="00FE081B"/>
    <w:rsid w:val="00FE1819"/>
    <w:rsid w:val="00FE1D5B"/>
    <w:rsid w:val="00FE5647"/>
    <w:rsid w:val="00FF11FD"/>
    <w:rsid w:val="00FF318E"/>
    <w:rsid w:val="00FF43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F7436"/>
  <w15:chartTrackingRefBased/>
  <w15:docId w15:val="{A1198719-A813-481F-902C-960BE851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F60"/>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746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F60"/>
    <w:rPr>
      <w:rFonts w:eastAsiaTheme="majorEastAsia" w:cstheme="majorBidi"/>
      <w:b/>
      <w:szCs w:val="32"/>
    </w:rPr>
  </w:style>
  <w:style w:type="character" w:customStyle="1" w:styleId="Heading2Char">
    <w:name w:val="Heading 2 Char"/>
    <w:basedOn w:val="DefaultParagraphFont"/>
    <w:link w:val="Heading2"/>
    <w:uiPriority w:val="9"/>
    <w:rsid w:val="000746C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A7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B6"/>
  </w:style>
  <w:style w:type="paragraph" w:styleId="Footer">
    <w:name w:val="footer"/>
    <w:basedOn w:val="Normal"/>
    <w:link w:val="FooterChar"/>
    <w:uiPriority w:val="99"/>
    <w:unhideWhenUsed/>
    <w:rsid w:val="00DA7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B6"/>
  </w:style>
  <w:style w:type="character" w:styleId="Hyperlink">
    <w:name w:val="Hyperlink"/>
    <w:basedOn w:val="DefaultParagraphFont"/>
    <w:uiPriority w:val="99"/>
    <w:unhideWhenUsed/>
    <w:rsid w:val="00732A21"/>
    <w:rPr>
      <w:color w:val="0563C1" w:themeColor="hyperlink"/>
      <w:u w:val="single"/>
    </w:rPr>
  </w:style>
  <w:style w:type="paragraph" w:customStyle="1" w:styleId="EndNoteBibliographyTitle">
    <w:name w:val="EndNote Bibliography Title"/>
    <w:basedOn w:val="Normal"/>
    <w:link w:val="EndNoteBibliographyTitleChar"/>
    <w:rsid w:val="001A023D"/>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1A023D"/>
    <w:rPr>
      <w:rFonts w:ascii="Arial" w:hAnsi="Arial" w:cs="Arial"/>
      <w:noProof/>
      <w:sz w:val="24"/>
    </w:rPr>
  </w:style>
  <w:style w:type="paragraph" w:customStyle="1" w:styleId="EndNoteBibliography">
    <w:name w:val="EndNote Bibliography"/>
    <w:basedOn w:val="Normal"/>
    <w:link w:val="EndNoteBibliographyChar"/>
    <w:rsid w:val="001A023D"/>
    <w:pPr>
      <w:spacing w:line="240" w:lineRule="auto"/>
    </w:pPr>
    <w:rPr>
      <w:rFonts w:ascii="Arial" w:hAnsi="Arial" w:cs="Arial"/>
      <w:noProof/>
      <w:sz w:val="24"/>
    </w:rPr>
  </w:style>
  <w:style w:type="character" w:customStyle="1" w:styleId="EndNoteBibliographyChar">
    <w:name w:val="EndNote Bibliography Char"/>
    <w:basedOn w:val="DefaultParagraphFont"/>
    <w:link w:val="EndNoteBibliography"/>
    <w:rsid w:val="001A023D"/>
    <w:rPr>
      <w:rFonts w:ascii="Arial" w:hAnsi="Arial" w:cs="Arial"/>
      <w:noProof/>
      <w:sz w:val="24"/>
    </w:rPr>
  </w:style>
  <w:style w:type="paragraph" w:styleId="ListParagraph">
    <w:name w:val="List Paragraph"/>
    <w:basedOn w:val="Normal"/>
    <w:uiPriority w:val="34"/>
    <w:qFormat/>
    <w:rsid w:val="00D6581A"/>
    <w:pPr>
      <w:ind w:left="720"/>
      <w:contextualSpacing/>
    </w:pPr>
  </w:style>
  <w:style w:type="character" w:styleId="CommentReference">
    <w:name w:val="annotation reference"/>
    <w:basedOn w:val="DefaultParagraphFont"/>
    <w:uiPriority w:val="99"/>
    <w:semiHidden/>
    <w:unhideWhenUsed/>
    <w:rsid w:val="00B7324F"/>
    <w:rPr>
      <w:sz w:val="16"/>
      <w:szCs w:val="16"/>
    </w:rPr>
  </w:style>
  <w:style w:type="paragraph" w:styleId="CommentText">
    <w:name w:val="annotation text"/>
    <w:basedOn w:val="Normal"/>
    <w:link w:val="CommentTextChar"/>
    <w:uiPriority w:val="99"/>
    <w:unhideWhenUsed/>
    <w:rsid w:val="00B7324F"/>
    <w:pPr>
      <w:spacing w:line="240" w:lineRule="auto"/>
    </w:pPr>
    <w:rPr>
      <w:sz w:val="20"/>
      <w:szCs w:val="20"/>
    </w:rPr>
  </w:style>
  <w:style w:type="character" w:customStyle="1" w:styleId="CommentTextChar">
    <w:name w:val="Comment Text Char"/>
    <w:basedOn w:val="DefaultParagraphFont"/>
    <w:link w:val="CommentText"/>
    <w:uiPriority w:val="99"/>
    <w:rsid w:val="00B7324F"/>
    <w:rPr>
      <w:sz w:val="20"/>
      <w:szCs w:val="20"/>
    </w:rPr>
  </w:style>
  <w:style w:type="paragraph" w:styleId="CommentSubject">
    <w:name w:val="annotation subject"/>
    <w:basedOn w:val="CommentText"/>
    <w:next w:val="CommentText"/>
    <w:link w:val="CommentSubjectChar"/>
    <w:uiPriority w:val="99"/>
    <w:semiHidden/>
    <w:unhideWhenUsed/>
    <w:rsid w:val="00B7324F"/>
    <w:rPr>
      <w:b/>
      <w:bCs/>
    </w:rPr>
  </w:style>
  <w:style w:type="character" w:customStyle="1" w:styleId="CommentSubjectChar">
    <w:name w:val="Comment Subject Char"/>
    <w:basedOn w:val="CommentTextChar"/>
    <w:link w:val="CommentSubject"/>
    <w:uiPriority w:val="99"/>
    <w:semiHidden/>
    <w:rsid w:val="00B7324F"/>
    <w:rPr>
      <w:b/>
      <w:bCs/>
      <w:sz w:val="20"/>
      <w:szCs w:val="20"/>
    </w:rPr>
  </w:style>
  <w:style w:type="paragraph" w:styleId="BalloonText">
    <w:name w:val="Balloon Text"/>
    <w:basedOn w:val="Normal"/>
    <w:link w:val="BalloonTextChar"/>
    <w:uiPriority w:val="99"/>
    <w:semiHidden/>
    <w:unhideWhenUsed/>
    <w:rsid w:val="00B73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24F"/>
    <w:rPr>
      <w:rFonts w:ascii="Segoe UI" w:hAnsi="Segoe UI" w:cs="Segoe UI"/>
      <w:sz w:val="18"/>
      <w:szCs w:val="18"/>
    </w:rPr>
  </w:style>
  <w:style w:type="paragraph" w:customStyle="1" w:styleId="Heading21">
    <w:name w:val="Heading 21"/>
    <w:basedOn w:val="Heading2"/>
    <w:link w:val="heading2Char0"/>
    <w:qFormat/>
    <w:rsid w:val="000746C7"/>
    <w:rPr>
      <w:rFonts w:asciiTheme="minorHAnsi" w:hAnsiTheme="minorHAnsi"/>
      <w:b/>
      <w:i/>
      <w:color w:val="auto"/>
      <w:sz w:val="22"/>
    </w:rPr>
  </w:style>
  <w:style w:type="character" w:customStyle="1" w:styleId="heading2Char0">
    <w:name w:val="heading 2 Char"/>
    <w:basedOn w:val="Heading2Char"/>
    <w:link w:val="Heading21"/>
    <w:rsid w:val="000746C7"/>
    <w:rPr>
      <w:rFonts w:asciiTheme="majorHAnsi" w:eastAsiaTheme="majorEastAsia" w:hAnsiTheme="majorHAnsi" w:cstheme="majorBidi"/>
      <w:b/>
      <w:i/>
      <w:color w:val="2E74B5" w:themeColor="accent1" w:themeShade="BF"/>
      <w:sz w:val="26"/>
      <w:szCs w:val="26"/>
    </w:rPr>
  </w:style>
  <w:style w:type="character" w:customStyle="1" w:styleId="BodyTextChar">
    <w:name w:val="Body Text Char"/>
    <w:basedOn w:val="DefaultParagraphFont"/>
    <w:link w:val="BodyText"/>
    <w:uiPriority w:val="1"/>
    <w:rsid w:val="00690C75"/>
    <w:rPr>
      <w:rFonts w:ascii="Arial" w:eastAsia="Arial" w:hAnsi="Arial" w:cs="Arial"/>
      <w:sz w:val="16"/>
      <w:szCs w:val="16"/>
    </w:rPr>
  </w:style>
  <w:style w:type="paragraph" w:styleId="BodyText">
    <w:name w:val="Body Text"/>
    <w:basedOn w:val="Normal"/>
    <w:link w:val="BodyTextChar"/>
    <w:uiPriority w:val="1"/>
    <w:qFormat/>
    <w:rsid w:val="00690C75"/>
    <w:pPr>
      <w:widowControl w:val="0"/>
      <w:autoSpaceDE w:val="0"/>
      <w:autoSpaceDN w:val="0"/>
      <w:spacing w:after="0" w:line="240" w:lineRule="auto"/>
    </w:pPr>
    <w:rPr>
      <w:rFonts w:ascii="Arial" w:eastAsia="Arial" w:hAnsi="Arial" w:cs="Arial"/>
      <w:sz w:val="16"/>
      <w:szCs w:val="16"/>
    </w:rPr>
  </w:style>
  <w:style w:type="paragraph" w:styleId="NoSpacing">
    <w:name w:val="No Spacing"/>
    <w:uiPriority w:val="1"/>
    <w:qFormat/>
    <w:rsid w:val="00690C75"/>
    <w:pPr>
      <w:spacing w:after="0" w:line="240" w:lineRule="auto"/>
    </w:pPr>
  </w:style>
  <w:style w:type="paragraph" w:customStyle="1" w:styleId="TableParagraph">
    <w:name w:val="Table Paragraph"/>
    <w:basedOn w:val="Normal"/>
    <w:uiPriority w:val="1"/>
    <w:qFormat/>
    <w:rsid w:val="00690C75"/>
    <w:pPr>
      <w:widowControl w:val="0"/>
      <w:autoSpaceDE w:val="0"/>
      <w:autoSpaceDN w:val="0"/>
      <w:spacing w:after="0" w:line="240" w:lineRule="auto"/>
      <w:ind w:left="119"/>
    </w:pPr>
    <w:rPr>
      <w:rFonts w:ascii="Arial" w:eastAsia="Arial" w:hAnsi="Arial" w:cs="Arial"/>
    </w:rPr>
  </w:style>
  <w:style w:type="table" w:styleId="TableGrid">
    <w:name w:val="Table Grid"/>
    <w:basedOn w:val="TableNormal"/>
    <w:uiPriority w:val="39"/>
    <w:rsid w:val="00A0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4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3272">
      <w:bodyDiv w:val="1"/>
      <w:marLeft w:val="0"/>
      <w:marRight w:val="0"/>
      <w:marTop w:val="0"/>
      <w:marBottom w:val="0"/>
      <w:divBdr>
        <w:top w:val="none" w:sz="0" w:space="0" w:color="auto"/>
        <w:left w:val="none" w:sz="0" w:space="0" w:color="auto"/>
        <w:bottom w:val="none" w:sz="0" w:space="0" w:color="auto"/>
        <w:right w:val="none" w:sz="0" w:space="0" w:color="auto"/>
      </w:divBdr>
      <w:divsChild>
        <w:div w:id="756630904">
          <w:marLeft w:val="720"/>
          <w:marRight w:val="0"/>
          <w:marTop w:val="0"/>
          <w:marBottom w:val="0"/>
          <w:divBdr>
            <w:top w:val="none" w:sz="0" w:space="0" w:color="auto"/>
            <w:left w:val="none" w:sz="0" w:space="0" w:color="auto"/>
            <w:bottom w:val="none" w:sz="0" w:space="0" w:color="auto"/>
            <w:right w:val="none" w:sz="0" w:space="0" w:color="auto"/>
          </w:divBdr>
        </w:div>
      </w:divsChild>
    </w:div>
    <w:div w:id="473182216">
      <w:bodyDiv w:val="1"/>
      <w:marLeft w:val="0"/>
      <w:marRight w:val="0"/>
      <w:marTop w:val="0"/>
      <w:marBottom w:val="0"/>
      <w:divBdr>
        <w:top w:val="none" w:sz="0" w:space="0" w:color="auto"/>
        <w:left w:val="none" w:sz="0" w:space="0" w:color="auto"/>
        <w:bottom w:val="none" w:sz="0" w:space="0" w:color="auto"/>
        <w:right w:val="none" w:sz="0" w:space="0" w:color="auto"/>
      </w:divBdr>
    </w:div>
    <w:div w:id="577593821">
      <w:bodyDiv w:val="1"/>
      <w:marLeft w:val="0"/>
      <w:marRight w:val="0"/>
      <w:marTop w:val="0"/>
      <w:marBottom w:val="0"/>
      <w:divBdr>
        <w:top w:val="none" w:sz="0" w:space="0" w:color="auto"/>
        <w:left w:val="none" w:sz="0" w:space="0" w:color="auto"/>
        <w:bottom w:val="none" w:sz="0" w:space="0" w:color="auto"/>
        <w:right w:val="none" w:sz="0" w:space="0" w:color="auto"/>
      </w:divBdr>
    </w:div>
    <w:div w:id="1594588381">
      <w:bodyDiv w:val="1"/>
      <w:marLeft w:val="0"/>
      <w:marRight w:val="0"/>
      <w:marTop w:val="0"/>
      <w:marBottom w:val="0"/>
      <w:divBdr>
        <w:top w:val="none" w:sz="0" w:space="0" w:color="auto"/>
        <w:left w:val="none" w:sz="0" w:space="0" w:color="auto"/>
        <w:bottom w:val="none" w:sz="0" w:space="0" w:color="auto"/>
        <w:right w:val="none" w:sz="0" w:space="0" w:color="auto"/>
      </w:divBdr>
      <w:divsChild>
        <w:div w:id="704866751">
          <w:marLeft w:val="720"/>
          <w:marRight w:val="0"/>
          <w:marTop w:val="0"/>
          <w:marBottom w:val="0"/>
          <w:divBdr>
            <w:top w:val="none" w:sz="0" w:space="0" w:color="auto"/>
            <w:left w:val="none" w:sz="0" w:space="0" w:color="auto"/>
            <w:bottom w:val="none" w:sz="0" w:space="0" w:color="auto"/>
            <w:right w:val="none" w:sz="0" w:space="0" w:color="auto"/>
          </w:divBdr>
        </w:div>
      </w:divsChild>
    </w:div>
    <w:div w:id="19256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F951-5E3D-4102-9881-F099D6EA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996</Words>
  <Characters>5205</Characters>
  <Application>Microsoft Office Word</Application>
  <DocSecurity>0</DocSecurity>
  <Lines>173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syhess</dc:creator>
  <cp:keywords/>
  <dc:description/>
  <cp:lastModifiedBy>Sonja Y Hess</cp:lastModifiedBy>
  <cp:revision>4</cp:revision>
  <cp:lastPrinted>2019-06-18T17:59:00Z</cp:lastPrinted>
  <dcterms:created xsi:type="dcterms:W3CDTF">2019-06-18T18:26:00Z</dcterms:created>
  <dcterms:modified xsi:type="dcterms:W3CDTF">2019-06-18T18:50:00Z</dcterms:modified>
</cp:coreProperties>
</file>