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1" w:type="dxa"/>
        <w:tblInd w:w="108" w:type="dxa"/>
        <w:tblLook w:val="04A0" w:firstRow="1" w:lastRow="0" w:firstColumn="1" w:lastColumn="0" w:noHBand="0" w:noVBand="1"/>
      </w:tblPr>
      <w:tblGrid>
        <w:gridCol w:w="3329"/>
        <w:gridCol w:w="1243"/>
        <w:gridCol w:w="1016"/>
        <w:gridCol w:w="1864"/>
        <w:gridCol w:w="2369"/>
      </w:tblGrid>
      <w:tr w:rsidR="003C5B7B" w:rsidRPr="003C5B7B" w:rsidTr="00F80FB4">
        <w:trPr>
          <w:trHeight w:val="705"/>
        </w:trPr>
        <w:tc>
          <w:tcPr>
            <w:tcW w:w="9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B7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Supplemental Table 1. Breakfast consumption and meal timing behaviors in relation to weight status measured by waist circumference with additional adjustment for </w:t>
            </w:r>
            <w:proofErr w:type="spellStart"/>
            <w:r w:rsidRPr="003C5B7B">
              <w:rPr>
                <w:rFonts w:ascii="Calibri" w:eastAsia="Times New Roman" w:hAnsi="Calibri" w:cs="Calibri"/>
                <w:b/>
                <w:bCs/>
                <w:color w:val="000000"/>
              </w:rPr>
              <w:t>BMI</w:t>
            </w:r>
            <w:r w:rsidRPr="003C5B7B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a</w:t>
            </w:r>
            <w:proofErr w:type="spellEnd"/>
          </w:p>
        </w:tc>
      </w:tr>
      <w:tr w:rsidR="003C5B7B" w:rsidRPr="003C5B7B" w:rsidTr="00F80FB4">
        <w:trPr>
          <w:trHeight w:val="300"/>
        </w:trPr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B7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B7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3C5B7B">
              <w:rPr>
                <w:rFonts w:ascii="Calibri" w:eastAsia="Times New Roman" w:hAnsi="Calibri" w:cs="Calibri"/>
                <w:color w:val="000000"/>
                <w:u w:val="single"/>
              </w:rPr>
              <w:t xml:space="preserve">Obese (≥88 </w:t>
            </w:r>
            <w:r>
              <w:rPr>
                <w:rFonts w:ascii="Calibri" w:eastAsia="Times New Roman" w:hAnsi="Calibri" w:cs="Calibri"/>
                <w:color w:val="000000"/>
                <w:u w:val="single"/>
              </w:rPr>
              <w:t xml:space="preserve">cm </w:t>
            </w:r>
            <w:r w:rsidRPr="003C5B7B">
              <w:rPr>
                <w:rFonts w:ascii="Calibri" w:eastAsia="Times New Roman" w:hAnsi="Calibri" w:cs="Calibri"/>
                <w:color w:val="000000"/>
                <w:u w:val="single"/>
              </w:rPr>
              <w:t>in women, ≥102</w:t>
            </w:r>
            <w:r>
              <w:rPr>
                <w:rFonts w:ascii="Calibri" w:eastAsia="Times New Roman" w:hAnsi="Calibri" w:cs="Calibri"/>
                <w:color w:val="000000"/>
                <w:u w:val="single"/>
              </w:rPr>
              <w:t xml:space="preserve"> cm</w:t>
            </w:r>
            <w:r w:rsidRPr="003C5B7B">
              <w:rPr>
                <w:rFonts w:ascii="Calibri" w:eastAsia="Times New Roman" w:hAnsi="Calibri" w:cs="Calibri"/>
                <w:color w:val="000000"/>
                <w:u w:val="single"/>
              </w:rPr>
              <w:t xml:space="preserve"> in men)</w:t>
            </w:r>
          </w:p>
        </w:tc>
        <w:tc>
          <w:tcPr>
            <w:tcW w:w="2367" w:type="dxa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Continuous</w:t>
            </w:r>
            <w:r w:rsidRPr="003C5B7B">
              <w:rPr>
                <w:rFonts w:ascii="Calibri" w:eastAsia="Times New Roman" w:hAnsi="Calibri" w:cs="Calibri"/>
                <w:color w:val="000000"/>
                <w:vertAlign w:val="superscript"/>
              </w:rPr>
              <w:br/>
            </w:r>
            <w:r w:rsidRPr="003C5B7B">
              <w:rPr>
                <w:rFonts w:ascii="Calibri" w:eastAsia="Times New Roman" w:hAnsi="Calibri" w:cs="Calibri"/>
                <w:color w:val="000000"/>
              </w:rPr>
              <w:t>β (95% CI)</w:t>
            </w:r>
            <w:r w:rsidRPr="003C5B7B">
              <w:rPr>
                <w:rFonts w:ascii="Calibri" w:eastAsia="Times New Roman" w:hAnsi="Calibri" w:cs="Calibri"/>
                <w:color w:val="000000"/>
                <w:vertAlign w:val="superscript"/>
              </w:rPr>
              <w:t>c</w:t>
            </w:r>
          </w:p>
        </w:tc>
      </w:tr>
      <w:tr w:rsidR="003C5B7B" w:rsidRPr="003C5B7B" w:rsidTr="00F80FB4">
        <w:trPr>
          <w:trHeight w:val="360"/>
        </w:trPr>
        <w:tc>
          <w:tcPr>
            <w:tcW w:w="3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# of cases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OR (95% CI)</w:t>
            </w:r>
            <w:r w:rsidRPr="003C5B7B">
              <w:rPr>
                <w:rFonts w:ascii="Calibri" w:eastAsia="Times New Roman" w:hAnsi="Calibri" w:cs="Calibri"/>
                <w:color w:val="000000"/>
                <w:vertAlign w:val="superscript"/>
              </w:rPr>
              <w:t>b</w:t>
            </w:r>
          </w:p>
        </w:tc>
        <w:tc>
          <w:tcPr>
            <w:tcW w:w="2367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C5B7B" w:rsidRPr="003C5B7B" w:rsidTr="00F80FB4">
        <w:trPr>
          <w:trHeight w:val="300"/>
        </w:trPr>
        <w:tc>
          <w:tcPr>
            <w:tcW w:w="457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Number of recalls reporting breakfast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7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5B7B" w:rsidRPr="003C5B7B" w:rsidTr="00F80FB4">
        <w:trPr>
          <w:trHeight w:val="300"/>
        </w:trPr>
        <w:tc>
          <w:tcPr>
            <w:tcW w:w="33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1.00 (ref)</w:t>
            </w:r>
          </w:p>
        </w:tc>
        <w:tc>
          <w:tcPr>
            <w:tcW w:w="2367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0.00 (ref)</w:t>
            </w:r>
          </w:p>
        </w:tc>
      </w:tr>
      <w:tr w:rsidR="003C5B7B" w:rsidRPr="003C5B7B" w:rsidTr="00F80FB4">
        <w:trPr>
          <w:trHeight w:val="300"/>
        </w:trPr>
        <w:tc>
          <w:tcPr>
            <w:tcW w:w="33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0.77 (0.40 ,1.49)</w:t>
            </w:r>
          </w:p>
        </w:tc>
        <w:tc>
          <w:tcPr>
            <w:tcW w:w="2367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-1.13 (-2.63 ,0.38)</w:t>
            </w:r>
          </w:p>
        </w:tc>
      </w:tr>
      <w:tr w:rsidR="003C5B7B" w:rsidRPr="003C5B7B" w:rsidTr="00F80FB4">
        <w:trPr>
          <w:trHeight w:val="300"/>
        </w:trPr>
        <w:tc>
          <w:tcPr>
            <w:tcW w:w="33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1.14 (0.42 ,3.07)</w:t>
            </w:r>
          </w:p>
        </w:tc>
        <w:tc>
          <w:tcPr>
            <w:tcW w:w="2367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-0.65 (-2.74 ,1.43)</w:t>
            </w:r>
          </w:p>
        </w:tc>
      </w:tr>
      <w:tr w:rsidR="003C5B7B" w:rsidRPr="003C5B7B" w:rsidTr="00F80FB4">
        <w:trPr>
          <w:trHeight w:val="300"/>
        </w:trPr>
        <w:tc>
          <w:tcPr>
            <w:tcW w:w="33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0-3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0.18 (0.03 ,1.09)</w:t>
            </w:r>
          </w:p>
        </w:tc>
        <w:tc>
          <w:tcPr>
            <w:tcW w:w="2367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-1.29 (-3.9 ,1.32)</w:t>
            </w:r>
          </w:p>
        </w:tc>
      </w:tr>
      <w:tr w:rsidR="003C5B7B" w:rsidRPr="003C5B7B" w:rsidTr="00F80FB4">
        <w:trPr>
          <w:trHeight w:val="300"/>
        </w:trPr>
        <w:tc>
          <w:tcPr>
            <w:tcW w:w="33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7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5B7B" w:rsidRPr="003C5B7B" w:rsidTr="00F80FB4">
        <w:trPr>
          <w:trHeight w:val="345"/>
        </w:trPr>
        <w:tc>
          <w:tcPr>
            <w:tcW w:w="33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 xml:space="preserve">Average time of first </w:t>
            </w:r>
            <w:proofErr w:type="spellStart"/>
            <w:r w:rsidRPr="003C5B7B">
              <w:rPr>
                <w:rFonts w:ascii="Calibri" w:eastAsia="Times New Roman" w:hAnsi="Calibri" w:cs="Calibri"/>
                <w:color w:val="000000"/>
              </w:rPr>
              <w:t>intake</w:t>
            </w:r>
            <w:r w:rsidRPr="003C5B7B">
              <w:rPr>
                <w:rFonts w:ascii="Calibri" w:eastAsia="Times New Roman" w:hAnsi="Calibri" w:cs="Calibri"/>
                <w:color w:val="000000"/>
                <w:vertAlign w:val="superscript"/>
              </w:rPr>
              <w:t>d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281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0.94 (0.73 ,1.21)</w:t>
            </w:r>
          </w:p>
        </w:tc>
        <w:tc>
          <w:tcPr>
            <w:tcW w:w="2367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0.05 (-0.5 ,0.6)</w:t>
            </w:r>
          </w:p>
        </w:tc>
      </w:tr>
      <w:tr w:rsidR="003C5B7B" w:rsidRPr="003C5B7B" w:rsidTr="00F80FB4">
        <w:trPr>
          <w:trHeight w:val="345"/>
        </w:trPr>
        <w:tc>
          <w:tcPr>
            <w:tcW w:w="457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 xml:space="preserve">Average length of  intake </w:t>
            </w:r>
            <w:proofErr w:type="spellStart"/>
            <w:r w:rsidRPr="003C5B7B">
              <w:rPr>
                <w:rFonts w:ascii="Calibri" w:eastAsia="Times New Roman" w:hAnsi="Calibri" w:cs="Calibri"/>
                <w:color w:val="000000"/>
              </w:rPr>
              <w:t>window</w:t>
            </w:r>
            <w:r w:rsidRPr="003C5B7B">
              <w:rPr>
                <w:rFonts w:ascii="Calibri" w:eastAsia="Times New Roman" w:hAnsi="Calibri" w:cs="Calibri"/>
                <w:color w:val="000000"/>
                <w:vertAlign w:val="superscript"/>
              </w:rPr>
              <w:t>d</w:t>
            </w:r>
            <w:proofErr w:type="spellEnd"/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281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0.92 (0.75 ,1.13)</w:t>
            </w:r>
          </w:p>
        </w:tc>
        <w:tc>
          <w:tcPr>
            <w:tcW w:w="2367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-0.38 (-0.83 ,0.08)</w:t>
            </w:r>
          </w:p>
        </w:tc>
      </w:tr>
      <w:tr w:rsidR="003C5B7B" w:rsidRPr="003C5B7B" w:rsidTr="00F80FB4">
        <w:trPr>
          <w:trHeight w:val="345"/>
        </w:trPr>
        <w:tc>
          <w:tcPr>
            <w:tcW w:w="457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 xml:space="preserve">Average time of midpoint of intake </w:t>
            </w:r>
            <w:proofErr w:type="spellStart"/>
            <w:r w:rsidRPr="003C5B7B">
              <w:rPr>
                <w:rFonts w:ascii="Calibri" w:eastAsia="Times New Roman" w:hAnsi="Calibri" w:cs="Calibri"/>
                <w:color w:val="000000"/>
              </w:rPr>
              <w:t>window</w:t>
            </w:r>
            <w:r w:rsidRPr="003C5B7B">
              <w:rPr>
                <w:rFonts w:ascii="Calibri" w:eastAsia="Times New Roman" w:hAnsi="Calibri" w:cs="Calibri"/>
                <w:color w:val="000000"/>
                <w:vertAlign w:val="superscript"/>
              </w:rPr>
              <w:t>d</w:t>
            </w:r>
            <w:proofErr w:type="spellEnd"/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281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0.81 (0.59 ,1.13)</w:t>
            </w:r>
          </w:p>
        </w:tc>
        <w:tc>
          <w:tcPr>
            <w:tcW w:w="2367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-0.34 (-1.02 ,0.33)</w:t>
            </w:r>
          </w:p>
        </w:tc>
      </w:tr>
      <w:tr w:rsidR="003C5B7B" w:rsidRPr="003C5B7B" w:rsidTr="00F80FB4">
        <w:trPr>
          <w:trHeight w:val="300"/>
        </w:trPr>
        <w:tc>
          <w:tcPr>
            <w:tcW w:w="33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7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5B7B" w:rsidRPr="003C5B7B" w:rsidTr="00F80FB4">
        <w:trPr>
          <w:trHeight w:val="345"/>
        </w:trPr>
        <w:tc>
          <w:tcPr>
            <w:tcW w:w="33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5B7B">
              <w:rPr>
                <w:rFonts w:ascii="Calibri" w:eastAsia="Times New Roman" w:hAnsi="Calibri" w:cs="Calibri"/>
                <w:color w:val="000000"/>
              </w:rPr>
              <w:t>iSD</w:t>
            </w:r>
            <w:proofErr w:type="spellEnd"/>
            <w:r w:rsidRPr="003C5B7B">
              <w:rPr>
                <w:rFonts w:ascii="Calibri" w:eastAsia="Times New Roman" w:hAnsi="Calibri" w:cs="Calibri"/>
                <w:color w:val="000000"/>
              </w:rPr>
              <w:t xml:space="preserve"> in first intake time</w:t>
            </w:r>
            <w:r w:rsidRPr="003C5B7B">
              <w:rPr>
                <w:rFonts w:ascii="Calibri" w:eastAsia="Times New Roman" w:hAnsi="Calibri" w:cs="Calibri"/>
                <w:color w:val="000000"/>
                <w:vertAlign w:val="superscript"/>
              </w:rPr>
              <w:t>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281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0.79 (0.51 ,1.21)</w:t>
            </w:r>
          </w:p>
        </w:tc>
        <w:tc>
          <w:tcPr>
            <w:tcW w:w="2367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-0.74 (-1.61 ,0.13)</w:t>
            </w:r>
          </w:p>
        </w:tc>
      </w:tr>
      <w:tr w:rsidR="003C5B7B" w:rsidRPr="003C5B7B" w:rsidTr="00F80FB4">
        <w:trPr>
          <w:trHeight w:val="345"/>
        </w:trPr>
        <w:tc>
          <w:tcPr>
            <w:tcW w:w="457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5B7B">
              <w:rPr>
                <w:rFonts w:ascii="Calibri" w:eastAsia="Times New Roman" w:hAnsi="Calibri" w:cs="Calibri"/>
                <w:color w:val="000000"/>
              </w:rPr>
              <w:t>iSD</w:t>
            </w:r>
            <w:proofErr w:type="spellEnd"/>
            <w:r w:rsidRPr="003C5B7B">
              <w:rPr>
                <w:rFonts w:ascii="Calibri" w:eastAsia="Times New Roman" w:hAnsi="Calibri" w:cs="Calibri"/>
                <w:color w:val="000000"/>
              </w:rPr>
              <w:t xml:space="preserve"> in length of  intake </w:t>
            </w:r>
            <w:proofErr w:type="spellStart"/>
            <w:r w:rsidRPr="003C5B7B">
              <w:rPr>
                <w:rFonts w:ascii="Calibri" w:eastAsia="Times New Roman" w:hAnsi="Calibri" w:cs="Calibri"/>
                <w:color w:val="000000"/>
              </w:rPr>
              <w:t>window</w:t>
            </w:r>
            <w:r w:rsidRPr="003C5B7B">
              <w:rPr>
                <w:rFonts w:ascii="Calibri" w:eastAsia="Times New Roman" w:hAnsi="Calibri" w:cs="Calibri"/>
                <w:color w:val="000000"/>
                <w:vertAlign w:val="superscript"/>
              </w:rPr>
              <w:t>d</w:t>
            </w:r>
            <w:proofErr w:type="spellEnd"/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281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1.03 (0.73 ,1.45)</w:t>
            </w:r>
          </w:p>
        </w:tc>
        <w:tc>
          <w:tcPr>
            <w:tcW w:w="2367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-0.3 (-1.06 ,0.45)</w:t>
            </w:r>
          </w:p>
        </w:tc>
      </w:tr>
      <w:tr w:rsidR="003C5B7B" w:rsidRPr="003C5B7B" w:rsidTr="00F80FB4">
        <w:trPr>
          <w:trHeight w:val="360"/>
        </w:trPr>
        <w:tc>
          <w:tcPr>
            <w:tcW w:w="4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5B7B">
              <w:rPr>
                <w:rFonts w:ascii="Calibri" w:eastAsia="Times New Roman" w:hAnsi="Calibri" w:cs="Calibri"/>
                <w:color w:val="000000"/>
              </w:rPr>
              <w:t>iSD</w:t>
            </w:r>
            <w:proofErr w:type="spellEnd"/>
            <w:r w:rsidRPr="003C5B7B">
              <w:rPr>
                <w:rFonts w:ascii="Calibri" w:eastAsia="Times New Roman" w:hAnsi="Calibri" w:cs="Calibri"/>
                <w:color w:val="000000"/>
              </w:rPr>
              <w:t xml:space="preserve"> in midpoint of intake </w:t>
            </w:r>
            <w:proofErr w:type="spellStart"/>
            <w:r w:rsidRPr="003C5B7B">
              <w:rPr>
                <w:rFonts w:ascii="Calibri" w:eastAsia="Times New Roman" w:hAnsi="Calibri" w:cs="Calibri"/>
                <w:color w:val="000000"/>
              </w:rPr>
              <w:t>window</w:t>
            </w:r>
            <w:r w:rsidRPr="003C5B7B">
              <w:rPr>
                <w:rFonts w:ascii="Calibri" w:eastAsia="Times New Roman" w:hAnsi="Calibri" w:cs="Calibri"/>
                <w:color w:val="000000"/>
                <w:vertAlign w:val="superscript"/>
              </w:rPr>
              <w:t>d</w:t>
            </w:r>
            <w:proofErr w:type="spellEnd"/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281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0.82 (0.46 ,1.48)</w:t>
            </w:r>
          </w:p>
        </w:tc>
        <w:tc>
          <w:tcPr>
            <w:tcW w:w="2367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B7B" w:rsidRPr="003C5B7B" w:rsidRDefault="003C5B7B" w:rsidP="003C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B7B">
              <w:rPr>
                <w:rFonts w:ascii="Calibri" w:eastAsia="Times New Roman" w:hAnsi="Calibri" w:cs="Calibri"/>
                <w:color w:val="000000"/>
              </w:rPr>
              <w:t>-0.74 (-1.92 ,0.44)</w:t>
            </w:r>
          </w:p>
        </w:tc>
      </w:tr>
      <w:tr w:rsidR="003C5B7B" w:rsidRPr="003C5B7B" w:rsidTr="00F80FB4">
        <w:trPr>
          <w:trHeight w:val="1692"/>
        </w:trPr>
        <w:tc>
          <w:tcPr>
            <w:tcW w:w="9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B7B" w:rsidRPr="003C5B7B" w:rsidRDefault="003C5B7B" w:rsidP="003C5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5B7B">
              <w:rPr>
                <w:rFonts w:ascii="Calibri" w:eastAsia="Times New Roman" w:hAnsi="Calibri" w:cs="Calibri"/>
                <w:color w:val="000000"/>
                <w:vertAlign w:val="superscript"/>
              </w:rPr>
              <w:t>a</w:t>
            </w:r>
            <w:r w:rsidRPr="003C5B7B">
              <w:rPr>
                <w:rFonts w:ascii="Calibri" w:eastAsia="Times New Roman" w:hAnsi="Calibri" w:cs="Calibri"/>
                <w:color w:val="000000"/>
              </w:rPr>
              <w:t>All</w:t>
            </w:r>
            <w:proofErr w:type="spellEnd"/>
            <w:r w:rsidRPr="003C5B7B">
              <w:rPr>
                <w:rFonts w:ascii="Calibri" w:eastAsia="Times New Roman" w:hAnsi="Calibri" w:cs="Calibri"/>
                <w:color w:val="000000"/>
              </w:rPr>
              <w:t xml:space="preserve"> models include adjustment for age, sex, total caloric intake, Healthy Eating Index-2015, BMI, sleep duration, physical activity, race, employment status, smoking status, and alcohol consumption.</w:t>
            </w:r>
            <w:r w:rsidRPr="003C5B7B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3C5B7B">
              <w:rPr>
                <w:rFonts w:ascii="Calibri" w:eastAsia="Times New Roman" w:hAnsi="Calibri" w:cs="Calibri"/>
                <w:color w:val="000000"/>
                <w:vertAlign w:val="superscript"/>
              </w:rPr>
              <w:t>b</w:t>
            </w:r>
            <w:r w:rsidRPr="003C5B7B">
              <w:rPr>
                <w:rFonts w:ascii="Calibri" w:eastAsia="Times New Roman" w:hAnsi="Calibri" w:cs="Calibri"/>
                <w:color w:val="000000"/>
              </w:rPr>
              <w:t>Odds</w:t>
            </w:r>
            <w:proofErr w:type="spellEnd"/>
            <w:r w:rsidRPr="003C5B7B">
              <w:rPr>
                <w:rFonts w:ascii="Calibri" w:eastAsia="Times New Roman" w:hAnsi="Calibri" w:cs="Calibri"/>
                <w:color w:val="000000"/>
              </w:rPr>
              <w:t xml:space="preserve"> ratios and corresponding 95% confidence intervals from logistic regression are reported.</w:t>
            </w:r>
            <w:r w:rsidRPr="003C5B7B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3C5B7B">
              <w:rPr>
                <w:rFonts w:ascii="Calibri" w:eastAsia="Times New Roman" w:hAnsi="Calibri" w:cs="Calibri"/>
                <w:color w:val="000000"/>
                <w:vertAlign w:val="superscript"/>
              </w:rPr>
              <w:t>c</w:t>
            </w:r>
            <w:r w:rsidRPr="003C5B7B">
              <w:rPr>
                <w:rFonts w:ascii="Calibri" w:eastAsia="Times New Roman" w:hAnsi="Calibri" w:cs="Calibri"/>
                <w:color w:val="000000"/>
              </w:rPr>
              <w:t>Regression</w:t>
            </w:r>
            <w:proofErr w:type="spellEnd"/>
            <w:r w:rsidRPr="003C5B7B">
              <w:rPr>
                <w:rFonts w:ascii="Calibri" w:eastAsia="Times New Roman" w:hAnsi="Calibri" w:cs="Calibri"/>
                <w:color w:val="000000"/>
              </w:rPr>
              <w:t xml:space="preserve"> coefficients and corresponding 95% confidence intervals from multiple linear regression are reported.</w:t>
            </w:r>
            <w:r w:rsidRPr="003C5B7B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3C5B7B">
              <w:rPr>
                <w:rFonts w:ascii="Calibri" w:eastAsia="Times New Roman" w:hAnsi="Calibri" w:cs="Calibri"/>
                <w:color w:val="000000"/>
                <w:vertAlign w:val="superscript"/>
              </w:rPr>
              <w:t>d</w:t>
            </w:r>
            <w:r w:rsidRPr="003C5B7B">
              <w:rPr>
                <w:rFonts w:ascii="Calibri" w:eastAsia="Times New Roman" w:hAnsi="Calibri" w:cs="Calibri"/>
                <w:color w:val="000000"/>
              </w:rPr>
              <w:t>Odds</w:t>
            </w:r>
            <w:proofErr w:type="spellEnd"/>
            <w:r w:rsidRPr="003C5B7B">
              <w:rPr>
                <w:rFonts w:ascii="Calibri" w:eastAsia="Times New Roman" w:hAnsi="Calibri" w:cs="Calibri"/>
                <w:color w:val="000000"/>
              </w:rPr>
              <w:t xml:space="preserve"> ratios and regression coefficients are for a 1-hour increase in exposure (average time or </w:t>
            </w:r>
            <w:proofErr w:type="spellStart"/>
            <w:r w:rsidRPr="003C5B7B">
              <w:rPr>
                <w:rFonts w:ascii="Calibri" w:eastAsia="Times New Roman" w:hAnsi="Calibri" w:cs="Calibri"/>
                <w:color w:val="000000"/>
              </w:rPr>
              <w:t>iSD</w:t>
            </w:r>
            <w:proofErr w:type="spellEnd"/>
            <w:r w:rsidRPr="003C5B7B">
              <w:rPr>
                <w:rFonts w:ascii="Calibri" w:eastAsia="Times New Roman" w:hAnsi="Calibri" w:cs="Calibri"/>
                <w:color w:val="000000"/>
              </w:rPr>
              <w:t>).</w:t>
            </w:r>
          </w:p>
        </w:tc>
      </w:tr>
    </w:tbl>
    <w:p w:rsidR="00805197" w:rsidRDefault="00805197">
      <w:pPr>
        <w:sectPr w:rsidR="0080519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2960" w:type="dxa"/>
        <w:tblLook w:val="04A0" w:firstRow="1" w:lastRow="0" w:firstColumn="1" w:lastColumn="0" w:noHBand="0" w:noVBand="1"/>
      </w:tblPr>
      <w:tblGrid>
        <w:gridCol w:w="3913"/>
        <w:gridCol w:w="276"/>
        <w:gridCol w:w="1109"/>
        <w:gridCol w:w="1808"/>
        <w:gridCol w:w="1109"/>
        <w:gridCol w:w="1807"/>
        <w:gridCol w:w="2938"/>
      </w:tblGrid>
      <w:tr w:rsidR="00805197" w:rsidRPr="00805197" w:rsidTr="00412693">
        <w:trPr>
          <w:trHeight w:val="750"/>
        </w:trPr>
        <w:tc>
          <w:tcPr>
            <w:tcW w:w="129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05197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Supplementary Table 2. Breakfast consumption and meal timing behaviors in relation to weight status measured by BMI when excluding coffee and tea consumption as eating </w:t>
            </w:r>
            <w:proofErr w:type="spellStart"/>
            <w:r w:rsidRPr="00805197">
              <w:rPr>
                <w:rFonts w:ascii="Calibri" w:eastAsia="Times New Roman" w:hAnsi="Calibri" w:cs="Calibri"/>
                <w:b/>
                <w:bCs/>
                <w:color w:val="000000"/>
              </w:rPr>
              <w:t>episodes</w:t>
            </w:r>
            <w:r w:rsidRPr="00805197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a</w:t>
            </w:r>
            <w:proofErr w:type="spellEnd"/>
          </w:p>
        </w:tc>
      </w:tr>
      <w:tr w:rsidR="00805197" w:rsidRPr="00805197" w:rsidTr="00412693">
        <w:trPr>
          <w:trHeight w:val="345"/>
        </w:trPr>
        <w:tc>
          <w:tcPr>
            <w:tcW w:w="39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0519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0519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91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805197">
              <w:rPr>
                <w:rFonts w:ascii="Calibri" w:eastAsia="Times New Roman" w:hAnsi="Calibri" w:cs="Calibri"/>
                <w:color w:val="000000"/>
                <w:u w:val="single"/>
              </w:rPr>
              <w:t>Overweight (25-29.9</w:t>
            </w:r>
            <w:r>
              <w:rPr>
                <w:rFonts w:ascii="Calibri" w:eastAsia="Times New Roman" w:hAnsi="Calibri" w:cs="Calibri"/>
                <w:color w:val="000000"/>
                <w:u w:val="single"/>
              </w:rPr>
              <w:t xml:space="preserve"> </w:t>
            </w:r>
            <w:r w:rsidRPr="00805197">
              <w:rPr>
                <w:rFonts w:ascii="Calibri" w:eastAsia="Times New Roman" w:hAnsi="Calibri" w:cs="Calibri"/>
                <w:bCs/>
                <w:color w:val="000000"/>
                <w:u w:val="single"/>
              </w:rPr>
              <w:t>kg/m</w:t>
            </w:r>
            <w:r w:rsidRPr="00805197">
              <w:rPr>
                <w:rFonts w:ascii="Calibri" w:eastAsia="Times New Roman" w:hAnsi="Calibri" w:cs="Calibri"/>
                <w:bCs/>
                <w:color w:val="000000"/>
                <w:u w:val="single"/>
                <w:vertAlign w:val="superscript"/>
              </w:rPr>
              <w:t>2</w:t>
            </w:r>
            <w:r w:rsidRPr="00805197">
              <w:rPr>
                <w:rFonts w:ascii="Calibri" w:eastAsia="Times New Roman" w:hAnsi="Calibri" w:cs="Calibri"/>
                <w:color w:val="000000"/>
                <w:u w:val="single"/>
              </w:rPr>
              <w:t>)</w:t>
            </w:r>
          </w:p>
        </w:tc>
        <w:tc>
          <w:tcPr>
            <w:tcW w:w="291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805197">
              <w:rPr>
                <w:rFonts w:ascii="Calibri" w:eastAsia="Times New Roman" w:hAnsi="Calibri" w:cs="Calibri"/>
                <w:color w:val="000000"/>
                <w:u w:val="single"/>
              </w:rPr>
              <w:t>Obese (≥30</w:t>
            </w:r>
            <w:r>
              <w:rPr>
                <w:rFonts w:ascii="Calibri" w:eastAsia="Times New Roman" w:hAnsi="Calibri" w:cs="Calibri"/>
                <w:color w:val="000000"/>
                <w:u w:val="single"/>
              </w:rPr>
              <w:t xml:space="preserve"> </w:t>
            </w:r>
            <w:r w:rsidRPr="00805197">
              <w:rPr>
                <w:rFonts w:ascii="Calibri" w:eastAsia="Times New Roman" w:hAnsi="Calibri" w:cs="Calibri"/>
                <w:bCs/>
                <w:color w:val="000000"/>
                <w:u w:val="single"/>
              </w:rPr>
              <w:t>kg/m</w:t>
            </w:r>
            <w:r w:rsidRPr="00805197">
              <w:rPr>
                <w:rFonts w:ascii="Calibri" w:eastAsia="Times New Roman" w:hAnsi="Calibri" w:cs="Calibri"/>
                <w:bCs/>
                <w:color w:val="000000"/>
                <w:u w:val="single"/>
                <w:vertAlign w:val="superscript"/>
              </w:rPr>
              <w:t>2</w:t>
            </w:r>
            <w:r w:rsidRPr="00805197">
              <w:rPr>
                <w:rFonts w:ascii="Calibri" w:eastAsia="Times New Roman" w:hAnsi="Calibri" w:cs="Calibri"/>
                <w:color w:val="000000"/>
                <w:u w:val="single"/>
              </w:rPr>
              <w:t>)</w:t>
            </w:r>
          </w:p>
        </w:tc>
        <w:tc>
          <w:tcPr>
            <w:tcW w:w="2938" w:type="dxa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Continuous</w:t>
            </w:r>
            <w:r w:rsidRPr="00805197">
              <w:rPr>
                <w:rFonts w:ascii="Calibri" w:eastAsia="Times New Roman" w:hAnsi="Calibri" w:cs="Calibri"/>
                <w:color w:val="000000"/>
                <w:vertAlign w:val="superscript"/>
              </w:rPr>
              <w:br/>
            </w:r>
            <w:r w:rsidRPr="00805197">
              <w:rPr>
                <w:rFonts w:ascii="Calibri" w:eastAsia="Times New Roman" w:hAnsi="Calibri" w:cs="Calibri"/>
                <w:color w:val="000000"/>
              </w:rPr>
              <w:t>β (95% CI)</w:t>
            </w:r>
            <w:r w:rsidRPr="00805197">
              <w:rPr>
                <w:rFonts w:ascii="Calibri" w:eastAsia="Times New Roman" w:hAnsi="Calibri" w:cs="Calibri"/>
                <w:color w:val="000000"/>
                <w:vertAlign w:val="superscript"/>
              </w:rPr>
              <w:t>c</w:t>
            </w:r>
          </w:p>
        </w:tc>
      </w:tr>
      <w:tr w:rsidR="00805197" w:rsidRPr="00805197" w:rsidTr="00412693">
        <w:trPr>
          <w:trHeight w:val="360"/>
        </w:trPr>
        <w:tc>
          <w:tcPr>
            <w:tcW w:w="39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# of cases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OR (95% CI)</w:t>
            </w:r>
            <w:r w:rsidRPr="00805197">
              <w:rPr>
                <w:rFonts w:ascii="Calibri" w:eastAsia="Times New Roman" w:hAnsi="Calibri" w:cs="Calibri"/>
                <w:color w:val="000000"/>
                <w:vertAlign w:val="superscript"/>
              </w:rPr>
              <w:t>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# of cases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OR (95% CI)</w:t>
            </w:r>
            <w:r w:rsidRPr="00805197">
              <w:rPr>
                <w:rFonts w:ascii="Calibri" w:eastAsia="Times New Roman" w:hAnsi="Calibri" w:cs="Calibri"/>
                <w:color w:val="000000"/>
                <w:vertAlign w:val="superscript"/>
              </w:rPr>
              <w:t>b</w:t>
            </w:r>
          </w:p>
        </w:tc>
        <w:tc>
          <w:tcPr>
            <w:tcW w:w="2938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05197" w:rsidRPr="00805197" w:rsidTr="00412693">
        <w:trPr>
          <w:trHeight w:val="345"/>
        </w:trPr>
        <w:tc>
          <w:tcPr>
            <w:tcW w:w="418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 xml:space="preserve">Average time of first </w:t>
            </w:r>
            <w:proofErr w:type="spellStart"/>
            <w:r w:rsidRPr="00805197">
              <w:rPr>
                <w:rFonts w:ascii="Calibri" w:eastAsia="Times New Roman" w:hAnsi="Calibri" w:cs="Calibri"/>
                <w:color w:val="000000"/>
              </w:rPr>
              <w:t>intake</w:t>
            </w:r>
            <w:r w:rsidRPr="00805197">
              <w:rPr>
                <w:rFonts w:ascii="Calibri" w:eastAsia="Times New Roman" w:hAnsi="Calibri" w:cs="Calibri"/>
                <w:color w:val="000000"/>
                <w:vertAlign w:val="superscript"/>
              </w:rPr>
              <w:t>d</w:t>
            </w:r>
            <w:proofErr w:type="spellEnd"/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1.05 (0.88, 1.25)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1.04 (0.86, 1.24)</w:t>
            </w:r>
          </w:p>
        </w:tc>
        <w:tc>
          <w:tcPr>
            <w:tcW w:w="2938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0.33 (-0.05, 0.70)</w:t>
            </w:r>
          </w:p>
        </w:tc>
      </w:tr>
      <w:tr w:rsidR="00805197" w:rsidRPr="00805197" w:rsidTr="00412693">
        <w:trPr>
          <w:trHeight w:val="345"/>
        </w:trPr>
        <w:tc>
          <w:tcPr>
            <w:tcW w:w="418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 xml:space="preserve">Average length of  intake </w:t>
            </w:r>
            <w:proofErr w:type="spellStart"/>
            <w:r w:rsidRPr="00805197">
              <w:rPr>
                <w:rFonts w:ascii="Calibri" w:eastAsia="Times New Roman" w:hAnsi="Calibri" w:cs="Calibri"/>
                <w:color w:val="000000"/>
              </w:rPr>
              <w:t>window</w:t>
            </w:r>
            <w:r w:rsidRPr="00805197">
              <w:rPr>
                <w:rFonts w:ascii="Calibri" w:eastAsia="Times New Roman" w:hAnsi="Calibri" w:cs="Calibri"/>
                <w:color w:val="000000"/>
                <w:vertAlign w:val="superscript"/>
              </w:rPr>
              <w:t>d</w:t>
            </w:r>
            <w:proofErr w:type="spellEnd"/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1.07 (0.92, 1.24)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0.98 (0.83, 1.14)</w:t>
            </w:r>
          </w:p>
        </w:tc>
        <w:tc>
          <w:tcPr>
            <w:tcW w:w="2938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-0.24 (-0.57, 0.08)</w:t>
            </w:r>
          </w:p>
        </w:tc>
      </w:tr>
      <w:tr w:rsidR="00805197" w:rsidRPr="00805197" w:rsidTr="00412693">
        <w:trPr>
          <w:trHeight w:val="345"/>
        </w:trPr>
        <w:tc>
          <w:tcPr>
            <w:tcW w:w="418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 xml:space="preserve">Average time of midpoint of intake </w:t>
            </w:r>
            <w:proofErr w:type="spellStart"/>
            <w:r w:rsidRPr="00805197">
              <w:rPr>
                <w:rFonts w:ascii="Calibri" w:eastAsia="Times New Roman" w:hAnsi="Calibri" w:cs="Calibri"/>
                <w:color w:val="000000"/>
              </w:rPr>
              <w:t>window</w:t>
            </w:r>
            <w:r w:rsidRPr="00805197">
              <w:rPr>
                <w:rFonts w:ascii="Calibri" w:eastAsia="Times New Roman" w:hAnsi="Calibri" w:cs="Calibri"/>
                <w:color w:val="000000"/>
                <w:vertAlign w:val="superscript"/>
              </w:rPr>
              <w:t>d</w:t>
            </w:r>
            <w:proofErr w:type="spellEnd"/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1.16 (0.93, 1.44)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1.03 (0.81, 1.30)</w:t>
            </w:r>
          </w:p>
        </w:tc>
        <w:tc>
          <w:tcPr>
            <w:tcW w:w="2938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0.27 (-0.21, 0.76)</w:t>
            </w:r>
          </w:p>
        </w:tc>
      </w:tr>
      <w:tr w:rsidR="00805197" w:rsidRPr="00805197" w:rsidTr="00412693">
        <w:trPr>
          <w:trHeight w:val="300"/>
        </w:trPr>
        <w:tc>
          <w:tcPr>
            <w:tcW w:w="39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05197" w:rsidRPr="00805197" w:rsidTr="00412693">
        <w:trPr>
          <w:trHeight w:val="345"/>
        </w:trPr>
        <w:tc>
          <w:tcPr>
            <w:tcW w:w="39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5197">
              <w:rPr>
                <w:rFonts w:ascii="Calibri" w:eastAsia="Times New Roman" w:hAnsi="Calibri" w:cs="Calibri"/>
                <w:color w:val="000000"/>
              </w:rPr>
              <w:t>iSD</w:t>
            </w:r>
            <w:proofErr w:type="spellEnd"/>
            <w:r w:rsidRPr="00805197">
              <w:rPr>
                <w:rFonts w:ascii="Calibri" w:eastAsia="Times New Roman" w:hAnsi="Calibri" w:cs="Calibri"/>
                <w:color w:val="000000"/>
              </w:rPr>
              <w:t xml:space="preserve"> in first intake time</w:t>
            </w:r>
            <w:r w:rsidRPr="00805197">
              <w:rPr>
                <w:rFonts w:ascii="Calibri" w:eastAsia="Times New Roman" w:hAnsi="Calibri" w:cs="Calibri"/>
                <w:color w:val="000000"/>
                <w:vertAlign w:val="superscript"/>
              </w:rPr>
              <w:t>d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1.09 (0.83, 1.43)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1.18 (0.89, 1.57)</w:t>
            </w:r>
          </w:p>
        </w:tc>
        <w:tc>
          <w:tcPr>
            <w:tcW w:w="2938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1.01 (0.44, 1.58)</w:t>
            </w:r>
          </w:p>
        </w:tc>
      </w:tr>
      <w:tr w:rsidR="00805197" w:rsidRPr="00805197" w:rsidTr="00412693">
        <w:trPr>
          <w:trHeight w:val="345"/>
        </w:trPr>
        <w:tc>
          <w:tcPr>
            <w:tcW w:w="418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5197">
              <w:rPr>
                <w:rFonts w:ascii="Calibri" w:eastAsia="Times New Roman" w:hAnsi="Calibri" w:cs="Calibri"/>
                <w:color w:val="000000"/>
              </w:rPr>
              <w:t>iSD</w:t>
            </w:r>
            <w:proofErr w:type="spellEnd"/>
            <w:r w:rsidRPr="00805197">
              <w:rPr>
                <w:rFonts w:ascii="Calibri" w:eastAsia="Times New Roman" w:hAnsi="Calibri" w:cs="Calibri"/>
                <w:color w:val="000000"/>
              </w:rPr>
              <w:t xml:space="preserve"> in length of  intake </w:t>
            </w:r>
            <w:proofErr w:type="spellStart"/>
            <w:r w:rsidRPr="00805197">
              <w:rPr>
                <w:rFonts w:ascii="Calibri" w:eastAsia="Times New Roman" w:hAnsi="Calibri" w:cs="Calibri"/>
                <w:color w:val="000000"/>
              </w:rPr>
              <w:t>window</w:t>
            </w:r>
            <w:r w:rsidRPr="00805197">
              <w:rPr>
                <w:rFonts w:ascii="Calibri" w:eastAsia="Times New Roman" w:hAnsi="Calibri" w:cs="Calibri"/>
                <w:color w:val="000000"/>
                <w:vertAlign w:val="superscript"/>
              </w:rPr>
              <w:t>d</w:t>
            </w:r>
            <w:proofErr w:type="spellEnd"/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1.05 (0.83, 1.33)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1.05 (0.81, 1.34)</w:t>
            </w:r>
          </w:p>
        </w:tc>
        <w:tc>
          <w:tcPr>
            <w:tcW w:w="2938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0.56 (0.04, 1.08)</w:t>
            </w:r>
          </w:p>
        </w:tc>
      </w:tr>
      <w:tr w:rsidR="00805197" w:rsidRPr="00805197" w:rsidTr="00412693">
        <w:trPr>
          <w:trHeight w:val="360"/>
        </w:trPr>
        <w:tc>
          <w:tcPr>
            <w:tcW w:w="41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5197">
              <w:rPr>
                <w:rFonts w:ascii="Calibri" w:eastAsia="Times New Roman" w:hAnsi="Calibri" w:cs="Calibri"/>
                <w:color w:val="000000"/>
              </w:rPr>
              <w:t>iSD</w:t>
            </w:r>
            <w:proofErr w:type="spellEnd"/>
            <w:r w:rsidRPr="00805197">
              <w:rPr>
                <w:rFonts w:ascii="Calibri" w:eastAsia="Times New Roman" w:hAnsi="Calibri" w:cs="Calibri"/>
                <w:color w:val="000000"/>
              </w:rPr>
              <w:t xml:space="preserve"> in midpoint of intake </w:t>
            </w:r>
            <w:proofErr w:type="spellStart"/>
            <w:r w:rsidRPr="00805197">
              <w:rPr>
                <w:rFonts w:ascii="Calibri" w:eastAsia="Times New Roman" w:hAnsi="Calibri" w:cs="Calibri"/>
                <w:color w:val="000000"/>
              </w:rPr>
              <w:t>window</w:t>
            </w:r>
            <w:r w:rsidRPr="00805197">
              <w:rPr>
                <w:rFonts w:ascii="Calibri" w:eastAsia="Times New Roman" w:hAnsi="Calibri" w:cs="Calibri"/>
                <w:color w:val="000000"/>
                <w:vertAlign w:val="superscript"/>
              </w:rPr>
              <w:t>d</w:t>
            </w:r>
            <w:proofErr w:type="spellEnd"/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1.19 (0.81, 1.74)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1.14 (0.76, 1.72)</w:t>
            </w:r>
          </w:p>
        </w:tc>
        <w:tc>
          <w:tcPr>
            <w:tcW w:w="2938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0.98 (0.15, 1.81)</w:t>
            </w:r>
          </w:p>
        </w:tc>
      </w:tr>
      <w:tr w:rsidR="00805197" w:rsidRPr="00805197" w:rsidTr="00412693">
        <w:trPr>
          <w:trHeight w:val="1770"/>
        </w:trPr>
        <w:tc>
          <w:tcPr>
            <w:tcW w:w="12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5197">
              <w:rPr>
                <w:rFonts w:ascii="Calibri" w:eastAsia="Times New Roman" w:hAnsi="Calibri" w:cs="Calibri"/>
                <w:color w:val="000000"/>
                <w:vertAlign w:val="superscript"/>
              </w:rPr>
              <w:t>a</w:t>
            </w:r>
            <w:r w:rsidRPr="00805197">
              <w:rPr>
                <w:rFonts w:ascii="Calibri" w:eastAsia="Times New Roman" w:hAnsi="Calibri" w:cs="Calibri"/>
                <w:color w:val="000000"/>
              </w:rPr>
              <w:t>All</w:t>
            </w:r>
            <w:proofErr w:type="spellEnd"/>
            <w:r w:rsidRPr="00805197">
              <w:rPr>
                <w:rFonts w:ascii="Calibri" w:eastAsia="Times New Roman" w:hAnsi="Calibri" w:cs="Calibri"/>
                <w:color w:val="000000"/>
              </w:rPr>
              <w:t xml:space="preserve"> models include adjustment for age, sex, total caloric intake, Healthy Eating Index-2015, sleep duration, physical activity, race, employment status, smoking status, and alcohol consumption.</w:t>
            </w:r>
            <w:r w:rsidRPr="00805197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805197">
              <w:rPr>
                <w:rFonts w:ascii="Calibri" w:eastAsia="Times New Roman" w:hAnsi="Calibri" w:cs="Calibri"/>
                <w:color w:val="000000"/>
                <w:vertAlign w:val="superscript"/>
              </w:rPr>
              <w:t>b</w:t>
            </w:r>
            <w:r w:rsidRPr="00805197">
              <w:rPr>
                <w:rFonts w:ascii="Calibri" w:eastAsia="Times New Roman" w:hAnsi="Calibri" w:cs="Calibri"/>
                <w:color w:val="000000"/>
              </w:rPr>
              <w:t>Odds</w:t>
            </w:r>
            <w:proofErr w:type="spellEnd"/>
            <w:r w:rsidRPr="00805197">
              <w:rPr>
                <w:rFonts w:ascii="Calibri" w:eastAsia="Times New Roman" w:hAnsi="Calibri" w:cs="Calibri"/>
                <w:color w:val="000000"/>
              </w:rPr>
              <w:t xml:space="preserve"> ratios and corresponding 95% confidence intervals from polytomous logistic regression are reported.</w:t>
            </w:r>
            <w:r w:rsidRPr="00805197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805197">
              <w:rPr>
                <w:rFonts w:ascii="Calibri" w:eastAsia="Times New Roman" w:hAnsi="Calibri" w:cs="Calibri"/>
                <w:color w:val="000000"/>
                <w:vertAlign w:val="superscript"/>
              </w:rPr>
              <w:t>c</w:t>
            </w:r>
            <w:r w:rsidRPr="00805197">
              <w:rPr>
                <w:rFonts w:ascii="Calibri" w:eastAsia="Times New Roman" w:hAnsi="Calibri" w:cs="Calibri"/>
                <w:color w:val="000000"/>
              </w:rPr>
              <w:t>Regression</w:t>
            </w:r>
            <w:proofErr w:type="spellEnd"/>
            <w:r w:rsidRPr="00805197">
              <w:rPr>
                <w:rFonts w:ascii="Calibri" w:eastAsia="Times New Roman" w:hAnsi="Calibri" w:cs="Calibri"/>
                <w:color w:val="000000"/>
              </w:rPr>
              <w:t xml:space="preserve"> coefficients and corresponding 95% confidence intervals from multiple linear regression are reported.</w:t>
            </w:r>
            <w:r w:rsidRPr="00805197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805197">
              <w:rPr>
                <w:rFonts w:ascii="Calibri" w:eastAsia="Times New Roman" w:hAnsi="Calibri" w:cs="Calibri"/>
                <w:color w:val="000000"/>
                <w:vertAlign w:val="superscript"/>
              </w:rPr>
              <w:t>d</w:t>
            </w:r>
            <w:r w:rsidRPr="00805197">
              <w:rPr>
                <w:rFonts w:ascii="Calibri" w:eastAsia="Times New Roman" w:hAnsi="Calibri" w:cs="Calibri"/>
                <w:color w:val="000000"/>
              </w:rPr>
              <w:t>Odds</w:t>
            </w:r>
            <w:proofErr w:type="spellEnd"/>
            <w:r w:rsidRPr="00805197">
              <w:rPr>
                <w:rFonts w:ascii="Calibri" w:eastAsia="Times New Roman" w:hAnsi="Calibri" w:cs="Calibri"/>
                <w:color w:val="000000"/>
              </w:rPr>
              <w:t xml:space="preserve"> ratios and regression coefficients are for a 1-hour increase in exposure (average time or </w:t>
            </w:r>
            <w:proofErr w:type="spellStart"/>
            <w:r w:rsidRPr="00805197">
              <w:rPr>
                <w:rFonts w:ascii="Calibri" w:eastAsia="Times New Roman" w:hAnsi="Calibri" w:cs="Calibri"/>
                <w:color w:val="000000"/>
              </w:rPr>
              <w:t>iSD</w:t>
            </w:r>
            <w:proofErr w:type="spellEnd"/>
            <w:r w:rsidRPr="00805197">
              <w:rPr>
                <w:rFonts w:ascii="Calibri" w:eastAsia="Times New Roman" w:hAnsi="Calibri" w:cs="Calibri"/>
                <w:color w:val="000000"/>
              </w:rPr>
              <w:t>).</w:t>
            </w:r>
          </w:p>
        </w:tc>
      </w:tr>
    </w:tbl>
    <w:p w:rsidR="00412693" w:rsidRDefault="00412693" w:rsidP="0041269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  <w:sectPr w:rsidR="00412693" w:rsidSect="0080519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2848" w:type="dxa"/>
        <w:tblLook w:val="04A0" w:firstRow="1" w:lastRow="0" w:firstColumn="1" w:lastColumn="0" w:noHBand="0" w:noVBand="1"/>
      </w:tblPr>
      <w:tblGrid>
        <w:gridCol w:w="3163"/>
        <w:gridCol w:w="1327"/>
        <w:gridCol w:w="1139"/>
        <w:gridCol w:w="1903"/>
        <w:gridCol w:w="1171"/>
        <w:gridCol w:w="1903"/>
        <w:gridCol w:w="2354"/>
      </w:tblGrid>
      <w:tr w:rsidR="00805197" w:rsidRPr="00805197" w:rsidTr="00412693">
        <w:trPr>
          <w:trHeight w:val="360"/>
        </w:trPr>
        <w:tc>
          <w:tcPr>
            <w:tcW w:w="128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140" w:type="dxa"/>
              <w:tblLook w:val="04A0" w:firstRow="1" w:lastRow="0" w:firstColumn="1" w:lastColumn="0" w:noHBand="0" w:noVBand="1"/>
            </w:tblPr>
            <w:tblGrid>
              <w:gridCol w:w="3703"/>
              <w:gridCol w:w="264"/>
              <w:gridCol w:w="1123"/>
              <w:gridCol w:w="1844"/>
              <w:gridCol w:w="1123"/>
              <w:gridCol w:w="1844"/>
              <w:gridCol w:w="2843"/>
            </w:tblGrid>
            <w:tr w:rsidR="00412693" w:rsidRPr="00412693" w:rsidTr="00412693">
              <w:trPr>
                <w:trHeight w:val="750"/>
              </w:trPr>
              <w:tc>
                <w:tcPr>
                  <w:tcW w:w="13140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lastRenderedPageBreak/>
                    <w:t>Supplementary Table 3. Breakfast consumption and meal timing behaviors in relation to weight status measured by BMI (kg/m</w:t>
                  </w:r>
                  <w:r w:rsidRPr="004126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vertAlign w:val="superscript"/>
                    </w:rPr>
                    <w:t>2</w:t>
                  </w:r>
                  <w:r w:rsidRPr="00412693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) when </w:t>
                  </w:r>
                  <w:r w:rsidR="00132C89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using</w:t>
                  </w:r>
                  <w:r w:rsidRPr="00412693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a weighted average of responses for weekdays and weekends to characterize all 7 days week </w:t>
                  </w:r>
                  <w:r w:rsidRPr="004126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vertAlign w:val="superscript"/>
                    </w:rPr>
                    <w:t>a</w:t>
                  </w:r>
                </w:p>
              </w:tc>
            </w:tr>
            <w:tr w:rsidR="00412693" w:rsidRPr="00412693" w:rsidTr="00412693">
              <w:trPr>
                <w:trHeight w:val="345"/>
              </w:trPr>
              <w:tc>
                <w:tcPr>
                  <w:tcW w:w="387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3090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u w:val="single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  <w:u w:val="single"/>
                    </w:rPr>
                    <w:t>Overweight (25-29.9)</w:t>
                  </w:r>
                </w:p>
              </w:tc>
              <w:tc>
                <w:tcPr>
                  <w:tcW w:w="309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u w:val="single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  <w:u w:val="single"/>
                    </w:rPr>
                    <w:t>Obese (≥30)</w:t>
                  </w:r>
                </w:p>
              </w:tc>
              <w:tc>
                <w:tcPr>
                  <w:tcW w:w="2970" w:type="dxa"/>
                  <w:vMerge w:val="restart"/>
                  <w:tcBorders>
                    <w:top w:val="nil"/>
                    <w:left w:val="dotted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Continuous</w:t>
                  </w:r>
                  <w:r w:rsidRPr="00412693">
                    <w:rPr>
                      <w:rFonts w:ascii="Calibri" w:eastAsia="Times New Roman" w:hAnsi="Calibri" w:cs="Calibri"/>
                      <w:color w:val="000000"/>
                      <w:vertAlign w:val="superscript"/>
                    </w:rPr>
                    <w:br/>
                  </w: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β (95% CI)</w:t>
                  </w:r>
                  <w:r w:rsidRPr="00412693">
                    <w:rPr>
                      <w:rFonts w:ascii="Calibri" w:eastAsia="Times New Roman" w:hAnsi="Calibri" w:cs="Calibri"/>
                      <w:color w:val="000000"/>
                      <w:vertAlign w:val="superscript"/>
                    </w:rPr>
                    <w:t>c</w:t>
                  </w:r>
                </w:p>
              </w:tc>
            </w:tr>
            <w:tr w:rsidR="00412693" w:rsidRPr="00412693" w:rsidTr="00412693">
              <w:trPr>
                <w:trHeight w:val="336"/>
              </w:trPr>
              <w:tc>
                <w:tcPr>
                  <w:tcW w:w="38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# of cases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OR (95% CI)</w:t>
                  </w:r>
                  <w:r w:rsidRPr="00412693">
                    <w:rPr>
                      <w:rFonts w:ascii="Calibri" w:eastAsia="Times New Roman" w:hAnsi="Calibri" w:cs="Calibri"/>
                      <w:color w:val="000000"/>
                      <w:vertAlign w:val="superscript"/>
                    </w:rPr>
                    <w:t>b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# of cases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OR (95% CI)</w:t>
                  </w:r>
                  <w:r w:rsidRPr="00412693">
                    <w:rPr>
                      <w:rFonts w:ascii="Calibri" w:eastAsia="Times New Roman" w:hAnsi="Calibri" w:cs="Calibri"/>
                      <w:color w:val="000000"/>
                      <w:vertAlign w:val="superscript"/>
                    </w:rPr>
                    <w:t>b</w:t>
                  </w:r>
                </w:p>
              </w:tc>
              <w:tc>
                <w:tcPr>
                  <w:tcW w:w="2970" w:type="dxa"/>
                  <w:vMerge/>
                  <w:tcBorders>
                    <w:top w:val="nil"/>
                    <w:left w:val="dotted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412693" w:rsidRPr="00412693" w:rsidTr="00412693">
              <w:trPr>
                <w:trHeight w:val="324"/>
              </w:trPr>
              <w:tc>
                <w:tcPr>
                  <w:tcW w:w="387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 xml:space="preserve">Average time of first </w:t>
                  </w:r>
                  <w:proofErr w:type="spellStart"/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intake</w:t>
                  </w:r>
                  <w:r w:rsidRPr="00412693">
                    <w:rPr>
                      <w:rFonts w:ascii="Calibri" w:eastAsia="Times New Roman" w:hAnsi="Calibri" w:cs="Calibri"/>
                      <w:color w:val="000000"/>
                      <w:vertAlign w:val="superscript"/>
                    </w:rPr>
                    <w:t>d</w:t>
                  </w:r>
                  <w:proofErr w:type="spellEnd"/>
                </w:p>
              </w:tc>
              <w:tc>
                <w:tcPr>
                  <w:tcW w:w="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198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1.14 (0.99, 1.32)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190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1.10 (0.94, 1.28)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dotted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0.33 (0.01, 0.64)</w:t>
                  </w:r>
                </w:p>
              </w:tc>
            </w:tr>
            <w:tr w:rsidR="00412693" w:rsidRPr="00412693" w:rsidTr="00412693">
              <w:trPr>
                <w:trHeight w:val="324"/>
              </w:trPr>
              <w:tc>
                <w:tcPr>
                  <w:tcW w:w="399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 xml:space="preserve">Average length of  intake </w:t>
                  </w:r>
                  <w:proofErr w:type="spellStart"/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window</w:t>
                  </w:r>
                  <w:r w:rsidRPr="00412693">
                    <w:rPr>
                      <w:rFonts w:ascii="Calibri" w:eastAsia="Times New Roman" w:hAnsi="Calibri" w:cs="Calibri"/>
                      <w:color w:val="000000"/>
                      <w:vertAlign w:val="superscript"/>
                    </w:rPr>
                    <w:t>d</w:t>
                  </w:r>
                  <w:proofErr w:type="spellEnd"/>
                </w:p>
              </w:tc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198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1.03 (0.92, 1.15)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190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0.95 (0.85, 1.07)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dotted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-0.17 (-0.42, 0.07)</w:t>
                  </w:r>
                </w:p>
              </w:tc>
            </w:tr>
            <w:tr w:rsidR="00412693" w:rsidRPr="00412693" w:rsidTr="00412693">
              <w:trPr>
                <w:trHeight w:val="324"/>
              </w:trPr>
              <w:tc>
                <w:tcPr>
                  <w:tcW w:w="399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 xml:space="preserve">Average time of midpoint of intake </w:t>
                  </w:r>
                  <w:proofErr w:type="spellStart"/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window</w:t>
                  </w:r>
                  <w:r w:rsidRPr="00412693">
                    <w:rPr>
                      <w:rFonts w:ascii="Calibri" w:eastAsia="Times New Roman" w:hAnsi="Calibri" w:cs="Calibri"/>
                      <w:color w:val="000000"/>
                      <w:vertAlign w:val="superscript"/>
                    </w:rPr>
                    <w:t>d</w:t>
                  </w:r>
                  <w:proofErr w:type="spellEnd"/>
                </w:p>
              </w:tc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198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1.21 (1.03, 1.42)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190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1.06 (0.89, 1.27)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dotted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0.24 (-0.11, 0.60)</w:t>
                  </w:r>
                </w:p>
              </w:tc>
            </w:tr>
            <w:tr w:rsidR="00412693" w:rsidRPr="00412693" w:rsidTr="00412693">
              <w:trPr>
                <w:trHeight w:val="288"/>
              </w:trPr>
              <w:tc>
                <w:tcPr>
                  <w:tcW w:w="387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tcBorders>
                    <w:top w:val="nil"/>
                    <w:left w:val="dotted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</w:tr>
            <w:tr w:rsidR="00412693" w:rsidRPr="00412693" w:rsidTr="00412693">
              <w:trPr>
                <w:trHeight w:val="324"/>
              </w:trPr>
              <w:tc>
                <w:tcPr>
                  <w:tcW w:w="387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iSD</w:t>
                  </w:r>
                  <w:proofErr w:type="spellEnd"/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 xml:space="preserve"> in first intake time</w:t>
                  </w:r>
                  <w:r w:rsidRPr="00412693">
                    <w:rPr>
                      <w:rFonts w:ascii="Calibri" w:eastAsia="Times New Roman" w:hAnsi="Calibri" w:cs="Calibri"/>
                      <w:color w:val="000000"/>
                      <w:vertAlign w:val="superscript"/>
                    </w:rPr>
                    <w:t>d</w:t>
                  </w:r>
                </w:p>
              </w:tc>
              <w:tc>
                <w:tcPr>
                  <w:tcW w:w="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198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1.21 (0.89, 1.63)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190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1.17 (0.86, 1.61)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dotted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1.11 (0.48, 1.74)</w:t>
                  </w:r>
                </w:p>
              </w:tc>
            </w:tr>
            <w:tr w:rsidR="00412693" w:rsidRPr="00412693" w:rsidTr="00412693">
              <w:trPr>
                <w:trHeight w:val="324"/>
              </w:trPr>
              <w:tc>
                <w:tcPr>
                  <w:tcW w:w="399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iSD</w:t>
                  </w:r>
                  <w:proofErr w:type="spellEnd"/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 xml:space="preserve"> in length of  intake </w:t>
                  </w:r>
                  <w:proofErr w:type="spellStart"/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window</w:t>
                  </w:r>
                  <w:r w:rsidRPr="00412693">
                    <w:rPr>
                      <w:rFonts w:ascii="Calibri" w:eastAsia="Times New Roman" w:hAnsi="Calibri" w:cs="Calibri"/>
                      <w:color w:val="000000"/>
                      <w:vertAlign w:val="superscript"/>
                    </w:rPr>
                    <w:t>d</w:t>
                  </w:r>
                  <w:proofErr w:type="spellEnd"/>
                </w:p>
              </w:tc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198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1.10 (0.85, 1.42)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190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1.06 (0.81, 1.38)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dotted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0.70 (0.15, 1.25)</w:t>
                  </w:r>
                </w:p>
              </w:tc>
            </w:tr>
            <w:tr w:rsidR="00412693" w:rsidRPr="00412693" w:rsidTr="00412693">
              <w:trPr>
                <w:trHeight w:val="336"/>
              </w:trPr>
              <w:tc>
                <w:tcPr>
                  <w:tcW w:w="399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iSD</w:t>
                  </w:r>
                  <w:proofErr w:type="spellEnd"/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 xml:space="preserve"> in midpoint of intake </w:t>
                  </w:r>
                  <w:proofErr w:type="spellStart"/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window</w:t>
                  </w:r>
                  <w:r w:rsidRPr="00412693">
                    <w:rPr>
                      <w:rFonts w:ascii="Calibri" w:eastAsia="Times New Roman" w:hAnsi="Calibri" w:cs="Calibri"/>
                      <w:color w:val="000000"/>
                      <w:vertAlign w:val="superscript"/>
                    </w:rPr>
                    <w:t>d</w:t>
                  </w:r>
                  <w:proofErr w:type="spellEnd"/>
                </w:p>
              </w:tc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198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1.32 (0.89, 1.96)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190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1.15 (0.74, 1.77)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0.95 (0.08, 1.81)</w:t>
                  </w:r>
                </w:p>
              </w:tc>
            </w:tr>
            <w:tr w:rsidR="00412693" w:rsidRPr="00412693" w:rsidTr="00412693">
              <w:trPr>
                <w:trHeight w:val="1770"/>
              </w:trPr>
              <w:tc>
                <w:tcPr>
                  <w:tcW w:w="1314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2693" w:rsidRPr="00412693" w:rsidRDefault="00412693" w:rsidP="004126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412693">
                    <w:rPr>
                      <w:rFonts w:ascii="Calibri" w:eastAsia="Times New Roman" w:hAnsi="Calibri" w:cs="Calibri"/>
                      <w:color w:val="000000"/>
                      <w:vertAlign w:val="superscript"/>
                    </w:rPr>
                    <w:t>a</w:t>
                  </w: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All</w:t>
                  </w:r>
                  <w:proofErr w:type="spellEnd"/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 xml:space="preserve"> models include adjustment for age, sex, total caloric intake, Healthy Eating Index-2015, sleep duration, physical activity, race, employment status, smoking status, and alcohol </w:t>
                  </w:r>
                  <w:r w:rsidR="0032281C" w:rsidRPr="00412693">
                    <w:rPr>
                      <w:rFonts w:ascii="Calibri" w:eastAsia="Times New Roman" w:hAnsi="Calibri" w:cs="Calibri"/>
                      <w:color w:val="000000"/>
                    </w:rPr>
                    <w:t>consumption</w:t>
                  </w: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.</w:t>
                  </w: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br/>
                  </w:r>
                  <w:proofErr w:type="spellStart"/>
                  <w:r w:rsidRPr="00412693">
                    <w:rPr>
                      <w:rFonts w:ascii="Calibri" w:eastAsia="Times New Roman" w:hAnsi="Calibri" w:cs="Calibri"/>
                      <w:color w:val="000000"/>
                      <w:vertAlign w:val="superscript"/>
                    </w:rPr>
                    <w:t>b</w:t>
                  </w: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Odds</w:t>
                  </w:r>
                  <w:proofErr w:type="spellEnd"/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 xml:space="preserve"> ratios and corresponding 95% confidence intervals from polytomous logistic regression are reported.</w:t>
                  </w: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br/>
                  </w:r>
                  <w:proofErr w:type="spellStart"/>
                  <w:r w:rsidRPr="00412693">
                    <w:rPr>
                      <w:rFonts w:ascii="Calibri" w:eastAsia="Times New Roman" w:hAnsi="Calibri" w:cs="Calibri"/>
                      <w:color w:val="000000"/>
                      <w:vertAlign w:val="superscript"/>
                    </w:rPr>
                    <w:t>c</w:t>
                  </w: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Regression</w:t>
                  </w:r>
                  <w:proofErr w:type="spellEnd"/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 xml:space="preserve"> coefficients and corresponding 95% confidence intervals from multiple linear regression are reported.</w:t>
                  </w: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br/>
                  </w:r>
                  <w:proofErr w:type="spellStart"/>
                  <w:r w:rsidRPr="00412693">
                    <w:rPr>
                      <w:rFonts w:ascii="Calibri" w:eastAsia="Times New Roman" w:hAnsi="Calibri" w:cs="Calibri"/>
                      <w:color w:val="000000"/>
                      <w:vertAlign w:val="superscript"/>
                    </w:rPr>
                    <w:t>d</w:t>
                  </w:r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Odds</w:t>
                  </w:r>
                  <w:proofErr w:type="spellEnd"/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 xml:space="preserve"> ratios and regression coefficients are for a 1-hour increase in exposure (average time or </w:t>
                  </w:r>
                  <w:proofErr w:type="spellStart"/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iSD</w:t>
                  </w:r>
                  <w:proofErr w:type="spellEnd"/>
                  <w:r w:rsidRPr="00412693">
                    <w:rPr>
                      <w:rFonts w:ascii="Calibri" w:eastAsia="Times New Roman" w:hAnsi="Calibri" w:cs="Calibri"/>
                      <w:color w:val="000000"/>
                    </w:rPr>
                    <w:t>).</w:t>
                  </w:r>
                </w:p>
              </w:tc>
            </w:tr>
          </w:tbl>
          <w:p w:rsidR="00412693" w:rsidRDefault="00412693" w:rsidP="008051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93F83" w:rsidRDefault="00A93F83" w:rsidP="008051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93F83" w:rsidRDefault="00A93F83" w:rsidP="008051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93F83" w:rsidRDefault="00A93F83" w:rsidP="008051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93F83" w:rsidRDefault="00A93F83" w:rsidP="008051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93F83" w:rsidRDefault="00A93F83" w:rsidP="008051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93F83" w:rsidRDefault="00A93F83" w:rsidP="008051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93F83" w:rsidRDefault="00A93F83" w:rsidP="008051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93F83" w:rsidRDefault="00A93F83" w:rsidP="008051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93F83" w:rsidRDefault="00A93F83" w:rsidP="008051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93F83" w:rsidRDefault="00A93F83" w:rsidP="008051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93F83" w:rsidRDefault="00A93F83" w:rsidP="008051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05197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Supplemental Table </w:t>
            </w:r>
            <w:r w:rsidR="00C855A3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Pr="00805197">
              <w:rPr>
                <w:rFonts w:ascii="Calibri" w:eastAsia="Times New Roman" w:hAnsi="Calibri" w:cs="Calibri"/>
                <w:b/>
                <w:bCs/>
                <w:color w:val="000000"/>
              </w:rPr>
              <w:t>. Breakfast consumption and meal timing behaviors in relation to weight status measured by BMI when excluding individuals who participated in a weight loss diet (</w:t>
            </w:r>
            <w:proofErr w:type="spellStart"/>
            <w:r w:rsidRPr="00805197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  <w:r w:rsidRPr="00805197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</w:rPr>
              <w:t>excluded</w:t>
            </w:r>
            <w:proofErr w:type="spellEnd"/>
            <w:r w:rsidRPr="00805197">
              <w:rPr>
                <w:rFonts w:ascii="Calibri" w:eastAsia="Times New Roman" w:hAnsi="Calibri" w:cs="Calibri"/>
                <w:b/>
                <w:bCs/>
                <w:color w:val="000000"/>
              </w:rPr>
              <w:t>=44)</w:t>
            </w:r>
            <w:r w:rsidRPr="00805197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a</w:t>
            </w:r>
          </w:p>
        </w:tc>
      </w:tr>
      <w:tr w:rsidR="00805197" w:rsidRPr="00805197" w:rsidTr="00412693">
        <w:trPr>
          <w:trHeight w:val="345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05197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0519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03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805197">
              <w:rPr>
                <w:rFonts w:ascii="Calibri" w:eastAsia="Times New Roman" w:hAnsi="Calibri" w:cs="Calibri"/>
                <w:color w:val="000000"/>
                <w:u w:val="single"/>
              </w:rPr>
              <w:t>Overweight (25-29.9</w:t>
            </w:r>
            <w:r>
              <w:rPr>
                <w:rFonts w:ascii="Calibri" w:eastAsia="Times New Roman" w:hAnsi="Calibri" w:cs="Calibri"/>
                <w:color w:val="000000"/>
                <w:u w:val="single"/>
              </w:rPr>
              <w:t xml:space="preserve"> </w:t>
            </w:r>
            <w:r w:rsidRPr="00805197">
              <w:rPr>
                <w:rFonts w:ascii="Calibri" w:eastAsia="Times New Roman" w:hAnsi="Calibri" w:cs="Calibri"/>
                <w:bCs/>
                <w:color w:val="000000"/>
                <w:u w:val="single"/>
              </w:rPr>
              <w:t>kg/m</w:t>
            </w:r>
            <w:r w:rsidRPr="00805197">
              <w:rPr>
                <w:rFonts w:ascii="Calibri" w:eastAsia="Times New Roman" w:hAnsi="Calibri" w:cs="Calibri"/>
                <w:bCs/>
                <w:color w:val="000000"/>
                <w:u w:val="single"/>
                <w:vertAlign w:val="superscript"/>
              </w:rPr>
              <w:t>2</w:t>
            </w:r>
            <w:r w:rsidRPr="00805197">
              <w:rPr>
                <w:rFonts w:ascii="Calibri" w:eastAsia="Times New Roman" w:hAnsi="Calibri" w:cs="Calibri"/>
                <w:color w:val="000000"/>
                <w:u w:val="single"/>
              </w:rPr>
              <w:t>)</w:t>
            </w:r>
          </w:p>
        </w:tc>
        <w:tc>
          <w:tcPr>
            <w:tcW w:w="306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805197">
              <w:rPr>
                <w:rFonts w:ascii="Calibri" w:eastAsia="Times New Roman" w:hAnsi="Calibri" w:cs="Calibri"/>
                <w:color w:val="000000"/>
                <w:u w:val="single"/>
              </w:rPr>
              <w:t>Obese (≥30</w:t>
            </w:r>
            <w:r>
              <w:rPr>
                <w:rFonts w:ascii="Calibri" w:eastAsia="Times New Roman" w:hAnsi="Calibri" w:cs="Calibri"/>
                <w:color w:val="000000"/>
                <w:u w:val="single"/>
              </w:rPr>
              <w:t xml:space="preserve"> </w:t>
            </w:r>
            <w:r w:rsidRPr="00805197">
              <w:rPr>
                <w:rFonts w:ascii="Calibri" w:eastAsia="Times New Roman" w:hAnsi="Calibri" w:cs="Calibri"/>
                <w:bCs/>
                <w:color w:val="000000"/>
                <w:u w:val="single"/>
              </w:rPr>
              <w:t>kg/m</w:t>
            </w:r>
            <w:r w:rsidRPr="00805197">
              <w:rPr>
                <w:rFonts w:ascii="Calibri" w:eastAsia="Times New Roman" w:hAnsi="Calibri" w:cs="Calibri"/>
                <w:bCs/>
                <w:color w:val="000000"/>
                <w:u w:val="single"/>
                <w:vertAlign w:val="superscript"/>
              </w:rPr>
              <w:t>2</w:t>
            </w:r>
            <w:r w:rsidRPr="00805197">
              <w:rPr>
                <w:rFonts w:ascii="Calibri" w:eastAsia="Times New Roman" w:hAnsi="Calibri" w:cs="Calibri"/>
                <w:color w:val="000000"/>
                <w:u w:val="single"/>
              </w:rPr>
              <w:t>)</w:t>
            </w:r>
          </w:p>
        </w:tc>
        <w:tc>
          <w:tcPr>
            <w:tcW w:w="2351" w:type="dxa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Continuous</w:t>
            </w:r>
            <w:r w:rsidRPr="00805197">
              <w:rPr>
                <w:rFonts w:ascii="Calibri" w:eastAsia="Times New Roman" w:hAnsi="Calibri" w:cs="Calibri"/>
                <w:color w:val="000000"/>
                <w:vertAlign w:val="superscript"/>
              </w:rPr>
              <w:br/>
            </w:r>
            <w:r w:rsidRPr="00805197">
              <w:rPr>
                <w:rFonts w:ascii="Calibri" w:eastAsia="Times New Roman" w:hAnsi="Calibri" w:cs="Calibri"/>
                <w:color w:val="000000"/>
              </w:rPr>
              <w:t>β (95% CI)</w:t>
            </w:r>
            <w:r w:rsidRPr="00805197">
              <w:rPr>
                <w:rFonts w:ascii="Calibri" w:eastAsia="Times New Roman" w:hAnsi="Calibri" w:cs="Calibri"/>
                <w:color w:val="000000"/>
                <w:vertAlign w:val="superscript"/>
              </w:rPr>
              <w:t>c</w:t>
            </w:r>
          </w:p>
        </w:tc>
      </w:tr>
      <w:tr w:rsidR="00805197" w:rsidRPr="00805197" w:rsidTr="00412693">
        <w:trPr>
          <w:trHeight w:val="360"/>
        </w:trPr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# of cases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OR (95% CI)</w:t>
            </w:r>
            <w:r w:rsidRPr="00805197">
              <w:rPr>
                <w:rFonts w:ascii="Calibri" w:eastAsia="Times New Roman" w:hAnsi="Calibri" w:cs="Calibri"/>
                <w:color w:val="000000"/>
                <w:vertAlign w:val="superscript"/>
              </w:rPr>
              <w:t>b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# of cases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OR (95% CI)</w:t>
            </w:r>
            <w:r w:rsidRPr="00805197">
              <w:rPr>
                <w:rFonts w:ascii="Calibri" w:eastAsia="Times New Roman" w:hAnsi="Calibri" w:cs="Calibri"/>
                <w:color w:val="000000"/>
                <w:vertAlign w:val="superscript"/>
              </w:rPr>
              <w:t>b</w:t>
            </w:r>
          </w:p>
        </w:tc>
        <w:tc>
          <w:tcPr>
            <w:tcW w:w="2351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05197" w:rsidRPr="00805197" w:rsidTr="00412693">
        <w:trPr>
          <w:trHeight w:val="300"/>
        </w:trPr>
        <w:tc>
          <w:tcPr>
            <w:tcW w:w="440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Number of recalls reporting breakfast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51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05197" w:rsidRPr="00805197" w:rsidTr="00412693">
        <w:trPr>
          <w:trHeight w:val="300"/>
        </w:trPr>
        <w:tc>
          <w:tcPr>
            <w:tcW w:w="30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1.00 (ref)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1.00 (ref)</w:t>
            </w:r>
          </w:p>
        </w:tc>
        <w:tc>
          <w:tcPr>
            <w:tcW w:w="2351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0.00 (ref)</w:t>
            </w:r>
          </w:p>
        </w:tc>
      </w:tr>
      <w:tr w:rsidR="00805197" w:rsidRPr="00805197" w:rsidTr="00412693">
        <w:trPr>
          <w:trHeight w:val="300"/>
        </w:trPr>
        <w:tc>
          <w:tcPr>
            <w:tcW w:w="30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2.50 (1.49, 4.21)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1.90 (1.07, 3.38)</w:t>
            </w:r>
          </w:p>
        </w:tc>
        <w:tc>
          <w:tcPr>
            <w:tcW w:w="2351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1.35 (0.21, 2.49)</w:t>
            </w:r>
          </w:p>
        </w:tc>
      </w:tr>
      <w:tr w:rsidR="00805197" w:rsidRPr="00805197" w:rsidTr="00412693">
        <w:trPr>
          <w:trHeight w:val="300"/>
        </w:trPr>
        <w:tc>
          <w:tcPr>
            <w:tcW w:w="30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1.56 (0.77, 3.16)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1.14 (0.52, 2.47)</w:t>
            </w:r>
          </w:p>
        </w:tc>
        <w:tc>
          <w:tcPr>
            <w:tcW w:w="2351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1.39 (-0.20, 2.97)</w:t>
            </w:r>
          </w:p>
        </w:tc>
      </w:tr>
      <w:tr w:rsidR="00805197" w:rsidRPr="00805197" w:rsidTr="00412693">
        <w:trPr>
          <w:trHeight w:val="300"/>
        </w:trPr>
        <w:tc>
          <w:tcPr>
            <w:tcW w:w="30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0-3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0.43 (0.15, 1.21)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0.84 (0.35, 2.03)</w:t>
            </w:r>
          </w:p>
        </w:tc>
        <w:tc>
          <w:tcPr>
            <w:tcW w:w="2351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0.60 (-1.37, 2.57)</w:t>
            </w:r>
          </w:p>
        </w:tc>
      </w:tr>
      <w:tr w:rsidR="00805197" w:rsidRPr="00805197" w:rsidTr="00412693">
        <w:trPr>
          <w:trHeight w:val="300"/>
        </w:trPr>
        <w:tc>
          <w:tcPr>
            <w:tcW w:w="30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05197" w:rsidRPr="00805197" w:rsidTr="00412693">
        <w:trPr>
          <w:trHeight w:val="345"/>
        </w:trPr>
        <w:tc>
          <w:tcPr>
            <w:tcW w:w="44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 xml:space="preserve">Average time of first </w:t>
            </w:r>
            <w:proofErr w:type="spellStart"/>
            <w:r w:rsidRPr="00805197">
              <w:rPr>
                <w:rFonts w:ascii="Calibri" w:eastAsia="Times New Roman" w:hAnsi="Calibri" w:cs="Calibri"/>
                <w:color w:val="000000"/>
              </w:rPr>
              <w:t>intake</w:t>
            </w:r>
            <w:r w:rsidRPr="00805197">
              <w:rPr>
                <w:rFonts w:ascii="Calibri" w:eastAsia="Times New Roman" w:hAnsi="Calibri" w:cs="Calibri"/>
                <w:color w:val="000000"/>
                <w:vertAlign w:val="superscript"/>
              </w:rPr>
              <w:t>d</w:t>
            </w:r>
            <w:proofErr w:type="spellEnd"/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1.21 (1.00, 1.47)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1.10 (0.90, 1.35)</w:t>
            </w:r>
          </w:p>
        </w:tc>
        <w:tc>
          <w:tcPr>
            <w:tcW w:w="2351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0.45 (0.03, 0.86)</w:t>
            </w:r>
          </w:p>
        </w:tc>
      </w:tr>
      <w:tr w:rsidR="00805197" w:rsidRPr="00805197" w:rsidTr="00412693">
        <w:trPr>
          <w:trHeight w:val="345"/>
        </w:trPr>
        <w:tc>
          <w:tcPr>
            <w:tcW w:w="44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 xml:space="preserve">Average length of  intake </w:t>
            </w:r>
            <w:proofErr w:type="spellStart"/>
            <w:r w:rsidRPr="00805197">
              <w:rPr>
                <w:rFonts w:ascii="Calibri" w:eastAsia="Times New Roman" w:hAnsi="Calibri" w:cs="Calibri"/>
                <w:color w:val="000000"/>
              </w:rPr>
              <w:t>window</w:t>
            </w:r>
            <w:r w:rsidRPr="00805197">
              <w:rPr>
                <w:rFonts w:ascii="Calibri" w:eastAsia="Times New Roman" w:hAnsi="Calibri" w:cs="Calibri"/>
                <w:color w:val="000000"/>
                <w:vertAlign w:val="superscript"/>
              </w:rPr>
              <w:t>d</w:t>
            </w:r>
            <w:proofErr w:type="spellEnd"/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1.00 (0.85, 1.16)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0.93 (0.79, 1.10)</w:t>
            </w:r>
          </w:p>
        </w:tc>
        <w:tc>
          <w:tcPr>
            <w:tcW w:w="2351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-0.32 (-0.66, 0.03)</w:t>
            </w:r>
          </w:p>
        </w:tc>
      </w:tr>
      <w:tr w:rsidR="00805197" w:rsidRPr="00805197" w:rsidTr="00412693">
        <w:trPr>
          <w:trHeight w:val="345"/>
        </w:trPr>
        <w:tc>
          <w:tcPr>
            <w:tcW w:w="44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 xml:space="preserve">Average time of midpoint of intake </w:t>
            </w:r>
            <w:proofErr w:type="spellStart"/>
            <w:r w:rsidRPr="00805197">
              <w:rPr>
                <w:rFonts w:ascii="Calibri" w:eastAsia="Times New Roman" w:hAnsi="Calibri" w:cs="Calibri"/>
                <w:color w:val="000000"/>
              </w:rPr>
              <w:t>window</w:t>
            </w:r>
            <w:r w:rsidRPr="00805197">
              <w:rPr>
                <w:rFonts w:ascii="Calibri" w:eastAsia="Times New Roman" w:hAnsi="Calibri" w:cs="Calibri"/>
                <w:color w:val="000000"/>
                <w:vertAlign w:val="superscript"/>
              </w:rPr>
              <w:t>d</w:t>
            </w:r>
            <w:proofErr w:type="spellEnd"/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1.32 (1.04, 1.66)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1.05 (0.82, 1.36)</w:t>
            </w:r>
          </w:p>
        </w:tc>
        <w:tc>
          <w:tcPr>
            <w:tcW w:w="2351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0.34 (-0.18, 0.85)</w:t>
            </w:r>
          </w:p>
        </w:tc>
      </w:tr>
      <w:tr w:rsidR="00805197" w:rsidRPr="00805197" w:rsidTr="00412693">
        <w:trPr>
          <w:trHeight w:val="300"/>
        </w:trPr>
        <w:tc>
          <w:tcPr>
            <w:tcW w:w="30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05197" w:rsidRPr="00805197" w:rsidTr="00412693">
        <w:trPr>
          <w:trHeight w:val="345"/>
        </w:trPr>
        <w:tc>
          <w:tcPr>
            <w:tcW w:w="30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5197">
              <w:rPr>
                <w:rFonts w:ascii="Calibri" w:eastAsia="Times New Roman" w:hAnsi="Calibri" w:cs="Calibri"/>
                <w:color w:val="000000"/>
              </w:rPr>
              <w:t>iSD</w:t>
            </w:r>
            <w:proofErr w:type="spellEnd"/>
            <w:r w:rsidRPr="00805197">
              <w:rPr>
                <w:rFonts w:ascii="Calibri" w:eastAsia="Times New Roman" w:hAnsi="Calibri" w:cs="Calibri"/>
                <w:color w:val="000000"/>
              </w:rPr>
              <w:t xml:space="preserve"> in first intake time</w:t>
            </w:r>
            <w:r w:rsidRPr="00805197">
              <w:rPr>
                <w:rFonts w:ascii="Calibri" w:eastAsia="Times New Roman" w:hAnsi="Calibri" w:cs="Calibri"/>
                <w:color w:val="000000"/>
                <w:vertAlign w:val="superscript"/>
              </w:rPr>
              <w:t>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1.21 (0.91, 1.67)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1.13 (0.82, 1.55)</w:t>
            </w:r>
          </w:p>
        </w:tc>
        <w:tc>
          <w:tcPr>
            <w:tcW w:w="2351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1.14 (0.49, 1.78)</w:t>
            </w:r>
          </w:p>
        </w:tc>
      </w:tr>
      <w:tr w:rsidR="00805197" w:rsidRPr="00805197" w:rsidTr="00412693">
        <w:trPr>
          <w:trHeight w:val="345"/>
        </w:trPr>
        <w:tc>
          <w:tcPr>
            <w:tcW w:w="44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5197">
              <w:rPr>
                <w:rFonts w:ascii="Calibri" w:eastAsia="Times New Roman" w:hAnsi="Calibri" w:cs="Calibri"/>
                <w:color w:val="000000"/>
              </w:rPr>
              <w:t>iSD</w:t>
            </w:r>
            <w:proofErr w:type="spellEnd"/>
            <w:r w:rsidRPr="00805197">
              <w:rPr>
                <w:rFonts w:ascii="Calibri" w:eastAsia="Times New Roman" w:hAnsi="Calibri" w:cs="Calibri"/>
                <w:color w:val="000000"/>
              </w:rPr>
              <w:t xml:space="preserve"> in length of  intake </w:t>
            </w:r>
            <w:proofErr w:type="spellStart"/>
            <w:r w:rsidRPr="00805197">
              <w:rPr>
                <w:rFonts w:ascii="Calibri" w:eastAsia="Times New Roman" w:hAnsi="Calibri" w:cs="Calibri"/>
                <w:color w:val="000000"/>
              </w:rPr>
              <w:t>window</w:t>
            </w:r>
            <w:r w:rsidRPr="00805197">
              <w:rPr>
                <w:rFonts w:ascii="Calibri" w:eastAsia="Times New Roman" w:hAnsi="Calibri" w:cs="Calibri"/>
                <w:color w:val="000000"/>
                <w:vertAlign w:val="superscript"/>
              </w:rPr>
              <w:t>d</w:t>
            </w:r>
            <w:proofErr w:type="spellEnd"/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1.11 (0.85, 1.44)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1.06 (0.81, 1.39)</w:t>
            </w:r>
          </w:p>
        </w:tc>
        <w:tc>
          <w:tcPr>
            <w:tcW w:w="2351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0.76 (0.19, 1.33)</w:t>
            </w:r>
          </w:p>
        </w:tc>
      </w:tr>
      <w:tr w:rsidR="00805197" w:rsidRPr="00805197" w:rsidTr="00412693">
        <w:trPr>
          <w:trHeight w:val="360"/>
        </w:trPr>
        <w:tc>
          <w:tcPr>
            <w:tcW w:w="44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5197">
              <w:rPr>
                <w:rFonts w:ascii="Calibri" w:eastAsia="Times New Roman" w:hAnsi="Calibri" w:cs="Calibri"/>
                <w:color w:val="000000"/>
              </w:rPr>
              <w:t>iSD</w:t>
            </w:r>
            <w:proofErr w:type="spellEnd"/>
            <w:r w:rsidRPr="00805197">
              <w:rPr>
                <w:rFonts w:ascii="Calibri" w:eastAsia="Times New Roman" w:hAnsi="Calibri" w:cs="Calibri"/>
                <w:color w:val="000000"/>
              </w:rPr>
              <w:t xml:space="preserve"> in midpoint of intake </w:t>
            </w:r>
            <w:proofErr w:type="spellStart"/>
            <w:r w:rsidRPr="00805197">
              <w:rPr>
                <w:rFonts w:ascii="Calibri" w:eastAsia="Times New Roman" w:hAnsi="Calibri" w:cs="Calibri"/>
                <w:color w:val="000000"/>
              </w:rPr>
              <w:t>window</w:t>
            </w:r>
            <w:r w:rsidRPr="00805197">
              <w:rPr>
                <w:rFonts w:ascii="Calibri" w:eastAsia="Times New Roman" w:hAnsi="Calibri" w:cs="Calibri"/>
                <w:color w:val="000000"/>
                <w:vertAlign w:val="superscript"/>
              </w:rPr>
              <w:t>d</w:t>
            </w:r>
            <w:proofErr w:type="spellEnd"/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1.38 (0.93, 2.06)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1.09 (0.70, 1.72)</w:t>
            </w:r>
          </w:p>
        </w:tc>
        <w:tc>
          <w:tcPr>
            <w:tcW w:w="2351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1.02 (0.14, 1.91)</w:t>
            </w:r>
          </w:p>
        </w:tc>
      </w:tr>
      <w:tr w:rsidR="00805197" w:rsidRPr="00805197" w:rsidTr="00412693">
        <w:trPr>
          <w:trHeight w:val="1770"/>
        </w:trPr>
        <w:tc>
          <w:tcPr>
            <w:tcW w:w="128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5197">
              <w:rPr>
                <w:rFonts w:ascii="Calibri" w:eastAsia="Times New Roman" w:hAnsi="Calibri" w:cs="Calibri"/>
                <w:color w:val="000000"/>
                <w:vertAlign w:val="superscript"/>
              </w:rPr>
              <w:t>a</w:t>
            </w:r>
            <w:r w:rsidRPr="00805197">
              <w:rPr>
                <w:rFonts w:ascii="Calibri" w:eastAsia="Times New Roman" w:hAnsi="Calibri" w:cs="Calibri"/>
                <w:color w:val="000000"/>
              </w:rPr>
              <w:t>All</w:t>
            </w:r>
            <w:proofErr w:type="spellEnd"/>
            <w:r w:rsidRPr="00805197">
              <w:rPr>
                <w:rFonts w:ascii="Calibri" w:eastAsia="Times New Roman" w:hAnsi="Calibri" w:cs="Calibri"/>
                <w:color w:val="000000"/>
              </w:rPr>
              <w:t xml:space="preserve"> models include adjustment for age, sex, total caloric intake, Healthy Eating Index-2015, sleep duration, physical activity, race, employment status, smoking status, and alcohol consumption.</w:t>
            </w:r>
            <w:r w:rsidRPr="00805197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805197">
              <w:rPr>
                <w:rFonts w:ascii="Calibri" w:eastAsia="Times New Roman" w:hAnsi="Calibri" w:cs="Calibri"/>
                <w:color w:val="000000"/>
                <w:vertAlign w:val="superscript"/>
              </w:rPr>
              <w:t>b</w:t>
            </w:r>
            <w:r w:rsidRPr="00805197">
              <w:rPr>
                <w:rFonts w:ascii="Calibri" w:eastAsia="Times New Roman" w:hAnsi="Calibri" w:cs="Calibri"/>
                <w:color w:val="000000"/>
              </w:rPr>
              <w:t>Odds</w:t>
            </w:r>
            <w:proofErr w:type="spellEnd"/>
            <w:r w:rsidRPr="00805197">
              <w:rPr>
                <w:rFonts w:ascii="Calibri" w:eastAsia="Times New Roman" w:hAnsi="Calibri" w:cs="Calibri"/>
                <w:color w:val="000000"/>
              </w:rPr>
              <w:t xml:space="preserve"> ratios and corresponding 95% confidence intervals from polytomous logistic regression are reported.</w:t>
            </w:r>
            <w:r w:rsidRPr="00805197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805197">
              <w:rPr>
                <w:rFonts w:ascii="Calibri" w:eastAsia="Times New Roman" w:hAnsi="Calibri" w:cs="Calibri"/>
                <w:color w:val="000000"/>
                <w:vertAlign w:val="superscript"/>
              </w:rPr>
              <w:t>c</w:t>
            </w:r>
            <w:r w:rsidRPr="00805197">
              <w:rPr>
                <w:rFonts w:ascii="Calibri" w:eastAsia="Times New Roman" w:hAnsi="Calibri" w:cs="Calibri"/>
                <w:color w:val="000000"/>
              </w:rPr>
              <w:t>Regression</w:t>
            </w:r>
            <w:proofErr w:type="spellEnd"/>
            <w:r w:rsidRPr="00805197">
              <w:rPr>
                <w:rFonts w:ascii="Calibri" w:eastAsia="Times New Roman" w:hAnsi="Calibri" w:cs="Calibri"/>
                <w:color w:val="000000"/>
              </w:rPr>
              <w:t xml:space="preserve"> coefficients and corresponding 95% confidence intervals from multiple linear regression are reported.</w:t>
            </w:r>
            <w:r w:rsidRPr="00805197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805197">
              <w:rPr>
                <w:rFonts w:ascii="Calibri" w:eastAsia="Times New Roman" w:hAnsi="Calibri" w:cs="Calibri"/>
                <w:color w:val="000000"/>
                <w:vertAlign w:val="superscript"/>
              </w:rPr>
              <w:t>d</w:t>
            </w:r>
            <w:r w:rsidRPr="00805197">
              <w:rPr>
                <w:rFonts w:ascii="Calibri" w:eastAsia="Times New Roman" w:hAnsi="Calibri" w:cs="Calibri"/>
                <w:color w:val="000000"/>
              </w:rPr>
              <w:t>Odds</w:t>
            </w:r>
            <w:proofErr w:type="spellEnd"/>
            <w:r w:rsidRPr="00805197">
              <w:rPr>
                <w:rFonts w:ascii="Calibri" w:eastAsia="Times New Roman" w:hAnsi="Calibri" w:cs="Calibri"/>
                <w:color w:val="000000"/>
              </w:rPr>
              <w:t xml:space="preserve"> ratios and regression coefficients are for a 1-hour increase in exposure (average time or </w:t>
            </w:r>
            <w:proofErr w:type="spellStart"/>
            <w:r w:rsidRPr="00805197">
              <w:rPr>
                <w:rFonts w:ascii="Calibri" w:eastAsia="Times New Roman" w:hAnsi="Calibri" w:cs="Calibri"/>
                <w:color w:val="000000"/>
              </w:rPr>
              <w:t>iSD</w:t>
            </w:r>
            <w:proofErr w:type="spellEnd"/>
            <w:r w:rsidRPr="00805197">
              <w:rPr>
                <w:rFonts w:ascii="Calibri" w:eastAsia="Times New Roman" w:hAnsi="Calibri" w:cs="Calibri"/>
                <w:color w:val="000000"/>
              </w:rPr>
              <w:t>).</w:t>
            </w:r>
          </w:p>
        </w:tc>
      </w:tr>
    </w:tbl>
    <w:p w:rsidR="00805197" w:rsidRDefault="00805197">
      <w:pPr>
        <w:sectPr w:rsidR="00805197" w:rsidSect="0080519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4506" w:type="dxa"/>
        <w:tblInd w:w="-611" w:type="dxa"/>
        <w:tblLook w:val="04A0" w:firstRow="1" w:lastRow="0" w:firstColumn="1" w:lastColumn="0" w:noHBand="0" w:noVBand="1"/>
      </w:tblPr>
      <w:tblGrid>
        <w:gridCol w:w="1994"/>
        <w:gridCol w:w="2307"/>
        <w:gridCol w:w="3391"/>
        <w:gridCol w:w="3391"/>
        <w:gridCol w:w="3423"/>
      </w:tblGrid>
      <w:tr w:rsidR="00805197" w:rsidRPr="00805197" w:rsidTr="00805197">
        <w:trPr>
          <w:trHeight w:val="315"/>
        </w:trPr>
        <w:tc>
          <w:tcPr>
            <w:tcW w:w="14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05197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Supplemental Table</w:t>
            </w:r>
            <w:r w:rsidR="00132C8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C855A3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  <w:r w:rsidRPr="0080519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. Association between intake timing behaviors with BMI, WC and </w:t>
            </w:r>
            <w:proofErr w:type="spellStart"/>
            <w:r w:rsidRPr="00805197">
              <w:rPr>
                <w:rFonts w:ascii="Calibri" w:eastAsia="Times New Roman" w:hAnsi="Calibri" w:cs="Calibri"/>
                <w:b/>
                <w:bCs/>
                <w:color w:val="000000"/>
              </w:rPr>
              <w:t>GlycA</w:t>
            </w:r>
            <w:proofErr w:type="spellEnd"/>
            <w:r w:rsidRPr="0080519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when adjusting for first </w:t>
            </w:r>
            <w:proofErr w:type="spellStart"/>
            <w:r w:rsidRPr="00805197">
              <w:rPr>
                <w:rFonts w:ascii="Calibri" w:eastAsia="Times New Roman" w:hAnsi="Calibri" w:cs="Calibri"/>
                <w:b/>
                <w:bCs/>
                <w:color w:val="000000"/>
              </w:rPr>
              <w:t>intake</w:t>
            </w:r>
            <w:r w:rsidRPr="00805197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a</w:t>
            </w:r>
            <w:proofErr w:type="spellEnd"/>
          </w:p>
        </w:tc>
      </w:tr>
      <w:tr w:rsidR="00805197" w:rsidRPr="00805197" w:rsidTr="00805197">
        <w:trPr>
          <w:trHeight w:val="300"/>
        </w:trPr>
        <w:tc>
          <w:tcPr>
            <w:tcW w:w="19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805197">
              <w:rPr>
                <w:rFonts w:ascii="Calibri" w:eastAsia="Times New Roman" w:hAnsi="Calibri" w:cs="Calibri"/>
                <w:color w:val="000000"/>
                <w:u w:val="single"/>
              </w:rPr>
              <w:t>β (95% CI)</w:t>
            </w:r>
            <w:r w:rsidRPr="00805197">
              <w:rPr>
                <w:rFonts w:ascii="Calibri" w:eastAsia="Times New Roman" w:hAnsi="Calibri" w:cs="Calibri"/>
                <w:color w:val="000000"/>
                <w:u w:val="single"/>
                <w:vertAlign w:val="superscript"/>
              </w:rPr>
              <w:t>b</w:t>
            </w:r>
          </w:p>
        </w:tc>
      </w:tr>
      <w:tr w:rsidR="00805197" w:rsidRPr="00805197" w:rsidTr="00805197">
        <w:trPr>
          <w:trHeight w:val="315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BMI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WC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5197">
              <w:rPr>
                <w:rFonts w:ascii="Calibri" w:eastAsia="Times New Roman" w:hAnsi="Calibri" w:cs="Calibri"/>
                <w:color w:val="000000"/>
              </w:rPr>
              <w:t>GlycA</w:t>
            </w:r>
            <w:proofErr w:type="spellEnd"/>
          </w:p>
        </w:tc>
      </w:tr>
      <w:tr w:rsidR="00805197" w:rsidRPr="00805197" w:rsidTr="00805197">
        <w:trPr>
          <w:trHeight w:val="345"/>
        </w:trPr>
        <w:tc>
          <w:tcPr>
            <w:tcW w:w="43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 xml:space="preserve">Average length of  intake </w:t>
            </w:r>
            <w:proofErr w:type="spellStart"/>
            <w:r w:rsidRPr="00805197">
              <w:rPr>
                <w:rFonts w:ascii="Calibri" w:eastAsia="Times New Roman" w:hAnsi="Calibri" w:cs="Calibri"/>
                <w:color w:val="000000"/>
              </w:rPr>
              <w:t>window</w:t>
            </w:r>
            <w:r w:rsidRPr="00805197">
              <w:rPr>
                <w:rFonts w:ascii="Calibri" w:eastAsia="Times New Roman" w:hAnsi="Calibri" w:cs="Calibri"/>
                <w:color w:val="000000"/>
                <w:vertAlign w:val="superscript"/>
              </w:rPr>
              <w:t>c</w:t>
            </w:r>
            <w:proofErr w:type="spellEnd"/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-0.13 (-0.54, 0.28)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-0.81 (-1.82, 0.20)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05197">
              <w:rPr>
                <w:rFonts w:ascii="Calibri" w:eastAsia="Times New Roman" w:hAnsi="Calibri" w:cs="Calibri"/>
                <w:b/>
                <w:bCs/>
                <w:color w:val="000000"/>
              </w:rPr>
              <w:t>-</w:t>
            </w:r>
            <w:r w:rsidRPr="00805197">
              <w:rPr>
                <w:rFonts w:ascii="Calibri" w:eastAsia="Times New Roman" w:hAnsi="Calibri" w:cs="Calibri"/>
                <w:bCs/>
                <w:color w:val="000000"/>
              </w:rPr>
              <w:t>0.06 (-0.12, 0.00)</w:t>
            </w:r>
          </w:p>
        </w:tc>
      </w:tr>
      <w:tr w:rsidR="00805197" w:rsidRPr="00805197" w:rsidTr="00805197">
        <w:trPr>
          <w:trHeight w:val="345"/>
        </w:trPr>
        <w:tc>
          <w:tcPr>
            <w:tcW w:w="43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 xml:space="preserve">Average time of midpoint of intake </w:t>
            </w:r>
            <w:proofErr w:type="spellStart"/>
            <w:r w:rsidRPr="00805197">
              <w:rPr>
                <w:rFonts w:ascii="Calibri" w:eastAsia="Times New Roman" w:hAnsi="Calibri" w:cs="Calibri"/>
                <w:color w:val="000000"/>
              </w:rPr>
              <w:t>window</w:t>
            </w:r>
            <w:r w:rsidRPr="00805197">
              <w:rPr>
                <w:rFonts w:ascii="Calibri" w:eastAsia="Times New Roman" w:hAnsi="Calibri" w:cs="Calibri"/>
                <w:color w:val="000000"/>
                <w:vertAlign w:val="superscript"/>
              </w:rPr>
              <w:t>c</w:t>
            </w:r>
            <w:proofErr w:type="spellEnd"/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-0.26 (-1.08, 0.56)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-1.63 (-3.65, 0.39)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-0.12 (-0.24 ,0.01)</w:t>
            </w:r>
          </w:p>
        </w:tc>
      </w:tr>
      <w:tr w:rsidR="00805197" w:rsidRPr="00805197" w:rsidTr="00805197">
        <w:trPr>
          <w:trHeight w:val="300"/>
        </w:trPr>
        <w:tc>
          <w:tcPr>
            <w:tcW w:w="19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05197" w:rsidRPr="00805197" w:rsidTr="00805197">
        <w:trPr>
          <w:trHeight w:val="345"/>
        </w:trPr>
        <w:tc>
          <w:tcPr>
            <w:tcW w:w="43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5197">
              <w:rPr>
                <w:rFonts w:ascii="Calibri" w:eastAsia="Times New Roman" w:hAnsi="Calibri" w:cs="Calibri"/>
                <w:color w:val="000000"/>
              </w:rPr>
              <w:t>iSD</w:t>
            </w:r>
            <w:proofErr w:type="spellEnd"/>
            <w:r w:rsidRPr="00805197">
              <w:rPr>
                <w:rFonts w:ascii="Calibri" w:eastAsia="Times New Roman" w:hAnsi="Calibri" w:cs="Calibri"/>
                <w:color w:val="000000"/>
              </w:rPr>
              <w:t xml:space="preserve"> in length of  intake </w:t>
            </w:r>
            <w:proofErr w:type="spellStart"/>
            <w:r w:rsidRPr="00805197">
              <w:rPr>
                <w:rFonts w:ascii="Calibri" w:eastAsia="Times New Roman" w:hAnsi="Calibri" w:cs="Calibri"/>
                <w:color w:val="000000"/>
              </w:rPr>
              <w:t>window</w:t>
            </w:r>
            <w:r w:rsidRPr="00805197">
              <w:rPr>
                <w:rFonts w:ascii="Calibri" w:eastAsia="Times New Roman" w:hAnsi="Calibri" w:cs="Calibri"/>
                <w:color w:val="000000"/>
                <w:vertAlign w:val="superscript"/>
              </w:rPr>
              <w:t>c</w:t>
            </w:r>
            <w:proofErr w:type="spellEnd"/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0.16 (-0.53, 0.86)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0.47 (-1.26, 2.19)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-0.06 (-0.16, 0.05)</w:t>
            </w:r>
          </w:p>
        </w:tc>
      </w:tr>
      <w:tr w:rsidR="00805197" w:rsidRPr="00805197" w:rsidTr="00805197">
        <w:trPr>
          <w:trHeight w:val="360"/>
        </w:trPr>
        <w:tc>
          <w:tcPr>
            <w:tcW w:w="43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5197">
              <w:rPr>
                <w:rFonts w:ascii="Calibri" w:eastAsia="Times New Roman" w:hAnsi="Calibri" w:cs="Calibri"/>
                <w:color w:val="000000"/>
              </w:rPr>
              <w:t>iSD</w:t>
            </w:r>
            <w:proofErr w:type="spellEnd"/>
            <w:r w:rsidRPr="00805197">
              <w:rPr>
                <w:rFonts w:ascii="Calibri" w:eastAsia="Times New Roman" w:hAnsi="Calibri" w:cs="Calibri"/>
                <w:color w:val="000000"/>
              </w:rPr>
              <w:t xml:space="preserve"> in midpoint of intake </w:t>
            </w:r>
            <w:proofErr w:type="spellStart"/>
            <w:r w:rsidRPr="00805197">
              <w:rPr>
                <w:rFonts w:ascii="Calibri" w:eastAsia="Times New Roman" w:hAnsi="Calibri" w:cs="Calibri"/>
                <w:color w:val="000000"/>
              </w:rPr>
              <w:t>window</w:t>
            </w:r>
            <w:r w:rsidRPr="00805197">
              <w:rPr>
                <w:rFonts w:ascii="Calibri" w:eastAsia="Times New Roman" w:hAnsi="Calibri" w:cs="Calibri"/>
                <w:color w:val="000000"/>
                <w:vertAlign w:val="superscript"/>
              </w:rPr>
              <w:t>c</w:t>
            </w:r>
            <w:proofErr w:type="spellEnd"/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-0.15 (-1.33, 1.02)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-0.46 (-3.36, 2.44)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197" w:rsidRPr="00805197" w:rsidRDefault="00805197" w:rsidP="0080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197">
              <w:rPr>
                <w:rFonts w:ascii="Calibri" w:eastAsia="Times New Roman" w:hAnsi="Calibri" w:cs="Calibri"/>
                <w:color w:val="000000"/>
              </w:rPr>
              <w:t>0.05 (-0.13, 0.23)</w:t>
            </w:r>
          </w:p>
        </w:tc>
      </w:tr>
      <w:tr w:rsidR="00805197" w:rsidRPr="00805197" w:rsidTr="00805197">
        <w:trPr>
          <w:trHeight w:val="2378"/>
        </w:trPr>
        <w:tc>
          <w:tcPr>
            <w:tcW w:w="14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197" w:rsidRPr="00805197" w:rsidRDefault="00805197" w:rsidP="0080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5197">
              <w:rPr>
                <w:rFonts w:ascii="Calibri" w:eastAsia="Times New Roman" w:hAnsi="Calibri" w:cs="Calibri"/>
                <w:color w:val="000000"/>
                <w:vertAlign w:val="superscript"/>
              </w:rPr>
              <w:t>a</w:t>
            </w:r>
            <w:r w:rsidRPr="00805197">
              <w:rPr>
                <w:rFonts w:ascii="Calibri" w:eastAsia="Times New Roman" w:hAnsi="Calibri" w:cs="Calibri"/>
                <w:color w:val="000000"/>
              </w:rPr>
              <w:t>All</w:t>
            </w:r>
            <w:proofErr w:type="spellEnd"/>
            <w:r w:rsidRPr="00805197">
              <w:rPr>
                <w:rFonts w:ascii="Calibri" w:eastAsia="Times New Roman" w:hAnsi="Calibri" w:cs="Calibri"/>
                <w:color w:val="000000"/>
              </w:rPr>
              <w:t xml:space="preserve"> models include adjustment for age, sex, total caloric intake, Healthy Eating Index-2015, sleep duration, physical activity, race, employment status, smoking status, and alcohol consumption. Models of average exposures included additional adjustment for average time of first intake, and models of </w:t>
            </w:r>
            <w:proofErr w:type="spellStart"/>
            <w:r w:rsidRPr="00805197">
              <w:rPr>
                <w:rFonts w:ascii="Calibri" w:eastAsia="Times New Roman" w:hAnsi="Calibri" w:cs="Calibri"/>
                <w:color w:val="000000"/>
              </w:rPr>
              <w:t>iSD</w:t>
            </w:r>
            <w:proofErr w:type="spellEnd"/>
            <w:r w:rsidRPr="00805197">
              <w:rPr>
                <w:rFonts w:ascii="Calibri" w:eastAsia="Times New Roman" w:hAnsi="Calibri" w:cs="Calibri"/>
                <w:color w:val="000000"/>
              </w:rPr>
              <w:t xml:space="preserve"> exposures include additional adjustment for </w:t>
            </w:r>
            <w:proofErr w:type="spellStart"/>
            <w:r w:rsidRPr="00805197">
              <w:rPr>
                <w:rFonts w:ascii="Calibri" w:eastAsia="Times New Roman" w:hAnsi="Calibri" w:cs="Calibri"/>
                <w:color w:val="000000"/>
              </w:rPr>
              <w:t>iSD</w:t>
            </w:r>
            <w:proofErr w:type="spellEnd"/>
            <w:r w:rsidRPr="00805197">
              <w:rPr>
                <w:rFonts w:ascii="Calibri" w:eastAsia="Times New Roman" w:hAnsi="Calibri" w:cs="Calibri"/>
                <w:color w:val="000000"/>
              </w:rPr>
              <w:t xml:space="preserve"> in first intake.</w:t>
            </w:r>
            <w:r w:rsidRPr="00805197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805197">
              <w:rPr>
                <w:rFonts w:ascii="Calibri" w:eastAsia="Times New Roman" w:hAnsi="Calibri" w:cs="Calibri"/>
                <w:color w:val="000000"/>
                <w:vertAlign w:val="superscript"/>
              </w:rPr>
              <w:t>b</w:t>
            </w:r>
            <w:r w:rsidRPr="00805197">
              <w:rPr>
                <w:rFonts w:ascii="Calibri" w:eastAsia="Times New Roman" w:hAnsi="Calibri" w:cs="Calibri"/>
                <w:color w:val="000000"/>
              </w:rPr>
              <w:t>Regression</w:t>
            </w:r>
            <w:proofErr w:type="spellEnd"/>
            <w:r w:rsidRPr="00805197">
              <w:rPr>
                <w:rFonts w:ascii="Calibri" w:eastAsia="Times New Roman" w:hAnsi="Calibri" w:cs="Calibri"/>
                <w:color w:val="000000"/>
              </w:rPr>
              <w:t xml:space="preserve"> coefficients and corresponding 95% confidence intervals from multiple linear regression are reported.</w:t>
            </w:r>
            <w:r w:rsidRPr="00805197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805197">
              <w:rPr>
                <w:rFonts w:ascii="Calibri" w:eastAsia="Times New Roman" w:hAnsi="Calibri" w:cs="Calibri"/>
                <w:color w:val="000000"/>
                <w:vertAlign w:val="superscript"/>
              </w:rPr>
              <w:t>c</w:t>
            </w:r>
            <w:r w:rsidRPr="00805197">
              <w:rPr>
                <w:rFonts w:ascii="Calibri" w:eastAsia="Times New Roman" w:hAnsi="Calibri" w:cs="Calibri"/>
                <w:color w:val="000000"/>
              </w:rPr>
              <w:t>Odds</w:t>
            </w:r>
            <w:proofErr w:type="spellEnd"/>
            <w:r w:rsidRPr="00805197">
              <w:rPr>
                <w:rFonts w:ascii="Calibri" w:eastAsia="Times New Roman" w:hAnsi="Calibri" w:cs="Calibri"/>
                <w:color w:val="000000"/>
              </w:rPr>
              <w:t xml:space="preserve"> ratios and regression coefficients are for a 1-hour increase in exposure (average time or </w:t>
            </w:r>
            <w:proofErr w:type="spellStart"/>
            <w:r w:rsidRPr="00805197">
              <w:rPr>
                <w:rFonts w:ascii="Calibri" w:eastAsia="Times New Roman" w:hAnsi="Calibri" w:cs="Calibri"/>
                <w:color w:val="000000"/>
              </w:rPr>
              <w:t>iSD</w:t>
            </w:r>
            <w:proofErr w:type="spellEnd"/>
            <w:r w:rsidRPr="00805197">
              <w:rPr>
                <w:rFonts w:ascii="Calibri" w:eastAsia="Times New Roman" w:hAnsi="Calibri" w:cs="Calibri"/>
                <w:color w:val="000000"/>
              </w:rPr>
              <w:t>).</w:t>
            </w:r>
          </w:p>
        </w:tc>
      </w:tr>
    </w:tbl>
    <w:p w:rsidR="00A93F83" w:rsidRDefault="00A93F83">
      <w:pPr>
        <w:sectPr w:rsidR="00A93F83" w:rsidSect="0080519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6660" w:type="dxa"/>
        <w:tblLook w:val="04A0" w:firstRow="1" w:lastRow="0" w:firstColumn="1" w:lastColumn="0" w:noHBand="0" w:noVBand="1"/>
      </w:tblPr>
      <w:tblGrid>
        <w:gridCol w:w="4250"/>
        <w:gridCol w:w="2410"/>
      </w:tblGrid>
      <w:tr w:rsidR="00A93F83" w:rsidRPr="00A93F83" w:rsidTr="00A93F83">
        <w:trPr>
          <w:trHeight w:val="300"/>
        </w:trPr>
        <w:tc>
          <w:tcPr>
            <w:tcW w:w="6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93F83" w:rsidRPr="00A93F83" w:rsidRDefault="00A93F83" w:rsidP="00A93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F83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Supplemental Table 6. Pearson correlation (p-value) between ratio of expected to observed energy intake with BMI and </w:t>
            </w:r>
            <w:r w:rsidR="00A650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meal timing </w:t>
            </w:r>
            <w:r w:rsidRPr="00A93F83">
              <w:rPr>
                <w:rFonts w:ascii="Calibri" w:eastAsia="Times New Roman" w:hAnsi="Calibri" w:cs="Calibri"/>
                <w:b/>
                <w:bCs/>
                <w:color w:val="000000"/>
              </w:rPr>
              <w:t>exposures</w:t>
            </w:r>
          </w:p>
        </w:tc>
      </w:tr>
      <w:tr w:rsidR="00A93F83" w:rsidRPr="00A93F83" w:rsidTr="00A93F83">
        <w:trPr>
          <w:trHeight w:val="864"/>
        </w:trPr>
        <w:tc>
          <w:tcPr>
            <w:tcW w:w="4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F83" w:rsidRPr="00A93F83" w:rsidRDefault="00A93F83" w:rsidP="00A93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3F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3F83" w:rsidRPr="00A93F83" w:rsidRDefault="00A93F83" w:rsidP="00A93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F83">
              <w:rPr>
                <w:rFonts w:ascii="Calibri" w:eastAsia="Times New Roman" w:hAnsi="Calibri" w:cs="Calibri"/>
                <w:color w:val="000000"/>
              </w:rPr>
              <w:t>Ratio of expected energy needs to observed energy intake</w:t>
            </w:r>
          </w:p>
        </w:tc>
      </w:tr>
      <w:tr w:rsidR="00A93F83" w:rsidRPr="00A93F83" w:rsidTr="00A93F83">
        <w:trPr>
          <w:trHeight w:val="288"/>
        </w:trPr>
        <w:tc>
          <w:tcPr>
            <w:tcW w:w="42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3" w:rsidRPr="00A93F83" w:rsidRDefault="00A93F83" w:rsidP="00A93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3F83">
              <w:rPr>
                <w:rFonts w:ascii="Calibri" w:eastAsia="Times New Roman" w:hAnsi="Calibri" w:cs="Calibri"/>
                <w:color w:val="000000"/>
              </w:rPr>
              <w:t>BMI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F83" w:rsidRPr="00A93F83" w:rsidRDefault="00A93F83" w:rsidP="00A93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F83">
              <w:rPr>
                <w:rFonts w:ascii="Calibri" w:eastAsia="Times New Roman" w:hAnsi="Calibri" w:cs="Calibri"/>
                <w:color w:val="000000"/>
              </w:rPr>
              <w:t>-0.03 (0.45)</w:t>
            </w:r>
          </w:p>
        </w:tc>
        <w:bookmarkStart w:id="0" w:name="_GoBack"/>
        <w:bookmarkEnd w:id="0"/>
      </w:tr>
      <w:tr w:rsidR="00A93F83" w:rsidRPr="00A93F83" w:rsidTr="00A93F83">
        <w:trPr>
          <w:trHeight w:val="288"/>
        </w:trPr>
        <w:tc>
          <w:tcPr>
            <w:tcW w:w="42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3" w:rsidRPr="00A93F83" w:rsidRDefault="00A93F83" w:rsidP="00A93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3F83">
              <w:rPr>
                <w:rFonts w:ascii="Calibri" w:eastAsia="Times New Roman" w:hAnsi="Calibri" w:cs="Calibri"/>
                <w:color w:val="000000"/>
              </w:rPr>
              <w:t>Average time of first intake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F83" w:rsidRPr="00A93F83" w:rsidRDefault="00A93F83" w:rsidP="00A93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F83">
              <w:rPr>
                <w:rFonts w:ascii="Calibri" w:eastAsia="Times New Roman" w:hAnsi="Calibri" w:cs="Calibri"/>
                <w:color w:val="000000"/>
              </w:rPr>
              <w:t>0.05 (0.30)</w:t>
            </w:r>
          </w:p>
        </w:tc>
      </w:tr>
      <w:tr w:rsidR="00A93F83" w:rsidRPr="00A93F83" w:rsidTr="00A93F83">
        <w:trPr>
          <w:trHeight w:val="288"/>
        </w:trPr>
        <w:tc>
          <w:tcPr>
            <w:tcW w:w="42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3" w:rsidRPr="00A93F83" w:rsidRDefault="00A93F83" w:rsidP="00A93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3F83">
              <w:rPr>
                <w:rFonts w:ascii="Calibri" w:eastAsia="Times New Roman" w:hAnsi="Calibri" w:cs="Calibri"/>
                <w:color w:val="000000"/>
              </w:rPr>
              <w:t>Average length of  intake window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F83" w:rsidRPr="00A93F83" w:rsidRDefault="00A93F83" w:rsidP="00A93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F83">
              <w:rPr>
                <w:rFonts w:ascii="Calibri" w:eastAsia="Times New Roman" w:hAnsi="Calibri" w:cs="Calibri"/>
                <w:color w:val="000000"/>
              </w:rPr>
              <w:t>-0.03 (0.57)</w:t>
            </w:r>
          </w:p>
        </w:tc>
      </w:tr>
      <w:tr w:rsidR="00A93F83" w:rsidRPr="00A93F83" w:rsidTr="00A93F83">
        <w:trPr>
          <w:trHeight w:val="288"/>
        </w:trPr>
        <w:tc>
          <w:tcPr>
            <w:tcW w:w="42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3" w:rsidRPr="00A93F83" w:rsidRDefault="00A93F83" w:rsidP="00A93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3F83">
              <w:rPr>
                <w:rFonts w:ascii="Calibri" w:eastAsia="Times New Roman" w:hAnsi="Calibri" w:cs="Calibri"/>
                <w:color w:val="000000"/>
              </w:rPr>
              <w:t>Average time of midpoint of intake window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F83" w:rsidRPr="00A93F83" w:rsidRDefault="00A93F83" w:rsidP="00A93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F83">
              <w:rPr>
                <w:rFonts w:ascii="Calibri" w:eastAsia="Times New Roman" w:hAnsi="Calibri" w:cs="Calibri"/>
                <w:color w:val="000000"/>
              </w:rPr>
              <w:t>0.04 (0.35)</w:t>
            </w:r>
          </w:p>
        </w:tc>
      </w:tr>
      <w:tr w:rsidR="00A93F83" w:rsidRPr="00A93F83" w:rsidTr="00A93F83">
        <w:trPr>
          <w:trHeight w:val="288"/>
        </w:trPr>
        <w:tc>
          <w:tcPr>
            <w:tcW w:w="42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3" w:rsidRPr="00A93F83" w:rsidRDefault="00A93F83" w:rsidP="00A93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3F83">
              <w:rPr>
                <w:rFonts w:ascii="Calibri" w:eastAsia="Times New Roman" w:hAnsi="Calibri" w:cs="Calibri"/>
                <w:color w:val="000000"/>
              </w:rPr>
              <w:t>iSD</w:t>
            </w:r>
            <w:proofErr w:type="spellEnd"/>
            <w:r w:rsidRPr="00A93F83">
              <w:rPr>
                <w:rFonts w:ascii="Calibri" w:eastAsia="Times New Roman" w:hAnsi="Calibri" w:cs="Calibri"/>
                <w:color w:val="000000"/>
              </w:rPr>
              <w:t xml:space="preserve"> in first intake time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F83" w:rsidRPr="00A93F83" w:rsidRDefault="00A93F83" w:rsidP="00A93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F83">
              <w:rPr>
                <w:rFonts w:ascii="Calibri" w:eastAsia="Times New Roman" w:hAnsi="Calibri" w:cs="Calibri"/>
                <w:color w:val="000000"/>
              </w:rPr>
              <w:t>0.02 (0.69)</w:t>
            </w:r>
          </w:p>
        </w:tc>
      </w:tr>
      <w:tr w:rsidR="00A93F83" w:rsidRPr="00A93F83" w:rsidTr="00A93F83">
        <w:trPr>
          <w:trHeight w:val="288"/>
        </w:trPr>
        <w:tc>
          <w:tcPr>
            <w:tcW w:w="42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3" w:rsidRPr="00A93F83" w:rsidRDefault="00A93F83" w:rsidP="00A93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3F83">
              <w:rPr>
                <w:rFonts w:ascii="Calibri" w:eastAsia="Times New Roman" w:hAnsi="Calibri" w:cs="Calibri"/>
                <w:color w:val="000000"/>
              </w:rPr>
              <w:t>iSD</w:t>
            </w:r>
            <w:proofErr w:type="spellEnd"/>
            <w:r w:rsidRPr="00A93F83">
              <w:rPr>
                <w:rFonts w:ascii="Calibri" w:eastAsia="Times New Roman" w:hAnsi="Calibri" w:cs="Calibri"/>
                <w:color w:val="000000"/>
              </w:rPr>
              <w:t xml:space="preserve"> in length of  intake window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F83" w:rsidRPr="00A93F83" w:rsidRDefault="00A93F83" w:rsidP="00A93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F83">
              <w:rPr>
                <w:rFonts w:ascii="Calibri" w:eastAsia="Times New Roman" w:hAnsi="Calibri" w:cs="Calibri"/>
                <w:color w:val="000000"/>
              </w:rPr>
              <w:t>0.04 (0.36)</w:t>
            </w:r>
          </w:p>
        </w:tc>
      </w:tr>
      <w:tr w:rsidR="00A93F83" w:rsidRPr="00A93F83" w:rsidTr="00A93F83">
        <w:trPr>
          <w:trHeight w:val="300"/>
        </w:trPr>
        <w:tc>
          <w:tcPr>
            <w:tcW w:w="42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F83" w:rsidRPr="00A93F83" w:rsidRDefault="00A93F83" w:rsidP="00A93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3F83">
              <w:rPr>
                <w:rFonts w:ascii="Calibri" w:eastAsia="Times New Roman" w:hAnsi="Calibri" w:cs="Calibri"/>
                <w:color w:val="000000"/>
              </w:rPr>
              <w:t>iSD</w:t>
            </w:r>
            <w:proofErr w:type="spellEnd"/>
            <w:r w:rsidRPr="00A93F83">
              <w:rPr>
                <w:rFonts w:ascii="Calibri" w:eastAsia="Times New Roman" w:hAnsi="Calibri" w:cs="Calibri"/>
                <w:color w:val="000000"/>
              </w:rPr>
              <w:t xml:space="preserve"> in midpoint of intake window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F83" w:rsidRPr="00A93F83" w:rsidRDefault="00A93F83" w:rsidP="00A93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F83">
              <w:rPr>
                <w:rFonts w:ascii="Calibri" w:eastAsia="Times New Roman" w:hAnsi="Calibri" w:cs="Calibri"/>
                <w:color w:val="000000"/>
              </w:rPr>
              <w:t>0.06 (0.17)</w:t>
            </w:r>
          </w:p>
        </w:tc>
      </w:tr>
    </w:tbl>
    <w:p w:rsidR="008E4B52" w:rsidRDefault="00A6508B"/>
    <w:sectPr w:rsidR="008E4B52" w:rsidSect="008051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7B"/>
    <w:rsid w:val="00132C89"/>
    <w:rsid w:val="0032281C"/>
    <w:rsid w:val="003C5B7B"/>
    <w:rsid w:val="00412693"/>
    <w:rsid w:val="00805197"/>
    <w:rsid w:val="009750DD"/>
    <w:rsid w:val="00A6508B"/>
    <w:rsid w:val="00A93F83"/>
    <w:rsid w:val="00BC4CCF"/>
    <w:rsid w:val="00C855A3"/>
    <w:rsid w:val="00F8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5D104"/>
  <w15:chartTrackingRefBased/>
  <w15:docId w15:val="{F76A2120-05EF-4667-B34B-4DA3FBDB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Guinter</dc:creator>
  <cp:keywords/>
  <dc:description/>
  <cp:lastModifiedBy>Mark Guinter</cp:lastModifiedBy>
  <cp:revision>5</cp:revision>
  <dcterms:created xsi:type="dcterms:W3CDTF">2019-07-10T19:27:00Z</dcterms:created>
  <dcterms:modified xsi:type="dcterms:W3CDTF">2019-07-15T18:25:00Z</dcterms:modified>
</cp:coreProperties>
</file>