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CE" w:rsidRDefault="002C4D9B" w:rsidP="002C4D9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</w:rPr>
      </w:pPr>
      <w:proofErr w:type="gramStart"/>
      <w:r w:rsidRPr="00CD7D4D">
        <w:rPr>
          <w:rFonts w:ascii="Calibri" w:eastAsia="Calibri" w:hAnsi="Calibri" w:cs="Calibri"/>
          <w:b/>
          <w:sz w:val="20"/>
        </w:rPr>
        <w:t>Supplemental Table 1</w:t>
      </w:r>
      <w:r w:rsidRPr="00CD7D4D">
        <w:rPr>
          <w:rFonts w:ascii="Calibri" w:eastAsia="Calibri" w:hAnsi="Calibri" w:cs="Calibri"/>
          <w:sz w:val="20"/>
        </w:rPr>
        <w:t>.</w:t>
      </w:r>
      <w:proofErr w:type="gramEnd"/>
      <w:r w:rsidRPr="00CD7D4D">
        <w:rPr>
          <w:rFonts w:ascii="Calibri" w:eastAsia="Calibri" w:hAnsi="Calibri" w:cs="Calibri"/>
          <w:sz w:val="20"/>
        </w:rPr>
        <w:t xml:space="preserve"> EUROCAT subgroups with ICD-10 diagnoses used to categorise birth defects, according to EUROCAT coding and classification guides (</w:t>
      </w:r>
      <w:hyperlink r:id="rId6" w:history="1">
        <w:r w:rsidRPr="00CD7D4D">
          <w:rPr>
            <w:rFonts w:ascii="Calibri" w:eastAsia="Calibri" w:hAnsi="Calibri" w:cs="Calibri"/>
            <w:color w:val="0563C1"/>
            <w:sz w:val="20"/>
            <w:u w:val="single"/>
          </w:rPr>
          <w:t>https://eu-rd-platform.jrc.ec.europa.eu/sites/default/files/Section%203.3-%2027_Oct2016.pdf</w:t>
        </w:r>
      </w:hyperlink>
      <w:r w:rsidRPr="00CD7D4D">
        <w:rPr>
          <w:rFonts w:ascii="Calibri" w:eastAsia="Calibri" w:hAnsi="Calibri" w:cs="Calibri"/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3644"/>
        <w:gridCol w:w="3809"/>
      </w:tblGrid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8"/>
                <w:szCs w:val="16"/>
              </w:rPr>
              <w:t>EUROCAT subgroups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8"/>
                <w:szCs w:val="16"/>
              </w:rPr>
              <w:t>ICD – 10 and BPA</w:t>
            </w:r>
          </w:p>
        </w:tc>
        <w:tc>
          <w:tcPr>
            <w:tcW w:w="5489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8"/>
                <w:szCs w:val="16"/>
              </w:rPr>
              <w:t>Comments</w:t>
            </w: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</w:pP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Birth defects</w:t>
            </w:r>
          </w:p>
        </w:tc>
        <w:tc>
          <w:tcPr>
            <w:tcW w:w="5811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8"/>
                <w:szCs w:val="16"/>
              </w:rPr>
              <w:t>Q Chapter</w:t>
            </w:r>
          </w:p>
        </w:tc>
        <w:tc>
          <w:tcPr>
            <w:tcW w:w="5489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15AC0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Nervous system 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Q00-07 </w:t>
            </w:r>
          </w:p>
        </w:tc>
        <w:tc>
          <w:tcPr>
            <w:tcW w:w="5489" w:type="dxa"/>
            <w:vMerge w:val="restar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Q01 (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Encephalocele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>) not counted if associated with Q00 (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Anencephalus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>), Q05 (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Spina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bifida) not counted if associated with Q00 or Q01</w:t>
            </w: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Neural tube defects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Q00, Q01, Q05</w:t>
            </w:r>
          </w:p>
        </w:tc>
        <w:tc>
          <w:tcPr>
            <w:tcW w:w="5489" w:type="dxa"/>
            <w:vMerge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15AC0" w:rsidTr="00A96485">
        <w:tc>
          <w:tcPr>
            <w:tcW w:w="2694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Eye</w:t>
            </w:r>
          </w:p>
        </w:tc>
        <w:tc>
          <w:tcPr>
            <w:tcW w:w="5811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Q10-15</w:t>
            </w:r>
          </w:p>
        </w:tc>
        <w:tc>
          <w:tcPr>
            <w:tcW w:w="5489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Q101-103, Q105, Q135 not counted</w:t>
            </w: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Ear, face and neck</w:t>
            </w:r>
          </w:p>
        </w:tc>
        <w:tc>
          <w:tcPr>
            <w:tcW w:w="5811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Q16-18</w:t>
            </w:r>
          </w:p>
        </w:tc>
        <w:tc>
          <w:tcPr>
            <w:tcW w:w="5489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15AC0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Heart defects     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Q20-26</w:t>
            </w:r>
          </w:p>
        </w:tc>
        <w:tc>
          <w:tcPr>
            <w:tcW w:w="5489" w:type="dxa"/>
            <w:vMerge w:val="restar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PDA with gestational age (GA) &lt;37 weeks not counted,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pulmonal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artery stenosis with GA &lt;37 weeks not counted</w:t>
            </w:r>
          </w:p>
        </w:tc>
      </w:tr>
      <w:tr w:rsidR="002C4D9B" w:rsidRPr="00C15AC0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Severe heart defects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color w:val="000000"/>
                <w:sz w:val="18"/>
                <w:szCs w:val="16"/>
              </w:rPr>
              <w:t>Q200, Q201, Q203, Q204, Q212, Q213, Q220, Q224, Q225, Q226, Q230, Q232, Q233, Q234, Q251, Q252, Q262</w:t>
            </w:r>
          </w:p>
        </w:tc>
        <w:tc>
          <w:tcPr>
            <w:tcW w:w="5489" w:type="dxa"/>
            <w:vMerge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Respiratory</w:t>
            </w:r>
          </w:p>
        </w:tc>
        <w:tc>
          <w:tcPr>
            <w:tcW w:w="5811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Q300, Q32-34</w:t>
            </w:r>
          </w:p>
        </w:tc>
        <w:tc>
          <w:tcPr>
            <w:tcW w:w="5489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Q320, Q331 not counted</w:t>
            </w:r>
          </w:p>
        </w:tc>
      </w:tr>
      <w:tr w:rsidR="002C4D9B" w:rsidRPr="00C15AC0" w:rsidTr="00A96485">
        <w:tc>
          <w:tcPr>
            <w:tcW w:w="2694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Oral clefts</w:t>
            </w:r>
          </w:p>
        </w:tc>
        <w:tc>
          <w:tcPr>
            <w:tcW w:w="5811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color w:val="000000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Q35-37</w:t>
            </w:r>
          </w:p>
        </w:tc>
        <w:tc>
          <w:tcPr>
            <w:tcW w:w="5489" w:type="dxa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Associations with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holoprosencephaly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or anencephaly subgroups not counted as clefts</w:t>
            </w:r>
          </w:p>
        </w:tc>
      </w:tr>
      <w:tr w:rsidR="002C4D9B" w:rsidRPr="00C15AC0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Digestive system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Q38-45, Q790</w:t>
            </w:r>
          </w:p>
        </w:tc>
        <w:tc>
          <w:tcPr>
            <w:tcW w:w="5489" w:type="dxa"/>
            <w:vMerge w:val="restar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Q381, Q382, Q3850, Q400, Q401, Q4021, Q430, Q4320, Q4381, Q4382 not counted</w:t>
            </w: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Oesophageal atresia</w:t>
            </w:r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Q390-391</w:t>
            </w:r>
          </w:p>
        </w:tc>
        <w:tc>
          <w:tcPr>
            <w:tcW w:w="5489" w:type="dxa"/>
            <w:vMerge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Anorectal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atresia and stenosis</w:t>
            </w:r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Q420-423</w:t>
            </w:r>
          </w:p>
        </w:tc>
        <w:tc>
          <w:tcPr>
            <w:tcW w:w="5489" w:type="dxa"/>
            <w:vMerge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Digestive other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Q410, Q411-Q418, Q431, Q442, Q451</w:t>
            </w:r>
          </w:p>
        </w:tc>
        <w:tc>
          <w:tcPr>
            <w:tcW w:w="5489" w:type="dxa"/>
            <w:vMerge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Abdominal wall defects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Q792, Q793, Q795</w:t>
            </w:r>
          </w:p>
        </w:tc>
        <w:tc>
          <w:tcPr>
            <w:tcW w:w="5489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Gastroschisis</w:t>
            </w:r>
            <w:proofErr w:type="spellEnd"/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Q793</w:t>
            </w:r>
          </w:p>
        </w:tc>
        <w:tc>
          <w:tcPr>
            <w:tcW w:w="5489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Omphalocele</w:t>
            </w:r>
            <w:proofErr w:type="spellEnd"/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Q792</w:t>
            </w:r>
          </w:p>
        </w:tc>
        <w:tc>
          <w:tcPr>
            <w:tcW w:w="5489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Urinary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Q60-64, Q794</w:t>
            </w:r>
          </w:p>
        </w:tc>
        <w:tc>
          <w:tcPr>
            <w:tcW w:w="5489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Hydronephrosis</w:t>
            </w:r>
            <w:proofErr w:type="spellEnd"/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Q620</w:t>
            </w:r>
          </w:p>
        </w:tc>
        <w:tc>
          <w:tcPr>
            <w:tcW w:w="5489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Urinary other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Q60-64, Q794</w:t>
            </w:r>
          </w:p>
        </w:tc>
        <w:tc>
          <w:tcPr>
            <w:tcW w:w="5489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Q620 not counted</w:t>
            </w: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Genital 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Q50-52, Q54-56</w:t>
            </w:r>
          </w:p>
        </w:tc>
        <w:tc>
          <w:tcPr>
            <w:tcW w:w="5489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Hypospadias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Q54</w:t>
            </w:r>
          </w:p>
        </w:tc>
        <w:tc>
          <w:tcPr>
            <w:tcW w:w="5489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15AC0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Limb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Q65-74</w:t>
            </w:r>
          </w:p>
        </w:tc>
        <w:tc>
          <w:tcPr>
            <w:tcW w:w="5489" w:type="dxa"/>
            <w:vMerge w:val="restar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Q65 (hip dislocation and/or dysplasia) not counted, Q662-669, Q670-678, Q680, Q6810, Q6821, Q683-685, Q7400 not counted</w:t>
            </w: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Limb reduction defects</w:t>
            </w:r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Q71-73</w:t>
            </w:r>
          </w:p>
        </w:tc>
        <w:tc>
          <w:tcPr>
            <w:tcW w:w="5489" w:type="dxa"/>
            <w:vMerge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Club foot</w:t>
            </w:r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Q660</w:t>
            </w:r>
          </w:p>
        </w:tc>
        <w:tc>
          <w:tcPr>
            <w:tcW w:w="5489" w:type="dxa"/>
            <w:vMerge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Polydactyly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,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syndactyly</w:t>
            </w:r>
            <w:proofErr w:type="spellEnd"/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Q69-70</w:t>
            </w:r>
          </w:p>
        </w:tc>
        <w:tc>
          <w:tcPr>
            <w:tcW w:w="5489" w:type="dxa"/>
            <w:vMerge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8"/>
                <w:szCs w:val="16"/>
              </w:rPr>
              <w:t>Excluded from our study</w:t>
            </w: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5489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Chromosomal anomalies</w:t>
            </w:r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Q90-93, Q96-99</w:t>
            </w:r>
          </w:p>
        </w:tc>
        <w:tc>
          <w:tcPr>
            <w:tcW w:w="5489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15AC0" w:rsidTr="00A96485">
        <w:tc>
          <w:tcPr>
            <w:tcW w:w="2694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Genetic syndromes and     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microdeletions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</w:t>
            </w:r>
          </w:p>
        </w:tc>
        <w:tc>
          <w:tcPr>
            <w:tcW w:w="5811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Q6190, Q7484, Q751, Q754, Q7581, Q8700, Q8701, Q8702, Q8705, Q8707, Q8709, Q870A, Q870B, Q870C, Q870D, Q870E, Q870F, Q871, Q8720, Q8721, Q8723, Q8725, Q8728, Q873, Q874, Q875, Q878, Q936, D821</w:t>
            </w:r>
          </w:p>
        </w:tc>
        <w:tc>
          <w:tcPr>
            <w:tcW w:w="5489" w:type="dxa"/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Q8703, Q8704, Q8708, Q8724 not excluded</w:t>
            </w:r>
          </w:p>
        </w:tc>
      </w:tr>
      <w:tr w:rsidR="002C4D9B" w:rsidRPr="00CD7D4D" w:rsidTr="00A96485">
        <w:tc>
          <w:tcPr>
            <w:tcW w:w="2694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sz w:val="18"/>
                <w:szCs w:val="16"/>
              </w:rPr>
              <w:t>Teratogenic</w:t>
            </w:r>
            <w:proofErr w:type="spellEnd"/>
            <w:r w:rsidRPr="00CD7D4D">
              <w:rPr>
                <w:rFonts w:ascii="Calibri" w:eastAsia="Calibri" w:hAnsi="Calibri" w:cs="Calibri"/>
                <w:sz w:val="18"/>
                <w:szCs w:val="16"/>
              </w:rPr>
              <w:t xml:space="preserve"> syndromes</w:t>
            </w:r>
          </w:p>
        </w:tc>
        <w:tc>
          <w:tcPr>
            <w:tcW w:w="5811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  <w:r w:rsidRPr="00CD7D4D">
              <w:rPr>
                <w:rFonts w:ascii="Calibri" w:eastAsia="Calibri" w:hAnsi="Calibri" w:cs="Calibri"/>
                <w:sz w:val="18"/>
                <w:szCs w:val="16"/>
              </w:rPr>
              <w:t>Q86, P350, P351, P371</w:t>
            </w:r>
          </w:p>
        </w:tc>
        <w:tc>
          <w:tcPr>
            <w:tcW w:w="5489" w:type="dxa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2C4D9B" w:rsidRPr="00CD7D4D" w:rsidTr="00A96485">
        <w:tc>
          <w:tcPr>
            <w:tcW w:w="2694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tabs>
                <w:tab w:val="right" w:pos="2804"/>
              </w:tabs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  <w:tc>
          <w:tcPr>
            <w:tcW w:w="5489" w:type="dxa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</w:tbl>
    <w:p w:rsidR="002C4D9B" w:rsidRDefault="002C4D9B" w:rsidP="002C4D9B"/>
    <w:p w:rsidR="002C4D9B" w:rsidRDefault="002C4D9B" w:rsidP="002C4D9B">
      <w:pPr>
        <w:rPr>
          <w:rFonts w:ascii="Calibri" w:eastAsia="Calibri" w:hAnsi="Calibri" w:cs="Calibri"/>
          <w:sz w:val="20"/>
          <w:lang w:val="en-US"/>
        </w:rPr>
      </w:pPr>
      <w:proofErr w:type="gramStart"/>
      <w:r w:rsidRPr="00CD7D4D">
        <w:rPr>
          <w:rFonts w:ascii="Calibri" w:eastAsia="Calibri" w:hAnsi="Calibri" w:cs="Calibri"/>
          <w:b/>
          <w:sz w:val="20"/>
          <w:lang w:val="en-US"/>
        </w:rPr>
        <w:t>Supplemental Table 2.</w:t>
      </w:r>
      <w:proofErr w:type="gramEnd"/>
      <w:r w:rsidRPr="00CD7D4D">
        <w:rPr>
          <w:rFonts w:ascii="Calibri" w:eastAsia="Calibri" w:hAnsi="Calibri" w:cs="Calibri"/>
          <w:sz w:val="20"/>
          <w:lang w:val="en-US"/>
        </w:rPr>
        <w:t xml:space="preserve"> Adjusted</w:t>
      </w:r>
      <w:r w:rsidRPr="00CD7D4D">
        <w:rPr>
          <w:rFonts w:ascii="Calibri" w:eastAsia="Calibri" w:hAnsi="Calibri" w:cs="Calibri"/>
          <w:sz w:val="20"/>
          <w:vertAlign w:val="superscript"/>
          <w:lang w:val="en-US"/>
        </w:rPr>
        <w:t>*</w:t>
      </w:r>
      <w:r w:rsidRPr="00CD7D4D">
        <w:rPr>
          <w:rFonts w:ascii="Calibri" w:eastAsia="Calibri" w:hAnsi="Calibri" w:cs="Calibri"/>
          <w:sz w:val="20"/>
          <w:lang w:val="en-US"/>
        </w:rPr>
        <w:t xml:space="preserve"> relative risks</w:t>
      </w:r>
      <w:r w:rsidRPr="00CD7D4D">
        <w:rPr>
          <w:rFonts w:ascii="Calibri" w:eastAsia="Calibri" w:hAnsi="Calibri" w:cs="Calibri"/>
          <w:sz w:val="20"/>
          <w:lang w:val="en"/>
        </w:rPr>
        <w:t>†</w:t>
      </w:r>
      <w:r w:rsidRPr="00CD7D4D">
        <w:rPr>
          <w:rFonts w:ascii="Calibri" w:eastAsia="Calibri" w:hAnsi="Calibri" w:cs="Calibri"/>
          <w:sz w:val="20"/>
          <w:lang w:val="en-US"/>
        </w:rPr>
        <w:t xml:space="preserve"> (</w:t>
      </w:r>
      <w:proofErr w:type="spellStart"/>
      <w:r w:rsidRPr="00CD7D4D">
        <w:rPr>
          <w:rFonts w:ascii="Calibri" w:eastAsia="Calibri" w:hAnsi="Calibri" w:cs="Calibri"/>
          <w:sz w:val="20"/>
          <w:lang w:val="en-US"/>
        </w:rPr>
        <w:t>aRR</w:t>
      </w:r>
      <w:proofErr w:type="spellEnd"/>
      <w:r w:rsidRPr="00CD7D4D">
        <w:rPr>
          <w:rFonts w:ascii="Calibri" w:eastAsia="Calibri" w:hAnsi="Calibri" w:cs="Calibri"/>
          <w:sz w:val="20"/>
          <w:lang w:val="en-US"/>
        </w:rPr>
        <w:t>) with 95% confidence intervals (95% CIs) for total birth defects</w:t>
      </w:r>
      <w:r w:rsidRPr="00CD7D4D">
        <w:rPr>
          <w:rFonts w:ascii="Calibri" w:eastAsia="Calibri" w:hAnsi="Calibri" w:cs="Calibri"/>
          <w:sz w:val="20"/>
          <w:vertAlign w:val="superscript"/>
          <w:lang w:val="en"/>
        </w:rPr>
        <w:t>‡</w:t>
      </w:r>
      <w:r w:rsidRPr="00CD7D4D">
        <w:rPr>
          <w:rFonts w:ascii="Calibri" w:eastAsia="Calibri" w:hAnsi="Calibri" w:cs="Calibri"/>
          <w:sz w:val="20"/>
          <w:lang w:val="en-US"/>
        </w:rPr>
        <w:t xml:space="preserve"> by supplement exposure</w:t>
      </w:r>
      <w:r w:rsidRPr="00CD7D4D">
        <w:rPr>
          <w:rFonts w:ascii="Calibri" w:eastAsia="Calibri" w:hAnsi="Calibri" w:cs="Calibri"/>
          <w:sz w:val="20"/>
          <w:vertAlign w:val="superscript"/>
          <w:lang w:val="en"/>
        </w:rPr>
        <w:t>§</w:t>
      </w:r>
      <w:r w:rsidRPr="00CD7D4D">
        <w:rPr>
          <w:rFonts w:ascii="Calibri" w:eastAsia="Calibri" w:hAnsi="Calibri" w:cs="Calibri"/>
          <w:sz w:val="20"/>
        </w:rPr>
        <w:t>,</w:t>
      </w:r>
      <w:r w:rsidRPr="00CD7D4D">
        <w:rPr>
          <w:rFonts w:ascii="Calibri" w:eastAsia="Calibri" w:hAnsi="Calibri" w:cs="Calibri"/>
          <w:sz w:val="20"/>
          <w:lang w:val="en-US"/>
        </w:rPr>
        <w:t xml:space="preserve"> analysis stratified by year of birth, Norway 1999-2013</w:t>
      </w:r>
    </w:p>
    <w:p w:rsidR="002C4D9B" w:rsidRDefault="002C4D9B" w:rsidP="002C4D9B">
      <w:pPr>
        <w:rPr>
          <w:rFonts w:ascii="Calibri" w:eastAsia="Calibri" w:hAnsi="Calibri" w:cs="Calibri"/>
          <w:sz w:val="20"/>
          <w:lang w:val="en-US"/>
        </w:rPr>
      </w:pPr>
    </w:p>
    <w:tbl>
      <w:tblPr>
        <w:tblStyle w:val="Tabellrutenett1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BFBF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267"/>
        <w:gridCol w:w="826"/>
        <w:gridCol w:w="571"/>
        <w:gridCol w:w="1169"/>
        <w:gridCol w:w="1266"/>
        <w:gridCol w:w="826"/>
        <w:gridCol w:w="571"/>
        <w:gridCol w:w="1169"/>
      </w:tblGrid>
      <w:tr w:rsidR="002C4D9B" w:rsidRPr="00CD7D4D" w:rsidTr="00A96485">
        <w:tc>
          <w:tcPr>
            <w:tcW w:w="0" w:type="auto"/>
            <w:tcBorders>
              <w:top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nil"/>
              <w:bottom w:val="single" w:sz="4" w:space="0" w:color="BFBFBF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Time period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BFBFBF"/>
              <w:bottom w:val="single" w:sz="4" w:space="0" w:color="BFBFBF"/>
            </w:tcBorders>
          </w:tcPr>
          <w:p w:rsidR="002C4D9B" w:rsidRPr="001C37BF" w:rsidRDefault="002C4D9B" w:rsidP="00A96485">
            <w:pPr>
              <w:jc w:val="center"/>
              <w:rPr>
                <w:rFonts w:ascii="Calibri" w:eastAsia="Calibri" w:hAnsi="Calibri" w:cs="Calibri"/>
                <w:b/>
                <w:sz w:val="20"/>
                <w:szCs w:val="18"/>
                <w:lang w:val="en-US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  <w:lang w:val="en-US"/>
              </w:rPr>
              <w:t>1999-2005</w:t>
            </w:r>
          </w:p>
        </w:tc>
        <w:tc>
          <w:tcPr>
            <w:tcW w:w="0" w:type="auto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1C37BF" w:rsidRDefault="002C4D9B" w:rsidP="00A96485">
            <w:pPr>
              <w:jc w:val="center"/>
              <w:rPr>
                <w:rFonts w:ascii="Calibri" w:eastAsia="Calibri" w:hAnsi="Calibri" w:cs="Calibri"/>
                <w:b/>
                <w:sz w:val="20"/>
                <w:szCs w:val="18"/>
                <w:lang w:val="en-US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  <w:lang w:val="en-US"/>
              </w:rPr>
              <w:t>2006-2013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BFBFBF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 xml:space="preserve">Supplement </w:t>
            </w: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>use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 xml:space="preserve">Birth </w:t>
            </w: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>defect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>Adjusted RR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 xml:space="preserve">Supplement </w:t>
            </w: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 xml:space="preserve">use 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 xml:space="preserve">Birth </w:t>
            </w: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 xml:space="preserve">defect 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lastRenderedPageBreak/>
              <w:t>Adjusted RR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Birth defect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BFBFBF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No. (%)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No. (%)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proofErr w:type="spellStart"/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aRR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(95% CIs)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No. (%)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No. (%)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proofErr w:type="spellStart"/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aRR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  <w:lang w:val="en-US"/>
              </w:rPr>
              <w:t>(95% CIs)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  <w:vertAlign w:val="superscript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All births</w:t>
            </w:r>
          </w:p>
        </w:tc>
        <w:tc>
          <w:tcPr>
            <w:tcW w:w="0" w:type="auto"/>
            <w:tcBorders>
              <w:top w:val="single" w:sz="4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406,213 (100)</w:t>
            </w:r>
          </w:p>
        </w:tc>
        <w:tc>
          <w:tcPr>
            <w:tcW w:w="0" w:type="auto"/>
            <w:tcBorders>
              <w:top w:val="single" w:sz="4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8,932 (2.20)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488,714 (100)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9,450 (1.93)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4" w:space="0" w:color="BFBFBF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246,499 (60.7)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55,954 (13.8)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103,760 (25.5)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5,329 (2.16)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1,207 (2.16)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2,396 (2.31)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1.00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(0.94 , 1.07)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(1.02 , 1.13) 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139,513 (28.6)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136,997 (28.0)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212,204 (43.2)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2,964 (2.12)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2,533 (1.85)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3,953 (1.86)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0.87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0.88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(0.83 , 0.92)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(0.84 , 0.93)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Nervous system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390 (0.10)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237 (0.10)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64 (0.11)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89 (0.09)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1.20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(0.90 , 1.59)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(0.70 , 1.16)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392 (0.08)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147 (0.11)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99 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146 (0.07)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0.73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0.67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(0.56 , 0.94)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(0.53 , 0.86)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Neural tube defects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159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95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42 (0.04)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1.06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(0.63 , 1.62)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(0.72 , 1.54)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111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47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21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43 (0.02)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0.49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0.62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(0.29 , 0.83)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(0.39 , 0.97)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Eye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124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72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19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33 (0.03)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1.18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(0.71 , 1.96)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(0.71 , 1.67)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109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38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26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45 (0.02)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0.62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0.66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(0.36 , 1.05)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(0.42 , 1.03)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Ear, face and neck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116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71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16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29 (0.03)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1.05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(0.61 , 1.80)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(0.64 , 1.57)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90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28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20 (0.01)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42 (0.02)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0.72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0.98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(0.40 , 1.32)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(0.59 , 1.62)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4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Heart defects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3,593 (0.88)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2,048 (0.83)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508 (0.91)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1,037 (1.00)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1.10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1.23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(1.00 , 1.22)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CD7D4D">
              <w:rPr>
                <w:rFonts w:ascii="Calibri" w:eastAsia="Calibri" w:hAnsi="Calibri" w:cs="Times New Roman"/>
                <w:sz w:val="20"/>
                <w:szCs w:val="18"/>
              </w:rPr>
              <w:t>(1.14 , 1.33)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3,754 (0.77)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1,146 (0.82)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1,055 (0.77)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1,553 (0.73)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0.94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(0.86 , 1.03)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(0.83 , 0.98)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F2F2F2"/>
              <w:bottom w:val="single" w:sz="4" w:space="0" w:color="BFBFBF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 xml:space="preserve">      </w:t>
            </w: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Severe heart defects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 Supplement use during only</w:t>
            </w:r>
          </w:p>
        </w:tc>
        <w:tc>
          <w:tcPr>
            <w:tcW w:w="0" w:type="auto"/>
            <w:tcBorders>
              <w:top w:val="single" w:sz="4" w:space="0" w:color="F2F2F2"/>
              <w:bottom w:val="single" w:sz="4" w:space="0" w:color="BFBFBF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2F2F2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585 (0.14)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380 (0.15)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74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131 (0.13)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0.87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0.83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(0.68 , 1.13)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(0.68 , 1.02)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761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195 (0.14)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226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340 (0.16)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1.15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1.12</w:t>
            </w:r>
          </w:p>
        </w:tc>
        <w:tc>
          <w:tcPr>
            <w:tcW w:w="0" w:type="auto"/>
            <w:tcBorders>
              <w:top w:val="single" w:sz="4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(0.94 , 1.39)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(0.93 , 1.34)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Respiratory system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177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110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26 (0.05)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41 (0.04)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1.07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0.88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(0.70 , 1.64)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(0.62 , 1.26)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286 (0.06)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94 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66 (0.05)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126 (0.06)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0.86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(0.50 , 0.96)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(0.65 , 1.14)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Oral clefts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734 (0.18)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468 (0.19)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80 (0.14)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186 (0.18)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0.78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0.95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(0.61 , 0.99)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(0.80 , 1.13)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822 (0.17)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232 (0.17)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238 (0.17)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352 (0.17)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1.07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(0.88 , 1.29)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(0.84 , 1.19) 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Digestive system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458 (0.11)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297 (0.12)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56 (0.10)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105 (0.10)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0.82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0.84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(0.62 , 1.10)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(0.67 , 1.05)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695 (0.14) 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206 (0.15)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179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310 (0.15)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0.88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(0.71 , 1.09)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(0.84 , 1.21)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Oesophageal atresia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93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61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13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19 (0.02)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0.83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0.66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(0.45 , 1.52)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(0.39 , 1.11)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113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33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31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49 (0.02)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0.94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1.02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(0.54 , 1.63)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(0.62 , 1.67)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Anorectal</w:t>
            </w:r>
            <w:proofErr w:type="spellEnd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atresia and stenosis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89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58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 (0.02)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0.66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0.90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(0.32 , 1.34)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(0.56 , 1.47)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133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40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33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60 (0.03)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0.88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1.06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(0.53 , 1.45)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(0.70 , 1.60)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4" w:space="0" w:color="BFBFBF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    Digestive other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4" w:space="0" w:color="BFBFBF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208 (0.05)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133 </w:t>
            </w: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(0.05)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23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52 (0.05)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0.80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0.98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(0.51 , </w:t>
            </w: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1.25)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(0.71 , 1.35)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331 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103 </w:t>
            </w: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85 (0.06)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143 (0.07)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0.82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0.90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4" w:space="0" w:color="BFBFBF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(0.61 , </w:t>
            </w: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1.09)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(0.69 , 1.17)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lastRenderedPageBreak/>
              <w:t>Abdominal wall defects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153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105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17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31 (0.03)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0.85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0.68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(0.50 , 1.43)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(0.45 , 1.02)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224 (0.05)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83 (0.06)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37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104 (0.05)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0.49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0.74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(0.33 , 0.73)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(0.56 , 1.00)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Gastroschisis</w:t>
            </w:r>
            <w:proofErr w:type="spellEnd"/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92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64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18 (0.02)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0.87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0.64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(0.44 , 1.72)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(0.38 , 1.07)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151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53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27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71 (0.03)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0.59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0.79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(0.37 , 0.95)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(0.55 , 1.12)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Omphalocele</w:t>
            </w:r>
            <w:proofErr w:type="spellEnd"/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54 (0.01)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38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 (0.01)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 (0.01)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0.82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0.56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(0.37 , 1.84)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(0.27 , 1.16)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59 (0.01)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23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 (0.01)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28 (0.01)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0.31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0.68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(0.13 , 0.73)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(0.38 , 1.21)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Urinary system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830 (0.20)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476 (0.19)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129 (0.23)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225 (0.22)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1.21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1.16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(0.99 , 1.48)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(0.99 , 1.36)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1,002 (0.21)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285 (0.20)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290 (0.21)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427 (0.20)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1.00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0.96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(0.84 , 1.19)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(0.83 , 1.13)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Hydronephrosis</w:t>
            </w:r>
            <w:proofErr w:type="spellEnd"/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544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302 (0.12)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85 (0.15)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157 (0.15)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1.25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1.28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(0.98 , 1.60)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(1.05 , 1.56)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644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175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198 (0.14)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271 (0.13)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0.99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(0.90 , 1.38)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(0.81 , 1.21)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Urinary other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297 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180 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46 (0.08)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71 </w:t>
            </w: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(0.07)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1.14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0.96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(0.81 , 1.60)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(0.73 , 1.23)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387 (0.08)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120 (0.09)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101 (0.07)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166 </w:t>
            </w:r>
            <w:r w:rsidRPr="00CD7D4D">
              <w:rPr>
                <w:rFonts w:ascii="Calibri" w:eastAsia="Calibri" w:hAnsi="Calibri" w:cs="Calibri"/>
                <w:sz w:val="20"/>
                <w:szCs w:val="18"/>
              </w:rPr>
              <w:lastRenderedPageBreak/>
              <w:t>(0.08)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0.84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0.92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(0.64 , 1.11)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(0.72 , 1.16)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lastRenderedPageBreak/>
              <w:t>Genital organs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1,116 (0.27)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677 (0.27)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134 (0.24)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305 (0.29)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0.85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1.03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(0.70 , 1.03)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(0.90 , 1.19)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1,183 (0.24)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384 (0.28)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292 (0.21)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507 (0.24)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0.77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0.88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(0.65 , 0.90)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(0.76 , 1.01)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Hypospadias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208,268 (100)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126,472 (60.7)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28,687 (13.8)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53,109 (25.5)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963 (0.46)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586 (0.46)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110 (0.38)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267 (0.50)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1.04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(0.64 , 0.98)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(0.89 , 1.20)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250,816 (100)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71,456 (28.5)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70,188 (28.0)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109,172 (43.5)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1,048 (0.42)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350 (0.49)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256 (0.36)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442 (0.40)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0.74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0.85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(0.63 , 0.88)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(0.73 , 0.98)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Limb (without hip)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1,760 (0.43)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1,113 (0.45)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216 (0.39)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431 (0.42)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0.85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(0.73 , 0.98)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(0.80 , 1.01)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1,649 (0.34)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565 (0.40)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430 (0.31)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654 (0.31)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0.78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0.76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(0.68 , 0.89)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(0.68 , 0.86)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Limb reduction defects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145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93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20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32 (0.03)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0.83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0.73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(0.51 , 1.36)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(0.48 , 1.10)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154 (0.03)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59 (0.04)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31 (0.02)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64 (0.03)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0.56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0.70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(0.35 , 0.90)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(0.48 , 1.03)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    Club foot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talipes</w:t>
            </w:r>
            <w:proofErr w:type="spellEnd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equinovarus</w:t>
            </w:r>
            <w:proofErr w:type="spellEnd"/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636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414 (0.17)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74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148 (0.14)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0.83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(0.61 , 1.01)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(0.68 , 1.00)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595 (0.12)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184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147 (0.11)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264 (0.12)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0.82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0.92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(0.66 , 1.03)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(0.75 , 1.12)</w:t>
            </w:r>
          </w:p>
        </w:tc>
      </w:tr>
      <w:tr w:rsidR="002C4D9B" w:rsidRPr="00CD7D4D" w:rsidTr="00A96485"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1C37BF" w:rsidRDefault="002C4D9B" w:rsidP="00A96485">
            <w:pPr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Polydactyly</w:t>
            </w:r>
            <w:proofErr w:type="spellEnd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and </w:t>
            </w:r>
            <w:proofErr w:type="spellStart"/>
            <w:r w:rsidRPr="001C37BF">
              <w:rPr>
                <w:rFonts w:ascii="Calibri" w:eastAsia="Calibri" w:hAnsi="Calibri" w:cs="Calibri"/>
                <w:b/>
                <w:sz w:val="20"/>
                <w:szCs w:val="18"/>
              </w:rPr>
              <w:t>syndactyly</w:t>
            </w:r>
            <w:proofErr w:type="spellEnd"/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No supplement use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 xml:space="preserve">       Supplement use during only</w:t>
            </w: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670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406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87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177 (0.17)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0.94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1.03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(0.74 , 1.19)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(0.86 , 1.24)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616 (0.13)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220 (0.16)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169 (0.12)</w:t>
            </w:r>
          </w:p>
          <w:p w:rsidR="002C4D9B" w:rsidRPr="00CD7D4D" w:rsidRDefault="002C4D9B" w:rsidP="00A96485">
            <w:pPr>
              <w:jc w:val="right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227 (0.11)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1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0.79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0.71</w:t>
            </w:r>
          </w:p>
        </w:tc>
        <w:tc>
          <w:tcPr>
            <w:tcW w:w="0" w:type="auto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(Reference)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(0.64 , 0.98)</w:t>
            </w:r>
          </w:p>
          <w:p w:rsidR="002C4D9B" w:rsidRPr="00CD7D4D" w:rsidRDefault="002C4D9B" w:rsidP="00A96485">
            <w:pPr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CD7D4D">
              <w:rPr>
                <w:rFonts w:ascii="Calibri" w:eastAsia="Calibri" w:hAnsi="Calibri" w:cs="Calibri"/>
                <w:sz w:val="20"/>
                <w:szCs w:val="18"/>
              </w:rPr>
              <w:t>(0.58 , 0.87)</w:t>
            </w:r>
          </w:p>
        </w:tc>
      </w:tr>
    </w:tbl>
    <w:p w:rsidR="002C4D9B" w:rsidRDefault="002C4D9B" w:rsidP="002C4D9B"/>
    <w:p w:rsidR="002C4D9B" w:rsidRPr="00CD7D4D" w:rsidRDefault="002C4D9B" w:rsidP="002C4D9B">
      <w:pPr>
        <w:spacing w:after="160" w:line="259" w:lineRule="auto"/>
        <w:contextualSpacing/>
        <w:rPr>
          <w:rFonts w:ascii="Calibri" w:eastAsia="Calibri" w:hAnsi="Calibri" w:cs="Times New Roman"/>
          <w:sz w:val="14"/>
          <w:szCs w:val="16"/>
          <w:lang w:val="en-US"/>
        </w:rPr>
      </w:pPr>
      <w:r w:rsidRPr="00CD7D4D">
        <w:rPr>
          <w:rFonts w:ascii="Calibri" w:eastAsia="Calibri" w:hAnsi="Calibri" w:cs="Calibri"/>
          <w:sz w:val="14"/>
          <w:szCs w:val="16"/>
        </w:rPr>
        <w:t>*</w:t>
      </w:r>
      <w:r w:rsidRPr="00CD7D4D">
        <w:rPr>
          <w:rFonts w:ascii="Calibri" w:eastAsia="Calibri" w:hAnsi="Calibri" w:cs="Times New Roman"/>
          <w:sz w:val="14"/>
          <w:szCs w:val="16"/>
          <w:lang w:val="en-US"/>
        </w:rPr>
        <w:t xml:space="preserve">Adjusted for the following: </w:t>
      </w:r>
      <w:r w:rsidRPr="00CD7D4D">
        <w:rPr>
          <w:rFonts w:ascii="Calibri" w:eastAsia="Calibri" w:hAnsi="Calibri" w:cs="Calibri"/>
          <w:sz w:val="14"/>
          <w:szCs w:val="16"/>
        </w:rPr>
        <w:t xml:space="preserve">maternal age, marital status, parity, maternal smoking habits at the beginning of pregnancy, </w:t>
      </w:r>
      <w:proofErr w:type="spellStart"/>
      <w:r w:rsidRPr="00CD7D4D">
        <w:rPr>
          <w:rFonts w:ascii="Calibri" w:eastAsia="Calibri" w:hAnsi="Calibri" w:cs="Calibri"/>
          <w:sz w:val="14"/>
          <w:szCs w:val="16"/>
        </w:rPr>
        <w:t>pregestational</w:t>
      </w:r>
      <w:proofErr w:type="spellEnd"/>
      <w:r w:rsidRPr="00CD7D4D">
        <w:rPr>
          <w:rFonts w:ascii="Calibri" w:eastAsia="Calibri" w:hAnsi="Calibri" w:cs="Calibri"/>
          <w:sz w:val="14"/>
          <w:szCs w:val="16"/>
        </w:rPr>
        <w:t xml:space="preserve"> diabetes and maternal epilepsy</w:t>
      </w:r>
    </w:p>
    <w:p w:rsidR="002C4D9B" w:rsidRPr="00CD7D4D" w:rsidRDefault="002C4D9B" w:rsidP="002C4D9B">
      <w:pPr>
        <w:spacing w:after="160" w:line="259" w:lineRule="auto"/>
        <w:contextualSpacing/>
        <w:rPr>
          <w:rFonts w:ascii="Calibri" w:eastAsia="Calibri" w:hAnsi="Calibri" w:cs="Times New Roman"/>
          <w:sz w:val="14"/>
          <w:szCs w:val="16"/>
          <w:lang w:val="en-US"/>
        </w:rPr>
      </w:pPr>
      <w:r w:rsidRPr="00CD7D4D">
        <w:rPr>
          <w:rFonts w:ascii="Calibri" w:eastAsia="Calibri" w:hAnsi="Calibri" w:cs="Times New Roman"/>
          <w:sz w:val="14"/>
          <w:szCs w:val="16"/>
          <w:lang w:val="en"/>
        </w:rPr>
        <w:lastRenderedPageBreak/>
        <w:t>†</w:t>
      </w:r>
      <w:r w:rsidRPr="00CD7D4D">
        <w:rPr>
          <w:rFonts w:ascii="Calibri" w:eastAsia="Calibri" w:hAnsi="Calibri" w:cs="Times New Roman"/>
          <w:sz w:val="14"/>
          <w:szCs w:val="16"/>
          <w:lang w:val="en-US"/>
        </w:rPr>
        <w:t>Relative risks compared to infants of supplement non-users (reference group), relative risk calculated as the ratio of birth prevalence in the exposed group and the birth prevalence in the unexposed group</w:t>
      </w:r>
    </w:p>
    <w:p w:rsidR="002C4D9B" w:rsidRPr="00CD7D4D" w:rsidRDefault="002C4D9B" w:rsidP="002C4D9B">
      <w:pPr>
        <w:spacing w:after="160" w:line="240" w:lineRule="auto"/>
        <w:contextualSpacing/>
        <w:rPr>
          <w:rFonts w:ascii="Calibri" w:eastAsia="Calibri" w:hAnsi="Calibri" w:cs="Calibri"/>
          <w:sz w:val="14"/>
          <w:szCs w:val="16"/>
        </w:rPr>
      </w:pPr>
      <w:r w:rsidRPr="00CD7D4D">
        <w:rPr>
          <w:rFonts w:ascii="Calibri" w:eastAsia="Calibri" w:hAnsi="Calibri" w:cs="Times New Roman"/>
          <w:sz w:val="14"/>
          <w:szCs w:val="16"/>
          <w:lang w:val="en"/>
        </w:rPr>
        <w:t>‡</w:t>
      </w:r>
      <w:r w:rsidRPr="00CD7D4D">
        <w:rPr>
          <w:rFonts w:ascii="Calibri" w:eastAsia="Calibri" w:hAnsi="Calibri" w:cs="Calibri"/>
          <w:sz w:val="14"/>
          <w:szCs w:val="16"/>
        </w:rPr>
        <w:t xml:space="preserve"> </w:t>
      </w:r>
      <w:r w:rsidRPr="00CD7D4D">
        <w:rPr>
          <w:rFonts w:ascii="Calibri" w:eastAsia="Calibri" w:hAnsi="Calibri" w:cs="Calibri"/>
          <w:sz w:val="14"/>
          <w:szCs w:val="16"/>
          <w:lang w:val="en-US"/>
        </w:rPr>
        <w:t xml:space="preserve">Shown for </w:t>
      </w:r>
      <w:r w:rsidRPr="00CD7D4D">
        <w:rPr>
          <w:rFonts w:ascii="Calibri" w:eastAsia="Calibri" w:hAnsi="Calibri" w:cs="Calibri"/>
          <w:sz w:val="14"/>
          <w:szCs w:val="16"/>
        </w:rPr>
        <w:t>11 organ-specific birth defect groups with additional subgroups, based on EUROCAT definitions (</w:t>
      </w:r>
      <w:r w:rsidRPr="00CD7D4D">
        <w:rPr>
          <w:rFonts w:ascii="Calibri" w:eastAsia="Calibri" w:hAnsi="Calibri" w:cs="Times New Roman"/>
          <w:sz w:val="14"/>
          <w:szCs w:val="16"/>
          <w:lang w:val="en-US"/>
        </w:rPr>
        <w:t xml:space="preserve">EUROCAT: </w:t>
      </w:r>
      <w:r w:rsidRPr="00CD7D4D">
        <w:rPr>
          <w:rFonts w:ascii="Calibri" w:eastAsia="Calibri" w:hAnsi="Calibri" w:cs="Calibri"/>
          <w:sz w:val="14"/>
          <w:szCs w:val="16"/>
        </w:rPr>
        <w:t>European Surveillance of Congenital Anomalies</w:t>
      </w:r>
      <w:r w:rsidRPr="00CD7D4D">
        <w:rPr>
          <w:rFonts w:ascii="Calibri" w:eastAsia="Calibri" w:hAnsi="Calibri" w:cs="Times New Roman"/>
          <w:sz w:val="14"/>
          <w:szCs w:val="16"/>
          <w:lang w:val="en-US"/>
        </w:rPr>
        <w:t xml:space="preserve"> </w:t>
      </w:r>
      <w:hyperlink r:id="rId7" w:history="1">
        <w:r w:rsidRPr="00CD7D4D">
          <w:rPr>
            <w:rFonts w:ascii="Calibri" w:eastAsia="Calibri" w:hAnsi="Calibri" w:cs="Times New Roman"/>
            <w:color w:val="0563C1"/>
            <w:sz w:val="14"/>
            <w:szCs w:val="16"/>
            <w:u w:val="single"/>
            <w:lang w:val="en-US"/>
          </w:rPr>
          <w:t>https://eu-rd-platform.jrc.ec.europa.eu/sites/default/files/appendices.pdf</w:t>
        </w:r>
      </w:hyperlink>
      <w:r w:rsidRPr="00CD7D4D">
        <w:rPr>
          <w:rFonts w:ascii="Calibri" w:eastAsia="Calibri" w:hAnsi="Calibri" w:cs="Times New Roman"/>
          <w:sz w:val="14"/>
          <w:szCs w:val="16"/>
          <w:lang w:val="en-US"/>
        </w:rPr>
        <w:t xml:space="preserve"> )</w:t>
      </w:r>
      <w:r w:rsidRPr="00CD7D4D">
        <w:rPr>
          <w:rFonts w:ascii="Calibri" w:eastAsia="Calibri" w:hAnsi="Calibri" w:cs="Times New Roman"/>
          <w:sz w:val="14"/>
          <w:szCs w:val="16"/>
        </w:rPr>
        <w:fldChar w:fldCharType="begin"/>
      </w:r>
      <w:r w:rsidRPr="00CD7D4D">
        <w:rPr>
          <w:rFonts w:ascii="Calibri" w:eastAsia="Calibri" w:hAnsi="Calibri" w:cs="Times New Roman"/>
          <w:sz w:val="14"/>
          <w:szCs w:val="16"/>
        </w:rPr>
        <w:instrText>https://eu-rd-platform.jrc.ec.europa.eu/sites/default/files/Section%203.3-%2027_Oct2016.pdf "</w:instrText>
      </w:r>
      <w:r w:rsidRPr="00CD7D4D">
        <w:rPr>
          <w:rFonts w:ascii="Calibri" w:eastAsia="Calibri" w:hAnsi="Calibri" w:cs="Times New Roman"/>
          <w:sz w:val="14"/>
          <w:szCs w:val="16"/>
        </w:rPr>
        <w:fldChar w:fldCharType="separate"/>
      </w:r>
      <w:r w:rsidRPr="00CD7D4D">
        <w:rPr>
          <w:rFonts w:ascii="Calibri" w:eastAsia="Calibri" w:hAnsi="Calibri" w:cs="Times New Roman"/>
          <w:color w:val="0563C1"/>
          <w:sz w:val="14"/>
          <w:szCs w:val="16"/>
          <w:u w:val="single"/>
          <w:lang w:val="en-US"/>
        </w:rPr>
        <w:t>https://eu-rd-platform.jrc.ec.europa.eu/sites/default/files/Section%203.3-%2027_Oct2016.pdf</w:t>
      </w:r>
      <w:r w:rsidRPr="00CD7D4D">
        <w:rPr>
          <w:rFonts w:ascii="Calibri" w:eastAsia="Calibri" w:hAnsi="Calibri" w:cs="Times New Roman"/>
          <w:color w:val="0563C1"/>
          <w:sz w:val="14"/>
          <w:szCs w:val="16"/>
          <w:u w:val="single"/>
          <w:lang w:val="en-US"/>
        </w:rPr>
        <w:fldChar w:fldCharType="end"/>
      </w:r>
    </w:p>
    <w:p w:rsidR="002C4D9B" w:rsidRPr="00CD7D4D" w:rsidRDefault="002C4D9B" w:rsidP="002C4D9B">
      <w:pPr>
        <w:spacing w:after="160" w:line="240" w:lineRule="auto"/>
        <w:contextualSpacing/>
        <w:rPr>
          <w:rFonts w:ascii="Calibri" w:eastAsia="Calibri" w:hAnsi="Calibri" w:cs="Calibri"/>
          <w:sz w:val="14"/>
          <w:szCs w:val="16"/>
        </w:rPr>
      </w:pPr>
      <w:r w:rsidRPr="00CD7D4D">
        <w:rPr>
          <w:rFonts w:ascii="Calibri" w:eastAsia="Calibri" w:hAnsi="Calibri" w:cs="Times New Roman"/>
          <w:sz w:val="14"/>
          <w:szCs w:val="16"/>
          <w:lang w:val="en"/>
        </w:rPr>
        <w:t>§</w:t>
      </w:r>
      <w:r w:rsidRPr="00CD7D4D">
        <w:rPr>
          <w:rFonts w:ascii="Calibri" w:eastAsia="Calibri" w:hAnsi="Calibri" w:cs="Calibri"/>
          <w:sz w:val="14"/>
          <w:szCs w:val="16"/>
        </w:rPr>
        <w:t xml:space="preserve"> Folic acid and/or multivitamins before and during pregnancy, or during pregnancy only</w:t>
      </w:r>
    </w:p>
    <w:p w:rsidR="002C4D9B" w:rsidRDefault="002C4D9B" w:rsidP="002C4D9B"/>
    <w:p w:rsidR="002C4D9B" w:rsidRDefault="002C4D9B" w:rsidP="002C4D9B"/>
    <w:p w:rsidR="002C4D9B" w:rsidRDefault="002C4D9B" w:rsidP="002C4D9B">
      <w:pPr>
        <w:rPr>
          <w:rFonts w:ascii="Calibri" w:eastAsia="Calibri" w:hAnsi="Calibri" w:cs="Times New Roman"/>
          <w:sz w:val="20"/>
          <w:lang w:val="en-US"/>
        </w:rPr>
      </w:pPr>
      <w:proofErr w:type="gramStart"/>
      <w:r w:rsidRPr="00CD7D4D">
        <w:rPr>
          <w:rFonts w:ascii="Calibri" w:eastAsia="Calibri" w:hAnsi="Calibri" w:cs="Times New Roman"/>
          <w:b/>
          <w:sz w:val="20"/>
          <w:lang w:val="en-US"/>
        </w:rPr>
        <w:t>Supplemental Table 3.</w:t>
      </w:r>
      <w:proofErr w:type="gramEnd"/>
      <w:r w:rsidRPr="00CD7D4D">
        <w:rPr>
          <w:rFonts w:ascii="Calibri" w:eastAsia="Calibri" w:hAnsi="Calibri" w:cs="Times New Roman"/>
          <w:sz w:val="20"/>
          <w:lang w:val="en-US"/>
        </w:rPr>
        <w:t xml:space="preserve"> Unadjusted and adjusted</w:t>
      </w:r>
      <w:r w:rsidRPr="00CD7D4D">
        <w:rPr>
          <w:rFonts w:ascii="Calibri" w:eastAsia="Calibri" w:hAnsi="Calibri" w:cs="Times New Roman"/>
          <w:sz w:val="20"/>
          <w:vertAlign w:val="superscript"/>
          <w:lang w:val="en-US"/>
        </w:rPr>
        <w:t>*</w:t>
      </w:r>
      <w:r w:rsidRPr="00CD7D4D">
        <w:rPr>
          <w:rFonts w:ascii="Calibri" w:eastAsia="Calibri" w:hAnsi="Calibri" w:cs="Times New Roman"/>
          <w:sz w:val="20"/>
          <w:lang w:val="en-US"/>
        </w:rPr>
        <w:t xml:space="preserve"> relative risks</w:t>
      </w:r>
      <w:r w:rsidRPr="00CD7D4D">
        <w:rPr>
          <w:rFonts w:ascii="Calibri" w:eastAsia="Calibri" w:hAnsi="Calibri" w:cs="Times New Roman"/>
          <w:sz w:val="20"/>
          <w:lang w:val="en"/>
        </w:rPr>
        <w:t>†</w:t>
      </w:r>
      <w:r w:rsidRPr="00CD7D4D">
        <w:rPr>
          <w:rFonts w:ascii="Calibri" w:eastAsia="Calibri" w:hAnsi="Calibri" w:cs="Times New Roman"/>
          <w:sz w:val="20"/>
          <w:lang w:val="en-US"/>
        </w:rPr>
        <w:t xml:space="preserve"> (RRs) with 95% confidence intervals (95% CIs) for birth defects</w:t>
      </w:r>
      <w:r w:rsidRPr="00CD7D4D">
        <w:rPr>
          <w:rFonts w:ascii="Calibri" w:eastAsia="Calibri" w:hAnsi="Calibri" w:cs="Times New Roman"/>
          <w:sz w:val="20"/>
          <w:vertAlign w:val="superscript"/>
          <w:lang w:val="en"/>
        </w:rPr>
        <w:t>‡</w:t>
      </w:r>
      <w:r w:rsidRPr="00CD7D4D">
        <w:rPr>
          <w:rFonts w:ascii="Calibri" w:eastAsia="Calibri" w:hAnsi="Calibri" w:cs="Times New Roman"/>
          <w:sz w:val="20"/>
          <w:lang w:val="en-US"/>
        </w:rPr>
        <w:t xml:space="preserve"> </w:t>
      </w:r>
      <w:r w:rsidRPr="00CD7D4D">
        <w:rPr>
          <w:rFonts w:ascii="Calibri" w:eastAsia="Calibri" w:hAnsi="Calibri" w:cs="Times New Roman"/>
          <w:sz w:val="20"/>
        </w:rPr>
        <w:t>among 857,141 singleton live births (birth defects, n=17,074) and 5,859 singleton stillbirths (birth defects, n=245)</w:t>
      </w:r>
      <w:r w:rsidRPr="00CD7D4D">
        <w:rPr>
          <w:rFonts w:ascii="Calibri" w:eastAsia="Calibri" w:hAnsi="Calibri" w:cs="Times New Roman"/>
          <w:sz w:val="20"/>
          <w:lang w:val="en-US"/>
        </w:rPr>
        <w:t xml:space="preserve"> by vitamin supplement exposure</w:t>
      </w:r>
      <w:r w:rsidRPr="00CD7D4D">
        <w:rPr>
          <w:rFonts w:ascii="Calibri" w:eastAsia="Calibri" w:hAnsi="Calibri" w:cs="Times New Roman"/>
          <w:sz w:val="20"/>
          <w:vertAlign w:val="superscript"/>
          <w:lang w:val="en"/>
        </w:rPr>
        <w:t>§</w:t>
      </w:r>
      <w:r w:rsidRPr="00CD7D4D">
        <w:rPr>
          <w:rFonts w:ascii="Calibri" w:eastAsia="Calibri" w:hAnsi="Calibri" w:cs="Times New Roman"/>
          <w:sz w:val="20"/>
          <w:lang w:val="en-US"/>
        </w:rPr>
        <w:t xml:space="preserve">. Shown for </w:t>
      </w:r>
      <w:r w:rsidRPr="00CD7D4D">
        <w:rPr>
          <w:rFonts w:ascii="Calibri" w:eastAsia="Calibri" w:hAnsi="Calibri" w:cs="Times New Roman"/>
          <w:sz w:val="20"/>
        </w:rPr>
        <w:t>11 organ specific birth defect groups with additional subgroups, based on EUROCAT</w:t>
      </w:r>
      <w:r w:rsidRPr="00CD7D4D">
        <w:rPr>
          <w:rFonts w:ascii="Calibri" w:eastAsia="Calibri" w:hAnsi="Calibri" w:cs="Times New Roman"/>
          <w:sz w:val="20"/>
          <w:vertAlign w:val="superscript"/>
          <w:lang w:val="en"/>
        </w:rPr>
        <w:t>||</w:t>
      </w:r>
      <w:r w:rsidRPr="00CD7D4D">
        <w:rPr>
          <w:rFonts w:ascii="Calibri" w:eastAsia="Calibri" w:hAnsi="Calibri" w:cs="Times New Roman"/>
          <w:sz w:val="20"/>
        </w:rPr>
        <w:t xml:space="preserve"> definitions,</w:t>
      </w:r>
      <w:r w:rsidRPr="00CD7D4D">
        <w:rPr>
          <w:rFonts w:ascii="Calibri" w:eastAsia="Calibri" w:hAnsi="Calibri" w:cs="Times New Roman"/>
          <w:sz w:val="20"/>
          <w:lang w:val="en-US"/>
        </w:rPr>
        <w:t xml:space="preserve"> Norway 1999-2013</w:t>
      </w:r>
    </w:p>
    <w:p w:rsidR="002C4D9B" w:rsidRDefault="002C4D9B" w:rsidP="002C4D9B">
      <w:pPr>
        <w:rPr>
          <w:rFonts w:ascii="Calibri" w:eastAsia="Calibri" w:hAnsi="Calibri" w:cs="Times New Roman"/>
          <w:sz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52"/>
        <w:gridCol w:w="1004"/>
        <w:gridCol w:w="828"/>
        <w:gridCol w:w="979"/>
        <w:gridCol w:w="222"/>
        <w:gridCol w:w="981"/>
        <w:gridCol w:w="224"/>
        <w:gridCol w:w="843"/>
        <w:gridCol w:w="979"/>
        <w:gridCol w:w="222"/>
        <w:gridCol w:w="981"/>
        <w:gridCol w:w="161"/>
      </w:tblGrid>
      <w:tr w:rsidR="002C4D9B" w:rsidRPr="00C15AC0" w:rsidTr="002C4D9B">
        <w:tc>
          <w:tcPr>
            <w:tcW w:w="1124" w:type="pct"/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4" w:type="pct"/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89" w:type="pct"/>
            <w:gridSpan w:val="5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Total birth defects in singletons</w:t>
            </w:r>
          </w:p>
        </w:tc>
        <w:tc>
          <w:tcPr>
            <w:tcW w:w="1664" w:type="pct"/>
            <w:gridSpan w:val="5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Isolated birth defects in singletons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Relative Risk (95% CI)</w:t>
            </w:r>
          </w:p>
        </w:tc>
        <w:tc>
          <w:tcPr>
            <w:tcW w:w="116" w:type="pc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Relative Risk (95 % CI)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Birth defects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Supplement use</w:t>
            </w:r>
          </w:p>
        </w:tc>
        <w:tc>
          <w:tcPr>
            <w:tcW w:w="524" w:type="pct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Supplement use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No. (%)</w:t>
            </w:r>
          </w:p>
        </w:tc>
        <w:tc>
          <w:tcPr>
            <w:tcW w:w="433" w:type="pct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Birth defects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No. (%)</w:t>
            </w:r>
          </w:p>
        </w:tc>
        <w:tc>
          <w:tcPr>
            <w:tcW w:w="511" w:type="pct"/>
            <w:tcBorders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Unadjusted</w:t>
            </w:r>
          </w:p>
        </w:tc>
        <w:tc>
          <w:tcPr>
            <w:tcW w:w="116" w:type="pct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5E63AC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Adjusted</w:t>
            </w:r>
          </w:p>
        </w:tc>
        <w:tc>
          <w:tcPr>
            <w:tcW w:w="116" w:type="pct"/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Birth defects 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No. (%)</w:t>
            </w:r>
          </w:p>
        </w:tc>
        <w:tc>
          <w:tcPr>
            <w:tcW w:w="511" w:type="pct"/>
            <w:tcBorders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Unadjusted</w:t>
            </w:r>
          </w:p>
        </w:tc>
        <w:tc>
          <w:tcPr>
            <w:tcW w:w="116" w:type="pct"/>
            <w:tcBorders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Adjusted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All singleton births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863,000 (100)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373,012 (43.2)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184,789 (21.4)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305,199 (35.4)</w:t>
            </w: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17,319 (2.01)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7,861 (2.11)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3,491 (1.89)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5,967 (1.96)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0.89 (0.86-0.93)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0.92 (0.89-0.95)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0.94 (0.90-0.98)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0.97 (0.94-1.01)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16,407 (1.90)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7,439 (1.99)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3,303 (1.79)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5,665 (1.86)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0.88 (0.85-0.92)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0.92 (0.89-0.95)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0.95 (0.91-0.99)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(0.94-1.02)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Nervous system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693 (0.08)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341 (0.09)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138 (0.07)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214 (0.07)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(0.67-1.02)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0.76 (0.64-0.91)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(0.70-1.08)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0.80 (0.67-0.97)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531 (0.06)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260 (0.07)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105 (0.06)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166 (0.05)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0.79 (0.63-1.00)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0.76 (0.62-0.93)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(0.68-1.12)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(0.66-1.02)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Neural tube defects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239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123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36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80 (0.03)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0.59 (0.40-0.85)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0.78 (0.59-1.04)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0.71 (0.47-1.07)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0.91 (0.66-1.27)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194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93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30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71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0.60 (0.39-0.93)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0.88 (0.64-1.22)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0.80 (0.51-1.26)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1.12 (0.78-1.59)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Eye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216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104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71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0.80 (0.56-1.15)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(0.61-1.13)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0.90 (0.61-1.33)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0.91 (0.65-1.26)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160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80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49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0.80 (0.53-1.22)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0.74 (0.51-1.06)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1.00 (0.64-1.56)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0.89 (0.59-1.32)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Ear, face and neck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201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99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34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68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0.70 (0.47-1.03)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(0.62-1.16)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0.84 (0.55-1.27)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(0.70-1.38)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153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77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23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53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0.62 (0.39-0.99)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(0.59-1.19)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0.74 (0.45-1.23)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1.03 (0.70-1.51)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Heart defects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6,825 </w:t>
            </w: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(0.79)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2,991 (0.80)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1,434 (0.78)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2,400 (0.79)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0.96 (0.90-1.03)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(0.92-1.03)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1.05 (0.98-1.12)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1.06 (1.00-1.12)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6,346 </w:t>
            </w: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(0.74)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2,792 (0.75)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1,323 (0.72)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2,231 (0.73)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0.93 (0.87-1.00)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0.97 (0.91-1.02)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1.05 (0.98-1.12)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1.07 (1.00-1.13)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 xml:space="preserve">     Severe heart defects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1,264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545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280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439 (0.14)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1.03 (0.89-1.19)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(0.86-1.11)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1.03 (0.89-1.20)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0.97 (0.85-1.11)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1,119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481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248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390 (0.13)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0.96 (0.82-1.13)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0.95 (0.83-1.09)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1.06 (0.90-1.24)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(0.86-1.14)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Respiratory system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433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195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86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152 (0.05)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0.90 (0.70-1.16)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0.96 (0.77-1.18)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0.78 (0.60-1.02)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(0.68-1.06)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293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126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64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103 (0.03)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1.08 (0.79-1.47)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1.02 (0.78-1.34)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0.97 (0.71-1.34)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0.95 (0.72-1.24)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Oral clefts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1,491 (0.17)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675 (0.18)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301 (0.16)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515 (0.17)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0.90 (0.78-1.03)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0.93 (0.83-1.05)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0.93 (0.80-1.07)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0.95 (0.84-1.07)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1,336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595 (0.16)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279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462 (0.15)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0.94 (0.81-1.10)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0.96 (0.85-1.09)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(0.85-1.15)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0.97 (0.86-1.11)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Digestive system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1,092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480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223 (0.12)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389 (0.13)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0.93 (0.79-1.09)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(0.87-1.14)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(0.72-1.01)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0.92 (0.80-1.06)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808 (0.09)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350 (0.09)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164 (0.09)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294 (0.10)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0.95 (0.78-1.14)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(0.84-1.16)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(0.70-1.04)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0.96 (0.82-1.13)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Oesophageal atresia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190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88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61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0.92 (0.63-1.34)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(0.61-1.18)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(0.58-1.31)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(0.58-1.15)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126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57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32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37 (0.01)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1.15 (0.74-1.79)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0.78 (0.51-1.20)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1.00 (0.62-1.63)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0.74 (0.49-1.13)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Anorectal</w:t>
            </w:r>
            <w:proofErr w:type="spellEnd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atresia and stenosis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206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94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71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0.88 (0.61-1.27)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0.92 (0.68-1.26)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(0.55-1.20)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(0.63-1.21)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128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23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44 (0.01)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0.74 (0.45-1.22)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0.86 (0.58-1.28)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0.73 (0.43-1.23)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0.86 (0.57-1.30)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Digestive other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516 (0.06)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224 (0.06)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104 (0.06)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188 (0.06)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0.94 (0.74-1.19)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1.03 (0.85-1.25)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(0.67-1.09)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0.95 (0.77-1.17)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413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178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80 (0.04)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155 (0.05)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0.92 (0.70-1.20)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1.03 (0.83-1.29)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(0.63-1.08)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(0.79-1.25)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Abdominal wall defects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357 (0.04)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178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49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130 (0.04)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0.55 (0.40-0.75)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0.89 (0.71-1.12)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0.55 (0.39-0.78)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0.76 (0.60-0.96)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300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146 (0.04)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40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114 (0.04)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0.55 (0.38-0.79)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(0.76-1.26)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0.54 (0.37-0.78)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0.79 (0.61-1.02)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Gastroschisis</w:t>
            </w:r>
            <w:proofErr w:type="spellEnd"/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239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116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35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88 (0.03)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0.59 (0.40-0.86)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0.93 (0.70-1.23)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0.61 (0.40-0.91)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0.74 (0.56-0.99)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216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103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82 (0.03)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0.59 (0.39-0.88)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0.97 (0.72-1.31)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0.61 (0.40-0.94)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0.79 (0.59-1.06)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Omphalocele</w:t>
            </w:r>
            <w:proofErr w:type="spellEnd"/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101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54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13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34 (0.01)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0.48 (0.26-0.88)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0.76 (0.49-1.17)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0.46 (0.24-0.89)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0.71 (0.45-1.11)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73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38 (0.01)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 (0.00)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26 (0.01)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0.50 (0.24-1.04)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(0.53-1.45)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0.41 (0.18-0.90)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0.70 (0.41-1.17)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Urinary system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1,749 (0.20)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725 (0.19)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394 (0.21)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630 (0.21)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1.09 (0.96-1.23)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1.06 (0.95-1.18)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1.12 (0.98-1.27)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1.09 (0.97-1.23)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1,494 (0.17)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611 (0.16)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332 (0.18)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551 (0.18)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1.09 (0.95-1.25)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1.10 (0.98-1.23)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1.14 (0.99-1.32)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1.16 (1.02-1.32)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Hydronephrosis</w:t>
            </w:r>
            <w:proofErr w:type="spellEnd"/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1,143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462 (0.12)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265 (0.14)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416 (0.14)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1.15 (0.99-1.34)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1.10 (0.96-1.25)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1.19 (1.01-1.41)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1.15 (0.99-1.33)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1,050 (0.12)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426 (0.11)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242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382 (0.13)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1.14 (0.97-1.33)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1.09 (0.95-1.25)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1.21 (1.02-1.43)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1.16 (1.00-1.35)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Urinary other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      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606 (0.07)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263 (0.07)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129 (0.07)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214 (0.07)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(0.80-1.22)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(0.82-1.19)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(0.78-1.23)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1.00 (0.82-1.21)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444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185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90 (0.05)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169 (0.06)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0.98 (0.76-1.26)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1.11 (0.90-1.37)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0.99 (0.75-1.31)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1.16 (0.92-1.45)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Genital organs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2,174 (0.25)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1,007 (0.27)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409 (0.22)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758 (0.25)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(0.73-0.92)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0.91 (0.83-1.00)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(0.74-0.94)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0.93 (0.84-1.03)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2,167 (0.25)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1,038 (0.28)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394 (0.21)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735 (0.24)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0.76 (0.68-0.85)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0.86 (0.78-0.94)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0.78 (0.69-0.89)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0.89 (0.80-0.99)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Hypospadias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442,877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191,332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94,733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156,812</w:t>
            </w: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1,892 (0.43)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885 (0.46)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350 (0.37)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657 (0.42)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0.79 (0.70-0.90)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0.90 (0.81-1.00)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0.80 (0.70-0.91)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0.91 (0.81-1.01)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1,753 (0.40)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829 (0.43)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315 (0.33)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609 (0.39)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0.76 (0.67-0.87)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0.89 (0.80-0.99)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0.77 (0.67-0.89)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0.90 (0.81-1.01)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Limb (without hip)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3,252 (0.38)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1,608 (0.43)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618 (0.33)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1,026 (0.34)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0.77 (0.70-0.85)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0.77 (0.71-0.83)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(0.75-0.91)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(0.75-0.89)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2,994 (0.35)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1,471 (0.39)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577 (0.31)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946 (0.31)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0.78 (0.71-0.86)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0.77 (0.71-0.84)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0.85 (0.77-0.94)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(0.76-0.91)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Limb reduction defects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280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145 (0.04)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49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86 (0.03)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0.68 (0.49-0.94)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0.71 (0.54-0.93)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0.68 (0.47-0.97)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0.70 (0.52-0.93)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231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120 (0.03)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41 (0.02)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70 (0.02)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0.71 (0.48-1.05)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0.70 (0.51-0.98)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0.68 (0.46-1.00)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0.69 (0.50-0.95)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Club foot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talipes</w:t>
            </w:r>
            <w:proofErr w:type="spellEnd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equinovarus</w:t>
            </w:r>
            <w:proofErr w:type="spellEnd"/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1,177 (0.14)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576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212 (0.11)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389 (0.13)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0.74 (0.63-0.87)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(0.72-0.94)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0.81 (0.69-0.96)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(0.75-0.99)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1,096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534 (0.14)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201 (0.11)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361 (0.12)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0.75 (0.64-0.88)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0.81 (0.71-0.93)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(0.70-0.99)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0.86 (0.75-1.00)</w:t>
            </w:r>
          </w:p>
        </w:tc>
      </w:tr>
      <w:tr w:rsidR="002C4D9B" w:rsidRPr="00CD7D4D" w:rsidTr="002C4D9B">
        <w:trPr>
          <w:gridAfter w:val="1"/>
          <w:wAfter w:w="84" w:type="pct"/>
        </w:trPr>
        <w:tc>
          <w:tcPr>
            <w:tcW w:w="11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Polydactyly</w:t>
            </w:r>
            <w:proofErr w:type="spellEnd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and </w:t>
            </w:r>
            <w:proofErr w:type="spellStart"/>
            <w:r w:rsidRPr="00CD7D4D">
              <w:rPr>
                <w:rFonts w:ascii="Calibri" w:eastAsia="Calibri" w:hAnsi="Calibri" w:cs="Calibri"/>
                <w:b/>
                <w:sz w:val="16"/>
                <w:szCs w:val="16"/>
              </w:rPr>
              <w:t>syndactyly</w:t>
            </w:r>
            <w:proofErr w:type="spellEnd"/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No supplement use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before and during</w:t>
            </w:r>
          </w:p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 xml:space="preserve">       Supplement use only during</w:t>
            </w:r>
          </w:p>
        </w:tc>
        <w:tc>
          <w:tcPr>
            <w:tcW w:w="524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1,243 (0.14)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605 (0.16)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246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392 (0.13)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0.82 (0.70-0.95)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0.79 (0.69-0.90)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0.88 (0.75-1.04)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0.86 (0.75-0.99)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1,153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558 (0.15)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231 (0.13)</w:t>
            </w:r>
          </w:p>
          <w:p w:rsidR="002C4D9B" w:rsidRPr="00CD7D4D" w:rsidRDefault="002C4D9B" w:rsidP="00A96485">
            <w:pPr>
              <w:spacing w:after="0" w:line="259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364 (0.12)</w:t>
            </w:r>
          </w:p>
        </w:tc>
        <w:tc>
          <w:tcPr>
            <w:tcW w:w="511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0.83 (0.71-0.97)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0.79 (0.69-0.91)</w:t>
            </w:r>
          </w:p>
        </w:tc>
        <w:tc>
          <w:tcPr>
            <w:tcW w:w="116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6A6A6"/>
              <w:bottom w:val="single" w:sz="4" w:space="0" w:color="A6A6A6"/>
            </w:tcBorders>
          </w:tcPr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1 (Reference)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0.91 (0.77-1.07)</w:t>
            </w:r>
          </w:p>
          <w:p w:rsidR="002C4D9B" w:rsidRPr="00CD7D4D" w:rsidRDefault="002C4D9B" w:rsidP="00A96485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D7D4D">
              <w:rPr>
                <w:rFonts w:ascii="Calibri" w:eastAsia="Calibri" w:hAnsi="Calibri" w:cs="Calibri"/>
                <w:sz w:val="16"/>
                <w:szCs w:val="16"/>
              </w:rPr>
              <w:t>0.87 (0.75-1.01)</w:t>
            </w:r>
          </w:p>
        </w:tc>
      </w:tr>
    </w:tbl>
    <w:p w:rsidR="002C4D9B" w:rsidRPr="00CD7D4D" w:rsidRDefault="002C4D9B" w:rsidP="002C4D9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lang w:val="en-US"/>
        </w:rPr>
      </w:pPr>
      <w:r w:rsidRPr="00CD7D4D">
        <w:rPr>
          <w:rFonts w:ascii="Calibri" w:eastAsia="Calibri" w:hAnsi="Calibri" w:cs="Times New Roman"/>
          <w:sz w:val="16"/>
        </w:rPr>
        <w:t>*</w:t>
      </w:r>
      <w:r w:rsidRPr="00CD7D4D">
        <w:rPr>
          <w:rFonts w:ascii="Calibri" w:eastAsia="Calibri" w:hAnsi="Calibri" w:cs="Times New Roman"/>
          <w:sz w:val="16"/>
          <w:lang w:val="en-US"/>
        </w:rPr>
        <w:t xml:space="preserve">Adjusted for the following: year of birth, </w:t>
      </w:r>
      <w:r w:rsidRPr="00CD7D4D">
        <w:rPr>
          <w:rFonts w:ascii="Calibri" w:eastAsia="Calibri" w:hAnsi="Calibri" w:cs="Times New Roman"/>
          <w:sz w:val="16"/>
        </w:rPr>
        <w:t xml:space="preserve">maternal age, marital status, parity, maternal smoking habits at the beginning of pregnancy, </w:t>
      </w:r>
      <w:proofErr w:type="spellStart"/>
      <w:r w:rsidRPr="00CD7D4D">
        <w:rPr>
          <w:rFonts w:ascii="Calibri" w:eastAsia="Calibri" w:hAnsi="Calibri" w:cs="Times New Roman"/>
          <w:sz w:val="16"/>
        </w:rPr>
        <w:t>pregestational</w:t>
      </w:r>
      <w:proofErr w:type="spellEnd"/>
      <w:r w:rsidRPr="00CD7D4D">
        <w:rPr>
          <w:rFonts w:ascii="Calibri" w:eastAsia="Calibri" w:hAnsi="Calibri" w:cs="Times New Roman"/>
          <w:sz w:val="16"/>
        </w:rPr>
        <w:t xml:space="preserve"> diabetes and maternal epilepsy</w:t>
      </w:r>
    </w:p>
    <w:p w:rsidR="002C4D9B" w:rsidRPr="00CD7D4D" w:rsidRDefault="002C4D9B" w:rsidP="002C4D9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lang w:val="en-US"/>
        </w:rPr>
      </w:pPr>
      <w:r w:rsidRPr="00CD7D4D">
        <w:rPr>
          <w:rFonts w:ascii="Calibri" w:eastAsia="Calibri" w:hAnsi="Calibri" w:cs="Times New Roman"/>
          <w:sz w:val="16"/>
          <w:lang w:val="en"/>
        </w:rPr>
        <w:t>†</w:t>
      </w:r>
      <w:r w:rsidRPr="00CD7D4D">
        <w:rPr>
          <w:rFonts w:ascii="Calibri" w:eastAsia="Calibri" w:hAnsi="Calibri" w:cs="Times New Roman"/>
          <w:sz w:val="16"/>
          <w:lang w:val="en-US"/>
        </w:rPr>
        <w:t xml:space="preserve">Relative risks compared to infants of supplement non-users (Reference group), relative risk calculated as the ratio of birth prevalence in the exposed group and the birth prevalence in the unexposed group, </w:t>
      </w:r>
    </w:p>
    <w:p w:rsidR="002C4D9B" w:rsidRPr="00CD7D4D" w:rsidRDefault="002C4D9B" w:rsidP="002C4D9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</w:rPr>
      </w:pPr>
      <w:r w:rsidRPr="00CD7D4D">
        <w:rPr>
          <w:rFonts w:ascii="Calibri" w:eastAsia="Calibri" w:hAnsi="Calibri" w:cs="Times New Roman"/>
          <w:sz w:val="16"/>
          <w:lang w:val="en"/>
        </w:rPr>
        <w:t>‡</w:t>
      </w:r>
      <w:r w:rsidRPr="00CD7D4D">
        <w:rPr>
          <w:rFonts w:ascii="Calibri" w:eastAsia="Calibri" w:hAnsi="Calibri" w:cs="Times New Roman"/>
          <w:sz w:val="16"/>
        </w:rPr>
        <w:t>Cases with one or more birth defect(s) within the same organ specific group and no other organ affected, were classified as isolated</w:t>
      </w:r>
    </w:p>
    <w:p w:rsidR="002C4D9B" w:rsidRPr="00CD7D4D" w:rsidRDefault="002C4D9B" w:rsidP="002C4D9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lang w:val="en-US"/>
        </w:rPr>
      </w:pPr>
      <w:r w:rsidRPr="00CD7D4D">
        <w:rPr>
          <w:rFonts w:ascii="Calibri" w:eastAsia="Calibri" w:hAnsi="Calibri" w:cs="Times New Roman"/>
          <w:sz w:val="16"/>
          <w:lang w:val="en"/>
        </w:rPr>
        <w:t>§</w:t>
      </w:r>
      <w:r w:rsidRPr="00CD7D4D">
        <w:rPr>
          <w:rFonts w:ascii="Calibri" w:eastAsia="Calibri" w:hAnsi="Calibri" w:cs="Times New Roman"/>
          <w:sz w:val="16"/>
        </w:rPr>
        <w:t>Vitamin supplement use: Folic acid and/or multivitamins before and during pregnancy (including 1.1% of the infants where mothers only used vitamins before pregnancy), and during pregnancy only</w:t>
      </w:r>
    </w:p>
    <w:p w:rsidR="002C4D9B" w:rsidRPr="00CD7D4D" w:rsidRDefault="002C4D9B" w:rsidP="002C4D9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lang w:val="en-US"/>
        </w:rPr>
      </w:pPr>
      <w:r w:rsidRPr="00CD7D4D">
        <w:rPr>
          <w:rFonts w:ascii="Calibri" w:eastAsia="Calibri" w:hAnsi="Calibri" w:cs="Times New Roman"/>
          <w:sz w:val="16"/>
          <w:lang w:val="en"/>
        </w:rPr>
        <w:t>||</w:t>
      </w:r>
      <w:r w:rsidRPr="00CD7D4D">
        <w:rPr>
          <w:rFonts w:ascii="Calibri" w:eastAsia="Calibri" w:hAnsi="Calibri" w:cs="Times New Roman"/>
          <w:sz w:val="16"/>
          <w:lang w:val="en-US"/>
        </w:rPr>
        <w:t xml:space="preserve">EUROCAT: </w:t>
      </w:r>
      <w:r w:rsidRPr="00CD7D4D">
        <w:rPr>
          <w:rFonts w:ascii="Calibri" w:eastAsia="Calibri" w:hAnsi="Calibri" w:cs="Times New Roman"/>
          <w:sz w:val="16"/>
        </w:rPr>
        <w:t>European Surveillance of Congenital Anomalies</w:t>
      </w:r>
      <w:r w:rsidRPr="00CD7D4D">
        <w:rPr>
          <w:rFonts w:ascii="Calibri" w:eastAsia="Calibri" w:hAnsi="Calibri" w:cs="Times New Roman"/>
          <w:sz w:val="16"/>
          <w:lang w:val="en-US"/>
        </w:rPr>
        <w:t xml:space="preserve"> </w:t>
      </w:r>
      <w:hyperlink r:id="rId8" w:history="1">
        <w:r w:rsidRPr="00CD7D4D">
          <w:rPr>
            <w:rFonts w:ascii="Calibri" w:eastAsia="Calibri" w:hAnsi="Calibri" w:cs="Times New Roman"/>
            <w:color w:val="0563C1"/>
            <w:sz w:val="16"/>
            <w:u w:val="single"/>
            <w:lang w:val="en-US"/>
          </w:rPr>
          <w:t>https://eu-rd-platform.jrc.ec.europa.eu/sites/default/files/appendices.pdf</w:t>
        </w:r>
      </w:hyperlink>
      <w:r w:rsidRPr="00CD7D4D">
        <w:rPr>
          <w:rFonts w:ascii="Calibri" w:eastAsia="Calibri" w:hAnsi="Calibri" w:cs="Times New Roman"/>
          <w:sz w:val="16"/>
          <w:lang w:val="en-US"/>
        </w:rPr>
        <w:t>)</w:t>
      </w:r>
    </w:p>
    <w:p w:rsidR="002C4D9B" w:rsidRDefault="002C4D9B" w:rsidP="002C4D9B">
      <w:bookmarkStart w:id="0" w:name="_GoBack"/>
      <w:bookmarkEnd w:id="0"/>
    </w:p>
    <w:sectPr w:rsidR="002C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C85"/>
    <w:multiLevelType w:val="hybridMultilevel"/>
    <w:tmpl w:val="52B07E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3821"/>
    <w:multiLevelType w:val="hybridMultilevel"/>
    <w:tmpl w:val="4C9E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91A"/>
    <w:multiLevelType w:val="hybridMultilevel"/>
    <w:tmpl w:val="3564B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77D"/>
    <w:multiLevelType w:val="hybridMultilevel"/>
    <w:tmpl w:val="AAF067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E3F11"/>
    <w:multiLevelType w:val="multilevel"/>
    <w:tmpl w:val="71787006"/>
    <w:lvl w:ilvl="0">
      <w:start w:val="1"/>
      <w:numFmt w:val="decimal"/>
      <w:lvlText w:val="(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26874333"/>
    <w:multiLevelType w:val="hybridMultilevel"/>
    <w:tmpl w:val="5164E3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DDC"/>
    <w:multiLevelType w:val="hybridMultilevel"/>
    <w:tmpl w:val="63869DCC"/>
    <w:lvl w:ilvl="0" w:tplc="4A285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329C"/>
    <w:multiLevelType w:val="hybridMultilevel"/>
    <w:tmpl w:val="92F09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31056"/>
    <w:multiLevelType w:val="hybridMultilevel"/>
    <w:tmpl w:val="2C82C4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77232"/>
    <w:multiLevelType w:val="hybridMultilevel"/>
    <w:tmpl w:val="941EE3F6"/>
    <w:lvl w:ilvl="0" w:tplc="63B45B1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34D7C"/>
    <w:multiLevelType w:val="hybridMultilevel"/>
    <w:tmpl w:val="A770EAF0"/>
    <w:lvl w:ilvl="0" w:tplc="FAFE7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F09A7"/>
    <w:multiLevelType w:val="hybridMultilevel"/>
    <w:tmpl w:val="FBA825D2"/>
    <w:lvl w:ilvl="0" w:tplc="AE06871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750EE"/>
    <w:multiLevelType w:val="hybridMultilevel"/>
    <w:tmpl w:val="E6D2BF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77C35"/>
    <w:multiLevelType w:val="hybridMultilevel"/>
    <w:tmpl w:val="84624AC4"/>
    <w:lvl w:ilvl="0" w:tplc="C54C94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lang w:val="nb-N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84C91"/>
    <w:multiLevelType w:val="hybridMultilevel"/>
    <w:tmpl w:val="70004F24"/>
    <w:lvl w:ilvl="0" w:tplc="0CD45C5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A83E15"/>
    <w:multiLevelType w:val="hybridMultilevel"/>
    <w:tmpl w:val="8AEE658A"/>
    <w:lvl w:ilvl="0" w:tplc="C1321390">
      <w:start w:val="1"/>
      <w:numFmt w:val="lowerLetter"/>
      <w:lvlText w:val="%1)"/>
      <w:lvlJc w:val="left"/>
      <w:pPr>
        <w:ind w:left="720" w:hanging="360"/>
      </w:pPr>
      <w:rPr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9B"/>
    <w:rsid w:val="00060536"/>
    <w:rsid w:val="002C4D9B"/>
    <w:rsid w:val="003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D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3">
    <w:name w:val="Tabellrutenett13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4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D9B"/>
    <w:rPr>
      <w:rFonts w:asciiTheme="majorHAnsi" w:eastAsiaTheme="majorEastAsia" w:hAnsiTheme="majorHAnsi" w:cstheme="majorBidi"/>
      <w:i/>
      <w:iCs/>
      <w:color w:val="365F91" w:themeColor="accent1" w:themeShade="BF"/>
      <w:lang w:val="nb-NO"/>
    </w:rPr>
  </w:style>
  <w:style w:type="character" w:styleId="Hyperlink">
    <w:name w:val="Hyperlink"/>
    <w:basedOn w:val="DefaultParagraphFont"/>
    <w:uiPriority w:val="99"/>
    <w:unhideWhenUsed/>
    <w:rsid w:val="002C4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9B"/>
    <w:pPr>
      <w:spacing w:after="0" w:line="240" w:lineRule="auto"/>
    </w:pPr>
    <w:rPr>
      <w:rFonts w:ascii="Tahoma" w:hAnsi="Tahoma" w:cs="Tahoma"/>
      <w:sz w:val="16"/>
      <w:szCs w:val="16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9B"/>
    <w:rPr>
      <w:rFonts w:ascii="Tahoma" w:hAnsi="Tahoma" w:cs="Tahoma"/>
      <w:sz w:val="16"/>
      <w:szCs w:val="16"/>
      <w:lang w:val="nb-NO"/>
    </w:rPr>
  </w:style>
  <w:style w:type="paragraph" w:styleId="NoSpacing">
    <w:name w:val="No Spacing"/>
    <w:uiPriority w:val="1"/>
    <w:qFormat/>
    <w:rsid w:val="002C4D9B"/>
    <w:pPr>
      <w:spacing w:after="0" w:line="240" w:lineRule="auto"/>
    </w:pPr>
    <w:rPr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D9B"/>
    <w:pPr>
      <w:spacing w:line="240" w:lineRule="auto"/>
    </w:pPr>
    <w:rPr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D9B"/>
    <w:rPr>
      <w:b/>
      <w:bCs/>
      <w:sz w:val="20"/>
      <w:szCs w:val="20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2C4D9B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2C4D9B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2C4D9B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2C4D9B"/>
    <w:rPr>
      <w:lang w:val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2C4D9B"/>
    <w:rPr>
      <w:color w:val="800080" w:themeColor="followedHyperlink"/>
      <w:u w:val="single"/>
    </w:rPr>
  </w:style>
  <w:style w:type="character" w:customStyle="1" w:styleId="paragraph">
    <w:name w:val="paragraph"/>
    <w:basedOn w:val="DefaultParagraphFont"/>
    <w:rsid w:val="002C4D9B"/>
  </w:style>
  <w:style w:type="character" w:customStyle="1" w:styleId="pubmedlink">
    <w:name w:val="pubmedlink"/>
    <w:basedOn w:val="DefaultParagraphFont"/>
    <w:rsid w:val="002C4D9B"/>
  </w:style>
  <w:style w:type="character" w:customStyle="1" w:styleId="crossrefdoi">
    <w:name w:val="crossrefdoi"/>
    <w:basedOn w:val="DefaultParagraphFont"/>
    <w:rsid w:val="002C4D9B"/>
  </w:style>
  <w:style w:type="character" w:customStyle="1" w:styleId="highlight">
    <w:name w:val="highlight"/>
    <w:basedOn w:val="DefaultParagraphFont"/>
    <w:rsid w:val="002C4D9B"/>
  </w:style>
  <w:style w:type="paragraph" w:customStyle="1" w:styleId="EndNoteBibliographyTitle">
    <w:name w:val="EndNote Bibliography Title"/>
    <w:basedOn w:val="Normal"/>
    <w:link w:val="EndNoteBibliographyTitleChar"/>
    <w:rsid w:val="002C4D9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C4D9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C4D9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C4D9B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2C4D9B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unhideWhenUsed/>
    <w:rsid w:val="002C4D9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nb-NO" w:eastAsia="nb-NO"/>
    </w:rPr>
  </w:style>
  <w:style w:type="character" w:styleId="PageNumber">
    <w:name w:val="page number"/>
    <w:basedOn w:val="DefaultParagraphFont"/>
    <w:uiPriority w:val="99"/>
    <w:semiHidden/>
    <w:unhideWhenUsed/>
    <w:rsid w:val="002C4D9B"/>
  </w:style>
  <w:style w:type="paragraph" w:styleId="EndnoteText">
    <w:name w:val="endnote text"/>
    <w:basedOn w:val="Normal"/>
    <w:link w:val="EndnoteTextChar"/>
    <w:uiPriority w:val="99"/>
    <w:semiHidden/>
    <w:unhideWhenUsed/>
    <w:rsid w:val="002C4D9B"/>
    <w:pPr>
      <w:spacing w:after="0" w:line="240" w:lineRule="auto"/>
    </w:pPr>
    <w:rPr>
      <w:sz w:val="20"/>
      <w:szCs w:val="20"/>
      <w:lang w:val="nb-N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D9B"/>
    <w:rPr>
      <w:sz w:val="20"/>
      <w:szCs w:val="20"/>
      <w:lang w:val="nb-NO"/>
    </w:rPr>
  </w:style>
  <w:style w:type="character" w:styleId="EndnoteReference">
    <w:name w:val="endnote reference"/>
    <w:basedOn w:val="DefaultParagraphFont"/>
    <w:uiPriority w:val="99"/>
    <w:semiHidden/>
    <w:unhideWhenUsed/>
    <w:rsid w:val="002C4D9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4D9B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C4D9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current-selection">
    <w:name w:val="current-selection"/>
    <w:basedOn w:val="DefaultParagraphFont"/>
    <w:rsid w:val="002C4D9B"/>
  </w:style>
  <w:style w:type="character" w:customStyle="1" w:styleId="a">
    <w:name w:val="_"/>
    <w:basedOn w:val="DefaultParagraphFont"/>
    <w:rsid w:val="002C4D9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D9B"/>
    <w:rPr>
      <w:rFonts w:ascii="Courier New" w:eastAsia="Times New Roman" w:hAnsi="Courier New" w:cs="Courier New"/>
      <w:sz w:val="20"/>
      <w:szCs w:val="20"/>
      <w:lang w:val="en-GB" w:eastAsia="nb-NO"/>
    </w:rPr>
  </w:style>
  <w:style w:type="character" w:styleId="LineNumber">
    <w:name w:val="line number"/>
    <w:basedOn w:val="DefaultParagraphFont"/>
    <w:uiPriority w:val="99"/>
    <w:semiHidden/>
    <w:unhideWhenUsed/>
    <w:rsid w:val="002C4D9B"/>
  </w:style>
  <w:style w:type="table" w:customStyle="1" w:styleId="Tabellrutenett1">
    <w:name w:val="Tabellrutenett1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C4D9B"/>
    <w:pPr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4D9B"/>
    <w:rPr>
      <w:rFonts w:ascii="Times New Roman" w:eastAsia="Calibri" w:hAnsi="Times New Roman" w:cs="Times New Roman"/>
      <w:sz w:val="24"/>
      <w:lang w:val="en-GB"/>
    </w:rPr>
  </w:style>
  <w:style w:type="paragraph" w:customStyle="1" w:styleId="Default">
    <w:name w:val="Default"/>
    <w:rsid w:val="002C4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Tabellrutenett11">
    <w:name w:val="Tabellrutenett11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2">
    <w:name w:val="Tabellrutenett12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">
    <w:name w:val="Ingen liste1"/>
    <w:next w:val="NoList"/>
    <w:uiPriority w:val="99"/>
    <w:semiHidden/>
    <w:unhideWhenUsed/>
    <w:rsid w:val="002C4D9B"/>
  </w:style>
  <w:style w:type="numbering" w:customStyle="1" w:styleId="Ingenliste2">
    <w:name w:val="Ingen liste2"/>
    <w:next w:val="NoList"/>
    <w:uiPriority w:val="99"/>
    <w:semiHidden/>
    <w:unhideWhenUsed/>
    <w:rsid w:val="002C4D9B"/>
  </w:style>
  <w:style w:type="table" w:customStyle="1" w:styleId="Tabellrutenett2">
    <w:name w:val="Tabellrutenett2"/>
    <w:basedOn w:val="TableNormal"/>
    <w:next w:val="TableGrid"/>
    <w:uiPriority w:val="3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1">
    <w:name w:val="Ingen liste11"/>
    <w:next w:val="NoList"/>
    <w:uiPriority w:val="99"/>
    <w:semiHidden/>
    <w:unhideWhenUsed/>
    <w:rsid w:val="002C4D9B"/>
  </w:style>
  <w:style w:type="numbering" w:customStyle="1" w:styleId="Ingenliste3">
    <w:name w:val="Ingen liste3"/>
    <w:next w:val="NoList"/>
    <w:uiPriority w:val="99"/>
    <w:semiHidden/>
    <w:unhideWhenUsed/>
    <w:rsid w:val="002C4D9B"/>
  </w:style>
  <w:style w:type="table" w:customStyle="1" w:styleId="Tabellrutenett3">
    <w:name w:val="Tabellrutenett3"/>
    <w:basedOn w:val="TableNormal"/>
    <w:next w:val="TableGrid"/>
    <w:uiPriority w:val="3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4">
    <w:name w:val="Tabellrutenett14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2">
    <w:name w:val="Ingen liste12"/>
    <w:next w:val="NoList"/>
    <w:uiPriority w:val="99"/>
    <w:semiHidden/>
    <w:unhideWhenUsed/>
    <w:rsid w:val="002C4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D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3">
    <w:name w:val="Tabellrutenett13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4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D9B"/>
    <w:rPr>
      <w:rFonts w:asciiTheme="majorHAnsi" w:eastAsiaTheme="majorEastAsia" w:hAnsiTheme="majorHAnsi" w:cstheme="majorBidi"/>
      <w:i/>
      <w:iCs/>
      <w:color w:val="365F91" w:themeColor="accent1" w:themeShade="BF"/>
      <w:lang w:val="nb-NO"/>
    </w:rPr>
  </w:style>
  <w:style w:type="character" w:styleId="Hyperlink">
    <w:name w:val="Hyperlink"/>
    <w:basedOn w:val="DefaultParagraphFont"/>
    <w:uiPriority w:val="99"/>
    <w:unhideWhenUsed/>
    <w:rsid w:val="002C4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9B"/>
    <w:pPr>
      <w:spacing w:after="0" w:line="240" w:lineRule="auto"/>
    </w:pPr>
    <w:rPr>
      <w:rFonts w:ascii="Tahoma" w:hAnsi="Tahoma" w:cs="Tahoma"/>
      <w:sz w:val="16"/>
      <w:szCs w:val="16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9B"/>
    <w:rPr>
      <w:rFonts w:ascii="Tahoma" w:hAnsi="Tahoma" w:cs="Tahoma"/>
      <w:sz w:val="16"/>
      <w:szCs w:val="16"/>
      <w:lang w:val="nb-NO"/>
    </w:rPr>
  </w:style>
  <w:style w:type="paragraph" w:styleId="NoSpacing">
    <w:name w:val="No Spacing"/>
    <w:uiPriority w:val="1"/>
    <w:qFormat/>
    <w:rsid w:val="002C4D9B"/>
    <w:pPr>
      <w:spacing w:after="0" w:line="240" w:lineRule="auto"/>
    </w:pPr>
    <w:rPr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D9B"/>
    <w:pPr>
      <w:spacing w:line="240" w:lineRule="auto"/>
    </w:pPr>
    <w:rPr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D9B"/>
    <w:rPr>
      <w:b/>
      <w:bCs/>
      <w:sz w:val="20"/>
      <w:szCs w:val="20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2C4D9B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2C4D9B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2C4D9B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2C4D9B"/>
    <w:rPr>
      <w:lang w:val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2C4D9B"/>
    <w:rPr>
      <w:color w:val="800080" w:themeColor="followedHyperlink"/>
      <w:u w:val="single"/>
    </w:rPr>
  </w:style>
  <w:style w:type="character" w:customStyle="1" w:styleId="paragraph">
    <w:name w:val="paragraph"/>
    <w:basedOn w:val="DefaultParagraphFont"/>
    <w:rsid w:val="002C4D9B"/>
  </w:style>
  <w:style w:type="character" w:customStyle="1" w:styleId="pubmedlink">
    <w:name w:val="pubmedlink"/>
    <w:basedOn w:val="DefaultParagraphFont"/>
    <w:rsid w:val="002C4D9B"/>
  </w:style>
  <w:style w:type="character" w:customStyle="1" w:styleId="crossrefdoi">
    <w:name w:val="crossrefdoi"/>
    <w:basedOn w:val="DefaultParagraphFont"/>
    <w:rsid w:val="002C4D9B"/>
  </w:style>
  <w:style w:type="character" w:customStyle="1" w:styleId="highlight">
    <w:name w:val="highlight"/>
    <w:basedOn w:val="DefaultParagraphFont"/>
    <w:rsid w:val="002C4D9B"/>
  </w:style>
  <w:style w:type="paragraph" w:customStyle="1" w:styleId="EndNoteBibliographyTitle">
    <w:name w:val="EndNote Bibliography Title"/>
    <w:basedOn w:val="Normal"/>
    <w:link w:val="EndNoteBibliographyTitleChar"/>
    <w:rsid w:val="002C4D9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C4D9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C4D9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C4D9B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2C4D9B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unhideWhenUsed/>
    <w:rsid w:val="002C4D9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nb-NO" w:eastAsia="nb-NO"/>
    </w:rPr>
  </w:style>
  <w:style w:type="character" w:styleId="PageNumber">
    <w:name w:val="page number"/>
    <w:basedOn w:val="DefaultParagraphFont"/>
    <w:uiPriority w:val="99"/>
    <w:semiHidden/>
    <w:unhideWhenUsed/>
    <w:rsid w:val="002C4D9B"/>
  </w:style>
  <w:style w:type="paragraph" w:styleId="EndnoteText">
    <w:name w:val="endnote text"/>
    <w:basedOn w:val="Normal"/>
    <w:link w:val="EndnoteTextChar"/>
    <w:uiPriority w:val="99"/>
    <w:semiHidden/>
    <w:unhideWhenUsed/>
    <w:rsid w:val="002C4D9B"/>
    <w:pPr>
      <w:spacing w:after="0" w:line="240" w:lineRule="auto"/>
    </w:pPr>
    <w:rPr>
      <w:sz w:val="20"/>
      <w:szCs w:val="20"/>
      <w:lang w:val="nb-N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D9B"/>
    <w:rPr>
      <w:sz w:val="20"/>
      <w:szCs w:val="20"/>
      <w:lang w:val="nb-NO"/>
    </w:rPr>
  </w:style>
  <w:style w:type="character" w:styleId="EndnoteReference">
    <w:name w:val="endnote reference"/>
    <w:basedOn w:val="DefaultParagraphFont"/>
    <w:uiPriority w:val="99"/>
    <w:semiHidden/>
    <w:unhideWhenUsed/>
    <w:rsid w:val="002C4D9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4D9B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C4D9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current-selection">
    <w:name w:val="current-selection"/>
    <w:basedOn w:val="DefaultParagraphFont"/>
    <w:rsid w:val="002C4D9B"/>
  </w:style>
  <w:style w:type="character" w:customStyle="1" w:styleId="a">
    <w:name w:val="_"/>
    <w:basedOn w:val="DefaultParagraphFont"/>
    <w:rsid w:val="002C4D9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D9B"/>
    <w:rPr>
      <w:rFonts w:ascii="Courier New" w:eastAsia="Times New Roman" w:hAnsi="Courier New" w:cs="Courier New"/>
      <w:sz w:val="20"/>
      <w:szCs w:val="20"/>
      <w:lang w:val="en-GB" w:eastAsia="nb-NO"/>
    </w:rPr>
  </w:style>
  <w:style w:type="character" w:styleId="LineNumber">
    <w:name w:val="line number"/>
    <w:basedOn w:val="DefaultParagraphFont"/>
    <w:uiPriority w:val="99"/>
    <w:semiHidden/>
    <w:unhideWhenUsed/>
    <w:rsid w:val="002C4D9B"/>
  </w:style>
  <w:style w:type="table" w:customStyle="1" w:styleId="Tabellrutenett1">
    <w:name w:val="Tabellrutenett1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C4D9B"/>
    <w:pPr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4D9B"/>
    <w:rPr>
      <w:rFonts w:ascii="Times New Roman" w:eastAsia="Calibri" w:hAnsi="Times New Roman" w:cs="Times New Roman"/>
      <w:sz w:val="24"/>
      <w:lang w:val="en-GB"/>
    </w:rPr>
  </w:style>
  <w:style w:type="paragraph" w:customStyle="1" w:styleId="Default">
    <w:name w:val="Default"/>
    <w:rsid w:val="002C4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Tabellrutenett11">
    <w:name w:val="Tabellrutenett11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2">
    <w:name w:val="Tabellrutenett12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">
    <w:name w:val="Ingen liste1"/>
    <w:next w:val="NoList"/>
    <w:uiPriority w:val="99"/>
    <w:semiHidden/>
    <w:unhideWhenUsed/>
    <w:rsid w:val="002C4D9B"/>
  </w:style>
  <w:style w:type="numbering" w:customStyle="1" w:styleId="Ingenliste2">
    <w:name w:val="Ingen liste2"/>
    <w:next w:val="NoList"/>
    <w:uiPriority w:val="99"/>
    <w:semiHidden/>
    <w:unhideWhenUsed/>
    <w:rsid w:val="002C4D9B"/>
  </w:style>
  <w:style w:type="table" w:customStyle="1" w:styleId="Tabellrutenett2">
    <w:name w:val="Tabellrutenett2"/>
    <w:basedOn w:val="TableNormal"/>
    <w:next w:val="TableGrid"/>
    <w:uiPriority w:val="3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1">
    <w:name w:val="Ingen liste11"/>
    <w:next w:val="NoList"/>
    <w:uiPriority w:val="99"/>
    <w:semiHidden/>
    <w:unhideWhenUsed/>
    <w:rsid w:val="002C4D9B"/>
  </w:style>
  <w:style w:type="numbering" w:customStyle="1" w:styleId="Ingenliste3">
    <w:name w:val="Ingen liste3"/>
    <w:next w:val="NoList"/>
    <w:uiPriority w:val="99"/>
    <w:semiHidden/>
    <w:unhideWhenUsed/>
    <w:rsid w:val="002C4D9B"/>
  </w:style>
  <w:style w:type="table" w:customStyle="1" w:styleId="Tabellrutenett3">
    <w:name w:val="Tabellrutenett3"/>
    <w:basedOn w:val="TableNormal"/>
    <w:next w:val="TableGrid"/>
    <w:uiPriority w:val="3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4">
    <w:name w:val="Tabellrutenett14"/>
    <w:basedOn w:val="TableNormal"/>
    <w:next w:val="TableGrid"/>
    <w:uiPriority w:val="59"/>
    <w:rsid w:val="002C4D9B"/>
    <w:pPr>
      <w:spacing w:after="0" w:line="240" w:lineRule="auto"/>
    </w:pPr>
    <w:rPr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2">
    <w:name w:val="Ingen liste12"/>
    <w:next w:val="NoList"/>
    <w:uiPriority w:val="99"/>
    <w:semiHidden/>
    <w:unhideWhenUsed/>
    <w:rsid w:val="002C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rd-platform.jrc.ec.europa.eu/sites/default/files/appendic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-rd-platform.jrc.ec.europa.eu/sites/default/files/appendi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-rd-platform.jrc.ec.europa.eu/sites/default/files/Section%203.3-%2027_Oct2016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3549</Words>
  <Characters>20230</Characters>
  <Application>Microsoft Office Word</Application>
  <DocSecurity>0</DocSecurity>
  <Lines>168</Lines>
  <Paragraphs>47</Paragraphs>
  <ScaleCrop>false</ScaleCrop>
  <Company/>
  <LinksUpToDate>false</LinksUpToDate>
  <CharactersWithSpaces>23732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</cp:revision>
  <dcterms:created xsi:type="dcterms:W3CDTF">2020-04-03T13:54:00Z</dcterms:created>
  <dcterms:modified xsi:type="dcterms:W3CDTF">2020-04-03T13:59:00Z</dcterms:modified>
</cp:coreProperties>
</file>