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6E081" w14:textId="7373CE24" w:rsidR="00301934" w:rsidRPr="00FC5014" w:rsidRDefault="001E7BD3" w:rsidP="00301934">
      <w:pPr>
        <w:ind w:left="567" w:right="567"/>
        <w:jc w:val="center"/>
        <w:rPr>
          <w:rFonts w:ascii="Times New Roman" w:hAnsi="Times New Roman" w:cs="Times New Roman"/>
          <w:b/>
          <w:bCs/>
          <w:sz w:val="24"/>
          <w:szCs w:val="24"/>
        </w:rPr>
      </w:pPr>
      <w:r w:rsidRPr="001E7BD3">
        <w:rPr>
          <w:rFonts w:ascii="Times New Roman" w:hAnsi="Times New Roman" w:cs="Times New Roman"/>
          <w:b/>
          <w:bCs/>
          <w:sz w:val="24"/>
          <w:szCs w:val="24"/>
        </w:rPr>
        <w:t>Foods, nutrient intakes, and Mediterranean dietary pattern in midlife are not associated with reaction times: a longitudinal analysis of the UK Women’s Cohort Study</w:t>
      </w:r>
    </w:p>
    <w:p w14:paraId="706F7466" w14:textId="77777777" w:rsidR="00301934" w:rsidRPr="00FC5014" w:rsidRDefault="00301934" w:rsidP="00301934">
      <w:pPr>
        <w:ind w:left="567" w:right="567"/>
        <w:jc w:val="center"/>
        <w:rPr>
          <w:rFonts w:ascii="Times New Roman" w:hAnsi="Times New Roman" w:cs="Times New Roman"/>
          <w:sz w:val="20"/>
          <w:szCs w:val="20"/>
        </w:rPr>
      </w:pPr>
      <w:r w:rsidRPr="00FC5014">
        <w:rPr>
          <w:rFonts w:ascii="Times New Roman" w:hAnsi="Times New Roman" w:cs="Times New Roman"/>
          <w:sz w:val="20"/>
          <w:szCs w:val="20"/>
        </w:rPr>
        <w:t>Huifeng Zhang</w:t>
      </w:r>
      <w:r w:rsidRPr="00FC5014">
        <w:rPr>
          <w:rFonts w:ascii="Times New Roman" w:hAnsi="Times New Roman" w:cs="Times New Roman"/>
          <w:sz w:val="20"/>
          <w:szCs w:val="20"/>
          <w:vertAlign w:val="superscript"/>
        </w:rPr>
        <w:t>1</w:t>
      </w:r>
      <w:r w:rsidRPr="00FC5014">
        <w:rPr>
          <w:rFonts w:ascii="Times New Roman" w:hAnsi="Times New Roman" w:cs="Times New Roman"/>
          <w:sz w:val="20"/>
          <w:szCs w:val="20"/>
        </w:rPr>
        <w:t>, Laura Hardie</w:t>
      </w:r>
      <w:r w:rsidRPr="00FC5014">
        <w:rPr>
          <w:rFonts w:ascii="Times New Roman" w:hAnsi="Times New Roman" w:cs="Times New Roman"/>
          <w:sz w:val="20"/>
          <w:szCs w:val="20"/>
          <w:vertAlign w:val="superscript"/>
        </w:rPr>
        <w:t>2</w:t>
      </w:r>
      <w:r w:rsidRPr="00FC5014">
        <w:rPr>
          <w:rFonts w:ascii="Times New Roman" w:hAnsi="Times New Roman" w:cs="Times New Roman"/>
          <w:sz w:val="20"/>
          <w:szCs w:val="20"/>
        </w:rPr>
        <w:t>, Janet Cade</w:t>
      </w:r>
      <w:r w:rsidRPr="00FC5014">
        <w:rPr>
          <w:rFonts w:ascii="Times New Roman" w:hAnsi="Times New Roman" w:cs="Times New Roman"/>
          <w:sz w:val="20"/>
          <w:szCs w:val="20"/>
          <w:vertAlign w:val="superscript"/>
        </w:rPr>
        <w:t>3</w:t>
      </w:r>
      <w:r w:rsidRPr="00FC5014">
        <w:rPr>
          <w:rFonts w:ascii="Times New Roman" w:hAnsi="Times New Roman" w:cs="Times New Roman"/>
          <w:sz w:val="20"/>
          <w:szCs w:val="20"/>
        </w:rPr>
        <w:t xml:space="preserve"> </w:t>
      </w:r>
    </w:p>
    <w:p w14:paraId="7ED16E74" w14:textId="45FA85B3" w:rsidR="00301934" w:rsidRPr="00FC5014" w:rsidRDefault="00301934" w:rsidP="00301934">
      <w:pPr>
        <w:rPr>
          <w:rFonts w:ascii="Times New Roman" w:hAnsi="Times New Roman" w:cs="Times New Roman"/>
          <w:color w:val="000000"/>
          <w:sz w:val="20"/>
          <w:szCs w:val="20"/>
          <w:shd w:val="clear" w:color="auto" w:fill="FFFFFF"/>
        </w:rPr>
      </w:pPr>
      <w:r w:rsidRPr="00FC5014">
        <w:rPr>
          <w:rFonts w:ascii="Times New Roman" w:hAnsi="Times New Roman" w:cs="Times New Roman"/>
          <w:sz w:val="20"/>
          <w:szCs w:val="20"/>
        </w:rPr>
        <w:t xml:space="preserve">1 </w:t>
      </w:r>
      <w:r w:rsidRPr="00FC5014">
        <w:rPr>
          <w:rFonts w:ascii="Times New Roman" w:hAnsi="Times New Roman" w:cs="Times New Roman"/>
          <w:color w:val="000000"/>
          <w:sz w:val="20"/>
          <w:szCs w:val="20"/>
          <w:shd w:val="clear" w:color="auto" w:fill="FFFFFF"/>
        </w:rPr>
        <w:t>Nutrition</w:t>
      </w:r>
      <w:r w:rsidR="00A77C74">
        <w:rPr>
          <w:rFonts w:ascii="Times New Roman" w:hAnsi="Times New Roman" w:cs="Times New Roman"/>
          <w:color w:val="000000"/>
          <w:sz w:val="20"/>
          <w:szCs w:val="20"/>
          <w:shd w:val="clear" w:color="auto" w:fill="FFFFFF"/>
        </w:rPr>
        <w:t>al</w:t>
      </w:r>
      <w:r w:rsidRPr="00FC5014">
        <w:rPr>
          <w:rFonts w:ascii="Times New Roman" w:hAnsi="Times New Roman" w:cs="Times New Roman"/>
          <w:color w:val="000000"/>
          <w:sz w:val="20"/>
          <w:szCs w:val="20"/>
          <w:shd w:val="clear" w:color="auto" w:fill="FFFFFF"/>
        </w:rPr>
        <w:t xml:space="preserve"> Epidemiology Group, School of Food Science and Nutrition, University of Leeds, Leeds LS2 9JT, UK. ORCID: 0000-0002-9818-7904</w:t>
      </w:r>
    </w:p>
    <w:p w14:paraId="43874CA7" w14:textId="3AEA9C68" w:rsidR="00301934" w:rsidRPr="00FC5014" w:rsidRDefault="00301934" w:rsidP="00301934">
      <w:pPr>
        <w:rPr>
          <w:rFonts w:ascii="Times New Roman" w:hAnsi="Times New Roman" w:cs="Times New Roman"/>
          <w:color w:val="000000"/>
          <w:sz w:val="20"/>
          <w:szCs w:val="20"/>
          <w:shd w:val="clear" w:color="auto" w:fill="FFFFFF"/>
        </w:rPr>
      </w:pPr>
      <w:r w:rsidRPr="00FC5014">
        <w:rPr>
          <w:rFonts w:ascii="Times New Roman" w:hAnsi="Times New Roman" w:cs="Times New Roman"/>
          <w:color w:val="000000"/>
          <w:sz w:val="20"/>
          <w:szCs w:val="20"/>
          <w:shd w:val="clear" w:color="auto" w:fill="FFFFFF"/>
        </w:rPr>
        <w:t xml:space="preserve">2 Division of Clinical and Population Sciences, Leeds Institute of Cardiovascular and Metabolic Medicine, School of Medicine, University of Leeds, Leeds LS2 9JT, UK. </w:t>
      </w:r>
      <w:r w:rsidR="00A5116E" w:rsidRPr="00A5116E">
        <w:rPr>
          <w:rFonts w:ascii="Times New Roman" w:hAnsi="Times New Roman" w:cs="Times New Roman"/>
          <w:color w:val="000000"/>
          <w:sz w:val="20"/>
          <w:szCs w:val="20"/>
          <w:shd w:val="clear" w:color="auto" w:fill="FFFFFF"/>
        </w:rPr>
        <w:t>ORCID: 0000-0001-5039-2100</w:t>
      </w:r>
    </w:p>
    <w:p w14:paraId="38948DE4" w14:textId="18CE5BF1" w:rsidR="00301934" w:rsidRPr="00FC5014" w:rsidRDefault="00301934" w:rsidP="00301934">
      <w:pPr>
        <w:rPr>
          <w:rFonts w:ascii="Times New Roman" w:hAnsi="Times New Roman" w:cs="Times New Roman"/>
          <w:color w:val="000000"/>
          <w:sz w:val="20"/>
          <w:szCs w:val="20"/>
        </w:rPr>
      </w:pPr>
      <w:r w:rsidRPr="00FC5014">
        <w:rPr>
          <w:rFonts w:ascii="Times New Roman" w:hAnsi="Times New Roman" w:cs="Times New Roman"/>
          <w:color w:val="000000"/>
          <w:sz w:val="20"/>
          <w:szCs w:val="20"/>
        </w:rPr>
        <w:t>3 Nutrition Epidemiology Group, School of Food Science and Nutrition, University of Leeds, Leeds LS2 9JT, UK. ORCID: 0000-0003-3421-0121</w:t>
      </w:r>
    </w:p>
    <w:p w14:paraId="3F72B0F5" w14:textId="5E4B10FF" w:rsidR="00301934" w:rsidRDefault="00301934" w:rsidP="00301934">
      <w:pPr>
        <w:spacing w:before="240" w:line="480" w:lineRule="auto"/>
        <w:rPr>
          <w:rStyle w:val="Hyperlink"/>
          <w:rFonts w:ascii="Times New Roman" w:hAnsi="Times New Roman" w:cs="Times New Roman"/>
          <w:sz w:val="20"/>
          <w:szCs w:val="20"/>
          <w:lang w:val="en-US"/>
        </w:rPr>
      </w:pPr>
      <w:r w:rsidRPr="00301934">
        <w:rPr>
          <w:rFonts w:ascii="Times New Roman" w:hAnsi="Times New Roman" w:cs="Times New Roman"/>
          <w:b/>
          <w:sz w:val="20"/>
          <w:szCs w:val="20"/>
          <w:lang w:val="en-US"/>
        </w:rPr>
        <w:t>Corresponding author:</w:t>
      </w:r>
      <w:r w:rsidR="009E7FBB">
        <w:rPr>
          <w:rFonts w:ascii="Times New Roman" w:hAnsi="Times New Roman" w:cs="Times New Roman"/>
          <w:b/>
          <w:sz w:val="20"/>
          <w:szCs w:val="20"/>
          <w:lang w:val="en-US"/>
        </w:rPr>
        <w:t xml:space="preserve"> </w:t>
      </w:r>
      <w:r w:rsidR="009E7FBB" w:rsidRPr="009E7FBB">
        <w:rPr>
          <w:rFonts w:ascii="Times New Roman" w:hAnsi="Times New Roman" w:cs="Times New Roman"/>
          <w:bCs/>
          <w:sz w:val="20"/>
          <w:szCs w:val="20"/>
          <w:lang w:val="en-US"/>
        </w:rPr>
        <w:t>Huifeng Zhang</w:t>
      </w:r>
      <w:r w:rsidRPr="00301934">
        <w:rPr>
          <w:rFonts w:ascii="Times New Roman" w:hAnsi="Times New Roman" w:cs="Times New Roman"/>
          <w:b/>
          <w:sz w:val="20"/>
          <w:szCs w:val="20"/>
          <w:lang w:val="en-US"/>
        </w:rPr>
        <w:t xml:space="preserve"> </w:t>
      </w:r>
      <w:hyperlink r:id="rId6" w:history="1">
        <w:r w:rsidRPr="00C9759E">
          <w:rPr>
            <w:rStyle w:val="Hyperlink"/>
            <w:rFonts w:ascii="Times New Roman" w:hAnsi="Times New Roman" w:cs="Times New Roman"/>
            <w:sz w:val="20"/>
            <w:szCs w:val="20"/>
            <w:lang w:val="en-US"/>
          </w:rPr>
          <w:t>fshz@leeds.ac.uk</w:t>
        </w:r>
      </w:hyperlink>
    </w:p>
    <w:p w14:paraId="32C1517F" w14:textId="252670FF" w:rsidR="002F15D6" w:rsidRDefault="002F15D6" w:rsidP="00301934">
      <w:pPr>
        <w:spacing w:before="240" w:line="480" w:lineRule="auto"/>
        <w:rPr>
          <w:rFonts w:ascii="Times New Roman" w:hAnsi="Times New Roman" w:cs="Times New Roman"/>
          <w:b/>
          <w:color w:val="FF0000"/>
          <w:sz w:val="20"/>
          <w:szCs w:val="20"/>
          <w:lang w:val="en-US"/>
        </w:rPr>
      </w:pPr>
    </w:p>
    <w:p w14:paraId="4EC9A7F9" w14:textId="293DE449" w:rsidR="00BF1A06" w:rsidRDefault="00BF1A06" w:rsidP="00301934">
      <w:pPr>
        <w:spacing w:before="240" w:line="480" w:lineRule="auto"/>
        <w:rPr>
          <w:rFonts w:ascii="Times New Roman" w:hAnsi="Times New Roman" w:cs="Times New Roman"/>
          <w:b/>
          <w:color w:val="FF0000"/>
          <w:sz w:val="20"/>
          <w:szCs w:val="20"/>
          <w:lang w:val="en-US"/>
        </w:rPr>
      </w:pPr>
    </w:p>
    <w:p w14:paraId="466B7C6A" w14:textId="2490DBAE" w:rsidR="00BF1A06" w:rsidRDefault="00BF1A06" w:rsidP="00301934">
      <w:pPr>
        <w:spacing w:before="240" w:line="480" w:lineRule="auto"/>
        <w:rPr>
          <w:rFonts w:ascii="Times New Roman" w:hAnsi="Times New Roman" w:cs="Times New Roman"/>
          <w:b/>
          <w:color w:val="FF0000"/>
          <w:sz w:val="20"/>
          <w:szCs w:val="20"/>
          <w:lang w:val="en-US"/>
        </w:rPr>
      </w:pPr>
    </w:p>
    <w:p w14:paraId="64486EA3" w14:textId="77777777" w:rsidR="00BF1A06" w:rsidRDefault="00BF1A06" w:rsidP="00301934">
      <w:pPr>
        <w:spacing w:before="240" w:line="480" w:lineRule="auto"/>
        <w:rPr>
          <w:rFonts w:ascii="Times New Roman" w:hAnsi="Times New Roman" w:cs="Times New Roman"/>
          <w:b/>
          <w:color w:val="FF0000"/>
          <w:sz w:val="20"/>
          <w:szCs w:val="20"/>
          <w:lang w:val="en-US"/>
        </w:rPr>
      </w:pPr>
    </w:p>
    <w:p w14:paraId="0E20AB77" w14:textId="31324FFB" w:rsidR="008B2B50" w:rsidRDefault="00DB476F" w:rsidP="00BB3F05">
      <w:pPr>
        <w:spacing w:before="120" w:after="120" w:line="360" w:lineRule="auto"/>
        <w:rPr>
          <w:rFonts w:ascii="Times New Roman" w:hAnsi="Times New Roman" w:cs="Times New Roman"/>
          <w:sz w:val="20"/>
          <w:szCs w:val="20"/>
        </w:rPr>
      </w:pPr>
      <w:r>
        <w:rPr>
          <w:rFonts w:ascii="Times New Roman" w:hAnsi="Times New Roman" w:cs="Times New Roman"/>
          <w:b/>
          <w:sz w:val="20"/>
          <w:szCs w:val="20"/>
          <w:lang w:val="en-US"/>
        </w:rPr>
        <w:t>Supplementary</w:t>
      </w:r>
      <w:r w:rsidR="008B2B50">
        <w:rPr>
          <w:rFonts w:ascii="Times New Roman" w:hAnsi="Times New Roman" w:cs="Times New Roman"/>
          <w:b/>
          <w:sz w:val="20"/>
          <w:szCs w:val="20"/>
          <w:lang w:val="en-US"/>
        </w:rPr>
        <w:t xml:space="preserve"> Table </w:t>
      </w:r>
      <w:r w:rsidR="00BF1A06">
        <w:rPr>
          <w:rFonts w:ascii="Times New Roman" w:hAnsi="Times New Roman" w:cs="Times New Roman"/>
          <w:b/>
          <w:sz w:val="20"/>
          <w:szCs w:val="20"/>
          <w:lang w:val="en-US"/>
        </w:rPr>
        <w:t>1</w:t>
      </w:r>
      <w:r w:rsidR="008B2B50">
        <w:rPr>
          <w:rFonts w:ascii="Times New Roman" w:hAnsi="Times New Roman" w:cs="Times New Roman"/>
          <w:b/>
          <w:sz w:val="20"/>
          <w:szCs w:val="20"/>
          <w:lang w:val="en-US"/>
        </w:rPr>
        <w:t xml:space="preserve"> </w:t>
      </w:r>
      <w:r w:rsidR="008B2B50">
        <w:rPr>
          <w:rFonts w:ascii="Times New Roman" w:hAnsi="Times New Roman" w:cs="Times New Roman"/>
          <w:sz w:val="20"/>
          <w:szCs w:val="20"/>
        </w:rPr>
        <w:t>Derivation</w:t>
      </w:r>
      <w:r w:rsidR="008B2B50" w:rsidRPr="008B2B50">
        <w:rPr>
          <w:rFonts w:ascii="Times New Roman" w:hAnsi="Times New Roman" w:cs="Times New Roman"/>
          <w:sz w:val="20"/>
          <w:szCs w:val="20"/>
        </w:rPr>
        <w:t xml:space="preserve"> of the Mediterranean diet score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1462"/>
        <w:gridCol w:w="1458"/>
      </w:tblGrid>
      <w:tr w:rsidR="008B2B50" w:rsidRPr="008B2B50" w14:paraId="71377D80" w14:textId="77777777" w:rsidTr="008B2B50">
        <w:tc>
          <w:tcPr>
            <w:tcW w:w="2380" w:type="dxa"/>
            <w:tcBorders>
              <w:top w:val="single" w:sz="8" w:space="0" w:color="auto"/>
            </w:tcBorders>
          </w:tcPr>
          <w:p w14:paraId="5AA2450C" w14:textId="654E35F3" w:rsidR="008B2B50" w:rsidRPr="008B2B50" w:rsidRDefault="008B2B50" w:rsidP="00D47FE9">
            <w:pPr>
              <w:rPr>
                <w:rFonts w:ascii="Times New Roman" w:eastAsia="Times New Roman" w:hAnsi="Times New Roman" w:cs="Times New Roman"/>
                <w:b/>
                <w:bCs/>
                <w:color w:val="2A2A2A"/>
                <w:sz w:val="20"/>
                <w:szCs w:val="20"/>
                <w:lang w:eastAsia="en-GB"/>
              </w:rPr>
            </w:pPr>
          </w:p>
        </w:tc>
        <w:tc>
          <w:tcPr>
            <w:tcW w:w="2920" w:type="dxa"/>
            <w:gridSpan w:val="2"/>
            <w:tcBorders>
              <w:top w:val="single" w:sz="8" w:space="0" w:color="auto"/>
              <w:bottom w:val="single" w:sz="4" w:space="0" w:color="auto"/>
            </w:tcBorders>
          </w:tcPr>
          <w:p w14:paraId="63722EF0" w14:textId="1EB97F97" w:rsidR="008B2B50" w:rsidRPr="008B2B50" w:rsidRDefault="008B2B50" w:rsidP="008B2B50">
            <w:pPr>
              <w:jc w:val="center"/>
              <w:rPr>
                <w:rFonts w:ascii="Times New Roman" w:eastAsia="Times New Roman" w:hAnsi="Times New Roman" w:cs="Times New Roman"/>
                <w:b/>
                <w:bCs/>
                <w:color w:val="2A2A2A"/>
                <w:sz w:val="20"/>
                <w:szCs w:val="20"/>
                <w:lang w:eastAsia="en-GB"/>
              </w:rPr>
            </w:pPr>
            <w:r w:rsidRPr="008B2B50">
              <w:rPr>
                <w:rFonts w:ascii="Times New Roman" w:eastAsia="Times New Roman" w:hAnsi="Times New Roman" w:cs="Times New Roman"/>
                <w:b/>
                <w:bCs/>
                <w:color w:val="2A2A2A"/>
                <w:sz w:val="20"/>
                <w:szCs w:val="20"/>
                <w:lang w:eastAsia="en-GB"/>
              </w:rPr>
              <w:t>Indicator value</w:t>
            </w:r>
          </w:p>
        </w:tc>
      </w:tr>
      <w:tr w:rsidR="008B2B50" w:rsidRPr="008B2B50" w14:paraId="72968F57" w14:textId="77777777" w:rsidTr="008B2B50">
        <w:tc>
          <w:tcPr>
            <w:tcW w:w="2380" w:type="dxa"/>
            <w:tcBorders>
              <w:bottom w:val="single" w:sz="4" w:space="0" w:color="auto"/>
            </w:tcBorders>
          </w:tcPr>
          <w:p w14:paraId="7B9275A2" w14:textId="1AD6239E" w:rsidR="008B2B50" w:rsidRPr="008B2B50" w:rsidRDefault="008B2B50" w:rsidP="008B2B50">
            <w:pPr>
              <w:rPr>
                <w:rFonts w:ascii="Times New Roman" w:eastAsia="Times New Roman" w:hAnsi="Times New Roman" w:cs="Times New Roman"/>
                <w:b/>
                <w:bCs/>
                <w:color w:val="2A2A2A"/>
                <w:sz w:val="20"/>
                <w:szCs w:val="20"/>
                <w:lang w:eastAsia="en-GB"/>
              </w:rPr>
            </w:pPr>
            <w:r w:rsidRPr="008B2B50">
              <w:rPr>
                <w:rFonts w:ascii="Times New Roman" w:eastAsia="Times New Roman" w:hAnsi="Times New Roman" w:cs="Times New Roman"/>
                <w:b/>
                <w:bCs/>
                <w:color w:val="2A2A2A"/>
                <w:sz w:val="20"/>
                <w:szCs w:val="20"/>
                <w:lang w:eastAsia="en-GB"/>
              </w:rPr>
              <w:t>MDS component </w:t>
            </w:r>
          </w:p>
        </w:tc>
        <w:tc>
          <w:tcPr>
            <w:tcW w:w="1462" w:type="dxa"/>
            <w:tcBorders>
              <w:top w:val="single" w:sz="4" w:space="0" w:color="auto"/>
              <w:bottom w:val="single" w:sz="4" w:space="0" w:color="auto"/>
            </w:tcBorders>
          </w:tcPr>
          <w:p w14:paraId="3CB7BC4A" w14:textId="4D6094A1" w:rsidR="008B2B50" w:rsidRPr="008B2B50" w:rsidRDefault="008B2B50" w:rsidP="008B2B50">
            <w:pPr>
              <w:jc w:val="center"/>
              <w:rPr>
                <w:rFonts w:ascii="Times New Roman" w:eastAsia="Times New Roman" w:hAnsi="Times New Roman" w:cs="Times New Roman"/>
                <w:b/>
                <w:bCs/>
                <w:color w:val="2A2A2A"/>
                <w:sz w:val="20"/>
                <w:szCs w:val="20"/>
                <w:lang w:eastAsia="en-GB"/>
              </w:rPr>
            </w:pPr>
            <w:r w:rsidRPr="008B2B50">
              <w:rPr>
                <w:rFonts w:ascii="Times New Roman" w:eastAsia="Times New Roman" w:hAnsi="Times New Roman" w:cs="Times New Roman"/>
                <w:b/>
                <w:bCs/>
                <w:color w:val="2A2A2A"/>
                <w:sz w:val="20"/>
                <w:szCs w:val="20"/>
                <w:lang w:eastAsia="en-GB"/>
              </w:rPr>
              <w:t>1</w:t>
            </w:r>
          </w:p>
        </w:tc>
        <w:tc>
          <w:tcPr>
            <w:tcW w:w="1458" w:type="dxa"/>
            <w:tcBorders>
              <w:top w:val="single" w:sz="4" w:space="0" w:color="auto"/>
              <w:bottom w:val="single" w:sz="4" w:space="0" w:color="auto"/>
            </w:tcBorders>
          </w:tcPr>
          <w:p w14:paraId="181BC4C7" w14:textId="0D32B6FD" w:rsidR="008B2B50" w:rsidRPr="008B2B50" w:rsidRDefault="008B2B50" w:rsidP="008B2B50">
            <w:pPr>
              <w:jc w:val="center"/>
              <w:rPr>
                <w:rFonts w:ascii="Times New Roman" w:eastAsia="Times New Roman" w:hAnsi="Times New Roman" w:cs="Times New Roman"/>
                <w:b/>
                <w:bCs/>
                <w:color w:val="2A2A2A"/>
                <w:sz w:val="20"/>
                <w:szCs w:val="20"/>
                <w:lang w:eastAsia="en-GB"/>
              </w:rPr>
            </w:pPr>
            <w:r w:rsidRPr="008B2B50">
              <w:rPr>
                <w:rFonts w:ascii="Times New Roman" w:eastAsia="Times New Roman" w:hAnsi="Times New Roman" w:cs="Times New Roman"/>
                <w:b/>
                <w:bCs/>
                <w:color w:val="2A2A2A"/>
                <w:sz w:val="20"/>
                <w:szCs w:val="20"/>
                <w:lang w:eastAsia="en-GB"/>
              </w:rPr>
              <w:t>0</w:t>
            </w:r>
          </w:p>
        </w:tc>
      </w:tr>
      <w:tr w:rsidR="008B2B50" w:rsidRPr="008B2B50" w14:paraId="70ACA145" w14:textId="77777777" w:rsidTr="008B2B50">
        <w:tc>
          <w:tcPr>
            <w:tcW w:w="2380" w:type="dxa"/>
            <w:tcBorders>
              <w:top w:val="single" w:sz="4" w:space="0" w:color="auto"/>
            </w:tcBorders>
          </w:tcPr>
          <w:p w14:paraId="0A4A19C6" w14:textId="77777777" w:rsidR="008B2B50" w:rsidRPr="008B2B50" w:rsidRDefault="008B2B50" w:rsidP="008B2B50">
            <w:pPr>
              <w:rPr>
                <w:rFonts w:ascii="Times New Roman" w:hAnsi="Times New Roman" w:cs="Times New Roman"/>
                <w:sz w:val="20"/>
                <w:szCs w:val="20"/>
              </w:rPr>
            </w:pPr>
            <w:r w:rsidRPr="008B2B50">
              <w:rPr>
                <w:rFonts w:ascii="Times New Roman" w:eastAsia="Times New Roman" w:hAnsi="Times New Roman" w:cs="Times New Roman"/>
                <w:color w:val="2A2A2A"/>
                <w:sz w:val="20"/>
                <w:szCs w:val="20"/>
                <w:lang w:eastAsia="en-GB"/>
              </w:rPr>
              <w:t>Vegetables (g/day) </w:t>
            </w:r>
          </w:p>
        </w:tc>
        <w:tc>
          <w:tcPr>
            <w:tcW w:w="1462" w:type="dxa"/>
            <w:tcBorders>
              <w:top w:val="single" w:sz="4" w:space="0" w:color="auto"/>
            </w:tcBorders>
          </w:tcPr>
          <w:p w14:paraId="57CB724E" w14:textId="6DA2BADC" w:rsidR="008B2B50" w:rsidRPr="008B2B50" w:rsidRDefault="008B2B50" w:rsidP="008B2B50">
            <w:pPr>
              <w:jc w:val="center"/>
              <w:rPr>
                <w:rFonts w:ascii="Times New Roman" w:hAnsi="Times New Roman" w:cs="Times New Roman"/>
                <w:sz w:val="20"/>
                <w:szCs w:val="20"/>
              </w:rPr>
            </w:pPr>
            <w:r w:rsidRPr="008B2B50">
              <w:rPr>
                <w:rFonts w:ascii="Times New Roman" w:eastAsia="Times New Roman" w:hAnsi="Times New Roman" w:cs="Times New Roman"/>
                <w:sz w:val="20"/>
                <w:szCs w:val="20"/>
                <w:lang w:eastAsia="en-GB"/>
              </w:rPr>
              <w:t>≥279.98</w:t>
            </w:r>
          </w:p>
        </w:tc>
        <w:tc>
          <w:tcPr>
            <w:tcW w:w="1458" w:type="dxa"/>
            <w:tcBorders>
              <w:top w:val="single" w:sz="4" w:space="0" w:color="auto"/>
            </w:tcBorders>
          </w:tcPr>
          <w:p w14:paraId="4B682597" w14:textId="16E7778B"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&lt;279.98</w:t>
            </w:r>
          </w:p>
        </w:tc>
      </w:tr>
      <w:tr w:rsidR="008B2B50" w:rsidRPr="008B2B50" w14:paraId="564DD33F" w14:textId="77777777" w:rsidTr="008B2B50">
        <w:tc>
          <w:tcPr>
            <w:tcW w:w="2380" w:type="dxa"/>
          </w:tcPr>
          <w:p w14:paraId="29B3C7FB" w14:textId="77777777" w:rsidR="008B2B50" w:rsidRPr="008B2B50" w:rsidRDefault="008B2B50" w:rsidP="008B2B50">
            <w:pPr>
              <w:rPr>
                <w:rFonts w:ascii="Times New Roman" w:hAnsi="Times New Roman" w:cs="Times New Roman"/>
                <w:sz w:val="20"/>
                <w:szCs w:val="20"/>
              </w:rPr>
            </w:pPr>
            <w:r w:rsidRPr="008B2B50">
              <w:rPr>
                <w:rFonts w:ascii="Times New Roman" w:eastAsia="Times New Roman" w:hAnsi="Times New Roman" w:cs="Times New Roman"/>
                <w:color w:val="2A2A2A"/>
                <w:sz w:val="20"/>
                <w:szCs w:val="20"/>
                <w:lang w:eastAsia="en-GB"/>
              </w:rPr>
              <w:t>Legumes (g/day) </w:t>
            </w:r>
          </w:p>
        </w:tc>
        <w:tc>
          <w:tcPr>
            <w:tcW w:w="1462" w:type="dxa"/>
          </w:tcPr>
          <w:p w14:paraId="710BC205" w14:textId="48E1DF72" w:rsidR="008B2B50" w:rsidRPr="008B2B50" w:rsidRDefault="008B2B50" w:rsidP="008B2B50">
            <w:pPr>
              <w:jc w:val="center"/>
              <w:rPr>
                <w:rFonts w:ascii="Times New Roman" w:hAnsi="Times New Roman" w:cs="Times New Roman"/>
                <w:sz w:val="20"/>
                <w:szCs w:val="20"/>
              </w:rPr>
            </w:pPr>
            <w:r w:rsidRPr="008B2B50">
              <w:rPr>
                <w:rFonts w:ascii="Times New Roman" w:eastAsia="Times New Roman" w:hAnsi="Times New Roman" w:cs="Times New Roman"/>
                <w:sz w:val="20"/>
                <w:szCs w:val="20"/>
                <w:lang w:eastAsia="en-GB"/>
              </w:rPr>
              <w:t>≥31.90</w:t>
            </w:r>
          </w:p>
        </w:tc>
        <w:tc>
          <w:tcPr>
            <w:tcW w:w="1458" w:type="dxa"/>
          </w:tcPr>
          <w:p w14:paraId="26C851BD" w14:textId="77777777"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&lt;31.90</w:t>
            </w:r>
          </w:p>
        </w:tc>
      </w:tr>
      <w:tr w:rsidR="008B2B50" w:rsidRPr="008B2B50" w14:paraId="2C388C10" w14:textId="77777777" w:rsidTr="008B2B50">
        <w:tc>
          <w:tcPr>
            <w:tcW w:w="2380" w:type="dxa"/>
          </w:tcPr>
          <w:p w14:paraId="02AE0702" w14:textId="77777777" w:rsidR="008B2B50" w:rsidRPr="008B2B50" w:rsidRDefault="008B2B50" w:rsidP="008B2B50">
            <w:pPr>
              <w:rPr>
                <w:rFonts w:ascii="Times New Roman" w:hAnsi="Times New Roman" w:cs="Times New Roman"/>
                <w:sz w:val="20"/>
                <w:szCs w:val="20"/>
              </w:rPr>
            </w:pPr>
            <w:r w:rsidRPr="008B2B50">
              <w:rPr>
                <w:rFonts w:ascii="Times New Roman" w:eastAsia="Times New Roman" w:hAnsi="Times New Roman" w:cs="Times New Roman"/>
                <w:color w:val="2A2A2A"/>
                <w:sz w:val="20"/>
                <w:szCs w:val="20"/>
                <w:lang w:eastAsia="en-GB"/>
              </w:rPr>
              <w:t>Fruit &amp; nuts (g/day) </w:t>
            </w:r>
          </w:p>
        </w:tc>
        <w:tc>
          <w:tcPr>
            <w:tcW w:w="1462" w:type="dxa"/>
          </w:tcPr>
          <w:p w14:paraId="694F9983" w14:textId="77777777" w:rsidR="008B2B50" w:rsidRPr="008B2B50" w:rsidRDefault="008B2B50" w:rsidP="008B2B50">
            <w:pPr>
              <w:jc w:val="center"/>
              <w:rPr>
                <w:rFonts w:ascii="Times New Roman" w:hAnsi="Times New Roman" w:cs="Times New Roman"/>
                <w:sz w:val="20"/>
                <w:szCs w:val="20"/>
              </w:rPr>
            </w:pPr>
            <w:r w:rsidRPr="008B2B50">
              <w:rPr>
                <w:rFonts w:ascii="Times New Roman" w:eastAsia="Times New Roman" w:hAnsi="Times New Roman" w:cs="Times New Roman"/>
                <w:sz w:val="20"/>
                <w:szCs w:val="20"/>
                <w:lang w:eastAsia="en-GB"/>
              </w:rPr>
              <w:t>≥273.64</w:t>
            </w:r>
          </w:p>
        </w:tc>
        <w:tc>
          <w:tcPr>
            <w:tcW w:w="1458" w:type="dxa"/>
          </w:tcPr>
          <w:p w14:paraId="656354D2" w14:textId="1C45EAFD"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&lt;273.64</w:t>
            </w:r>
          </w:p>
        </w:tc>
      </w:tr>
      <w:tr w:rsidR="008B2B50" w:rsidRPr="008B2B50" w14:paraId="58FCBB45" w14:textId="77777777" w:rsidTr="008B2B50">
        <w:tc>
          <w:tcPr>
            <w:tcW w:w="2380" w:type="dxa"/>
          </w:tcPr>
          <w:p w14:paraId="10621D87" w14:textId="77777777" w:rsidR="008B2B50" w:rsidRPr="008B2B50" w:rsidRDefault="008B2B50" w:rsidP="008B2B50">
            <w:pPr>
              <w:rPr>
                <w:rFonts w:ascii="Times New Roman" w:eastAsia="Times New Roman" w:hAnsi="Times New Roman" w:cs="Times New Roman"/>
                <w:color w:val="2A2A2A"/>
                <w:sz w:val="20"/>
                <w:szCs w:val="20"/>
                <w:lang w:eastAsia="en-GB"/>
              </w:rPr>
            </w:pPr>
            <w:r w:rsidRPr="008B2B50">
              <w:rPr>
                <w:rFonts w:ascii="Times New Roman" w:eastAsia="Times New Roman" w:hAnsi="Times New Roman" w:cs="Times New Roman"/>
                <w:color w:val="2A2A2A"/>
                <w:sz w:val="20"/>
                <w:szCs w:val="20"/>
                <w:lang w:eastAsia="en-GB"/>
              </w:rPr>
              <w:t>Cereals (g/day) </w:t>
            </w:r>
          </w:p>
        </w:tc>
        <w:tc>
          <w:tcPr>
            <w:tcW w:w="1462" w:type="dxa"/>
          </w:tcPr>
          <w:p w14:paraId="1F13841C" w14:textId="4154A5D4"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≥241.66</w:t>
            </w:r>
          </w:p>
        </w:tc>
        <w:tc>
          <w:tcPr>
            <w:tcW w:w="1458" w:type="dxa"/>
          </w:tcPr>
          <w:p w14:paraId="3ECB12EE" w14:textId="77777777"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&lt;241.66</w:t>
            </w:r>
          </w:p>
        </w:tc>
      </w:tr>
      <w:tr w:rsidR="008B2B50" w:rsidRPr="008B2B50" w14:paraId="5D09489F" w14:textId="77777777" w:rsidTr="008B2B50">
        <w:tc>
          <w:tcPr>
            <w:tcW w:w="2380" w:type="dxa"/>
          </w:tcPr>
          <w:p w14:paraId="72A92F6A" w14:textId="77777777" w:rsidR="008B2B50" w:rsidRPr="008B2B50" w:rsidRDefault="008B2B50" w:rsidP="008B2B50">
            <w:pPr>
              <w:rPr>
                <w:rFonts w:ascii="Times New Roman" w:eastAsia="Times New Roman" w:hAnsi="Times New Roman" w:cs="Times New Roman"/>
                <w:color w:val="2A2A2A"/>
                <w:sz w:val="20"/>
                <w:szCs w:val="20"/>
                <w:lang w:eastAsia="en-GB"/>
              </w:rPr>
            </w:pPr>
            <w:r w:rsidRPr="008B2B50">
              <w:rPr>
                <w:rFonts w:ascii="Times New Roman" w:eastAsia="Times New Roman" w:hAnsi="Times New Roman" w:cs="Times New Roman"/>
                <w:color w:val="2A2A2A"/>
                <w:sz w:val="20"/>
                <w:szCs w:val="20"/>
                <w:lang w:eastAsia="en-GB"/>
              </w:rPr>
              <w:t>Fish (g/day) </w:t>
            </w:r>
          </w:p>
        </w:tc>
        <w:tc>
          <w:tcPr>
            <w:tcW w:w="1462" w:type="dxa"/>
          </w:tcPr>
          <w:p w14:paraId="5F8CDE2E" w14:textId="77777777"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≥20.64</w:t>
            </w:r>
          </w:p>
        </w:tc>
        <w:tc>
          <w:tcPr>
            <w:tcW w:w="1458" w:type="dxa"/>
          </w:tcPr>
          <w:p w14:paraId="0B57D4FA" w14:textId="676A9F83"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&lt;20.64</w:t>
            </w:r>
          </w:p>
        </w:tc>
      </w:tr>
      <w:tr w:rsidR="008B2B50" w:rsidRPr="008B2B50" w14:paraId="67A07508" w14:textId="77777777" w:rsidTr="008B2B50">
        <w:tc>
          <w:tcPr>
            <w:tcW w:w="2380" w:type="dxa"/>
          </w:tcPr>
          <w:p w14:paraId="4833DD3E" w14:textId="77777777" w:rsidR="008B2B50" w:rsidRPr="008B2B50" w:rsidRDefault="008B2B50" w:rsidP="008B2B50">
            <w:pPr>
              <w:rPr>
                <w:rFonts w:ascii="Times New Roman" w:eastAsia="Times New Roman" w:hAnsi="Times New Roman" w:cs="Times New Roman"/>
                <w:color w:val="2A2A2A"/>
                <w:sz w:val="20"/>
                <w:szCs w:val="20"/>
                <w:lang w:eastAsia="en-GB"/>
              </w:rPr>
            </w:pPr>
            <w:r w:rsidRPr="008B2B50">
              <w:rPr>
                <w:rFonts w:ascii="Times New Roman" w:eastAsia="Times New Roman" w:hAnsi="Times New Roman" w:cs="Times New Roman"/>
                <w:color w:val="2A2A2A"/>
                <w:sz w:val="20"/>
                <w:szCs w:val="20"/>
                <w:lang w:eastAsia="en-GB"/>
              </w:rPr>
              <w:t>MUFA + PUFA: SFA</w:t>
            </w:r>
            <w:r w:rsidRPr="008B2B50">
              <w:rPr>
                <w:rFonts w:ascii="Times New Roman" w:eastAsia="Times New Roman" w:hAnsi="Times New Roman" w:cs="Times New Roman"/>
                <w:color w:val="2A2A2A"/>
                <w:sz w:val="20"/>
                <w:szCs w:val="20"/>
                <w:vertAlign w:val="superscript"/>
                <w:lang w:eastAsia="en-GB"/>
              </w:rPr>
              <w:t>a</w:t>
            </w:r>
            <w:r w:rsidRPr="008B2B50">
              <w:rPr>
                <w:rFonts w:ascii="Times New Roman" w:eastAsia="Times New Roman" w:hAnsi="Times New Roman" w:cs="Times New Roman"/>
                <w:color w:val="2A2A2A"/>
                <w:sz w:val="20"/>
                <w:szCs w:val="20"/>
                <w:lang w:eastAsia="en-GB"/>
              </w:rPr>
              <w:t> </w:t>
            </w:r>
          </w:p>
        </w:tc>
        <w:tc>
          <w:tcPr>
            <w:tcW w:w="1462" w:type="dxa"/>
          </w:tcPr>
          <w:p w14:paraId="08BB796E" w14:textId="00765B35"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≥1.96</w:t>
            </w:r>
          </w:p>
        </w:tc>
        <w:tc>
          <w:tcPr>
            <w:tcW w:w="1458" w:type="dxa"/>
          </w:tcPr>
          <w:p w14:paraId="5466AC4A" w14:textId="5795A1F8"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&lt;1.96</w:t>
            </w:r>
          </w:p>
        </w:tc>
      </w:tr>
      <w:tr w:rsidR="008B2B50" w:rsidRPr="008B2B50" w14:paraId="5EB7AD40" w14:textId="77777777" w:rsidTr="008B2B50">
        <w:tc>
          <w:tcPr>
            <w:tcW w:w="2380" w:type="dxa"/>
          </w:tcPr>
          <w:p w14:paraId="11B6940B" w14:textId="77777777" w:rsidR="008B2B50" w:rsidRPr="008B2B50" w:rsidRDefault="008B2B50" w:rsidP="008B2B50">
            <w:pP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Meat (g/day) </w:t>
            </w:r>
          </w:p>
        </w:tc>
        <w:tc>
          <w:tcPr>
            <w:tcW w:w="1462" w:type="dxa"/>
          </w:tcPr>
          <w:p w14:paraId="245A3633" w14:textId="22739D42"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&lt;27.50</w:t>
            </w:r>
          </w:p>
        </w:tc>
        <w:tc>
          <w:tcPr>
            <w:tcW w:w="1458" w:type="dxa"/>
          </w:tcPr>
          <w:p w14:paraId="696385CB" w14:textId="4864BD13"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≥27.50</w:t>
            </w:r>
          </w:p>
        </w:tc>
      </w:tr>
      <w:tr w:rsidR="008B2B50" w:rsidRPr="008B2B50" w14:paraId="569BF87E" w14:textId="77777777" w:rsidTr="008B2B50">
        <w:tc>
          <w:tcPr>
            <w:tcW w:w="2380" w:type="dxa"/>
          </w:tcPr>
          <w:p w14:paraId="477E5926" w14:textId="77777777" w:rsidR="008B2B50" w:rsidRPr="008B2B50" w:rsidRDefault="008B2B50" w:rsidP="008B2B50">
            <w:pPr>
              <w:rPr>
                <w:rFonts w:ascii="Times New Roman" w:eastAsia="Times New Roman" w:hAnsi="Times New Roman" w:cs="Times New Roman"/>
                <w:color w:val="2A2A2A"/>
                <w:sz w:val="20"/>
                <w:szCs w:val="20"/>
                <w:lang w:eastAsia="en-GB"/>
              </w:rPr>
            </w:pPr>
            <w:r w:rsidRPr="008B2B50">
              <w:rPr>
                <w:rFonts w:ascii="Times New Roman" w:eastAsia="Times New Roman" w:hAnsi="Times New Roman" w:cs="Times New Roman"/>
                <w:color w:val="2A2A2A"/>
                <w:sz w:val="20"/>
                <w:szCs w:val="20"/>
                <w:lang w:eastAsia="en-GB"/>
              </w:rPr>
              <w:t>Poultry (g/day) </w:t>
            </w:r>
          </w:p>
        </w:tc>
        <w:tc>
          <w:tcPr>
            <w:tcW w:w="1462" w:type="dxa"/>
          </w:tcPr>
          <w:p w14:paraId="552EEC08" w14:textId="77777777"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&lt;10.83</w:t>
            </w:r>
          </w:p>
        </w:tc>
        <w:tc>
          <w:tcPr>
            <w:tcW w:w="1458" w:type="dxa"/>
          </w:tcPr>
          <w:p w14:paraId="21669ECF" w14:textId="77777777"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≥10.83</w:t>
            </w:r>
          </w:p>
        </w:tc>
      </w:tr>
      <w:tr w:rsidR="008B2B50" w:rsidRPr="008B2B50" w14:paraId="2FF5295B" w14:textId="77777777" w:rsidTr="008B2B50">
        <w:tc>
          <w:tcPr>
            <w:tcW w:w="2380" w:type="dxa"/>
          </w:tcPr>
          <w:p w14:paraId="3898D39D" w14:textId="77777777" w:rsidR="008B2B50" w:rsidRPr="008B2B50" w:rsidRDefault="008B2B50" w:rsidP="008B2B50">
            <w:pPr>
              <w:rPr>
                <w:rFonts w:ascii="Times New Roman" w:eastAsia="Times New Roman" w:hAnsi="Times New Roman" w:cs="Times New Roman"/>
                <w:color w:val="2A2A2A"/>
                <w:sz w:val="20"/>
                <w:szCs w:val="20"/>
                <w:lang w:eastAsia="en-GB"/>
              </w:rPr>
            </w:pPr>
            <w:r w:rsidRPr="008B2B50">
              <w:rPr>
                <w:rFonts w:ascii="Times New Roman" w:eastAsia="Times New Roman" w:hAnsi="Times New Roman" w:cs="Times New Roman"/>
                <w:color w:val="2A2A2A"/>
                <w:sz w:val="20"/>
                <w:szCs w:val="20"/>
                <w:lang w:eastAsia="en-GB"/>
              </w:rPr>
              <w:t>Dairy (g/day) </w:t>
            </w:r>
          </w:p>
        </w:tc>
        <w:tc>
          <w:tcPr>
            <w:tcW w:w="1462" w:type="dxa"/>
          </w:tcPr>
          <w:p w14:paraId="59FAFFB5" w14:textId="77777777"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&lt;95.15</w:t>
            </w:r>
          </w:p>
        </w:tc>
        <w:tc>
          <w:tcPr>
            <w:tcW w:w="1458" w:type="dxa"/>
          </w:tcPr>
          <w:p w14:paraId="1CE305AB" w14:textId="5BB66269" w:rsidR="008B2B50" w:rsidRPr="008B2B50" w:rsidRDefault="008B2B50" w:rsidP="008B2B50">
            <w:pPr>
              <w:jc w:val="center"/>
              <w:rPr>
                <w:rFonts w:ascii="Times New Roman" w:eastAsia="Times New Roman" w:hAnsi="Times New Roman" w:cs="Times New Roman"/>
                <w:sz w:val="20"/>
                <w:szCs w:val="20"/>
                <w:lang w:eastAsia="en-GB"/>
              </w:rPr>
            </w:pPr>
            <w:r w:rsidRPr="008B2B50">
              <w:rPr>
                <w:rFonts w:ascii="Times New Roman" w:eastAsia="Times New Roman" w:hAnsi="Times New Roman" w:cs="Times New Roman"/>
                <w:sz w:val="20"/>
                <w:szCs w:val="20"/>
                <w:lang w:eastAsia="en-GB"/>
              </w:rPr>
              <w:t>≥95.15</w:t>
            </w:r>
          </w:p>
        </w:tc>
      </w:tr>
      <w:tr w:rsidR="008B2B50" w:rsidRPr="008B2B50" w14:paraId="2936400B" w14:textId="77777777" w:rsidTr="008B2B50">
        <w:tc>
          <w:tcPr>
            <w:tcW w:w="2380" w:type="dxa"/>
            <w:tcBorders>
              <w:bottom w:val="single" w:sz="8" w:space="0" w:color="auto"/>
            </w:tcBorders>
          </w:tcPr>
          <w:p w14:paraId="6B404293" w14:textId="77777777" w:rsidR="008B2B50" w:rsidRPr="008B2B50" w:rsidRDefault="008B2B50" w:rsidP="008B2B50">
            <w:pPr>
              <w:rPr>
                <w:rFonts w:ascii="Times New Roman" w:eastAsia="Times New Roman" w:hAnsi="Times New Roman" w:cs="Times New Roman"/>
                <w:color w:val="2A2A2A"/>
                <w:sz w:val="20"/>
                <w:szCs w:val="20"/>
                <w:lang w:eastAsia="en-GB"/>
              </w:rPr>
            </w:pPr>
            <w:r w:rsidRPr="008B2B50">
              <w:rPr>
                <w:rFonts w:ascii="Times New Roman" w:eastAsia="Times New Roman" w:hAnsi="Times New Roman" w:cs="Times New Roman"/>
                <w:color w:val="2A2A2A"/>
                <w:sz w:val="20"/>
                <w:szCs w:val="20"/>
                <w:lang w:eastAsia="en-GB"/>
              </w:rPr>
              <w:t>Alcohol (g/day) </w:t>
            </w:r>
          </w:p>
        </w:tc>
        <w:tc>
          <w:tcPr>
            <w:tcW w:w="1462" w:type="dxa"/>
            <w:tcBorders>
              <w:bottom w:val="single" w:sz="8" w:space="0" w:color="auto"/>
            </w:tcBorders>
          </w:tcPr>
          <w:p w14:paraId="1B46FC4A" w14:textId="7EEA2E2F" w:rsidR="008B2B50" w:rsidRPr="008B2B50" w:rsidRDefault="008B2B50" w:rsidP="008B2B50">
            <w:pPr>
              <w:jc w:val="center"/>
              <w:rPr>
                <w:rFonts w:ascii="Times New Roman" w:eastAsia="Times New Roman" w:hAnsi="Times New Roman" w:cs="Times New Roman"/>
                <w:color w:val="2A2A2A"/>
                <w:sz w:val="20"/>
                <w:szCs w:val="20"/>
                <w:lang w:eastAsia="en-GB"/>
              </w:rPr>
            </w:pPr>
            <w:r w:rsidRPr="008B2B50">
              <w:rPr>
                <w:rFonts w:ascii="Times New Roman" w:eastAsia="Times New Roman" w:hAnsi="Times New Roman" w:cs="Times New Roman"/>
                <w:color w:val="2A2A2A"/>
                <w:sz w:val="20"/>
                <w:szCs w:val="20"/>
                <w:lang w:eastAsia="en-GB"/>
              </w:rPr>
              <w:t>5–25</w:t>
            </w:r>
          </w:p>
        </w:tc>
        <w:tc>
          <w:tcPr>
            <w:tcW w:w="1458" w:type="dxa"/>
            <w:tcBorders>
              <w:bottom w:val="single" w:sz="8" w:space="0" w:color="auto"/>
            </w:tcBorders>
          </w:tcPr>
          <w:p w14:paraId="50E1E056" w14:textId="78FAAB52" w:rsidR="008B2B50" w:rsidRPr="008B2B50" w:rsidRDefault="008B2B50" w:rsidP="008B2B50">
            <w:pPr>
              <w:jc w:val="center"/>
              <w:rPr>
                <w:rFonts w:ascii="Times New Roman" w:eastAsia="Times New Roman" w:hAnsi="Times New Roman" w:cs="Times New Roman"/>
                <w:color w:val="2A2A2A"/>
                <w:sz w:val="20"/>
                <w:szCs w:val="20"/>
                <w:lang w:eastAsia="en-GB"/>
              </w:rPr>
            </w:pPr>
            <w:r w:rsidRPr="008B2B50">
              <w:rPr>
                <w:rFonts w:ascii="Times New Roman" w:eastAsia="Times New Roman" w:hAnsi="Times New Roman" w:cs="Times New Roman"/>
                <w:color w:val="2A2A2A"/>
                <w:sz w:val="20"/>
                <w:szCs w:val="20"/>
                <w:lang w:eastAsia="en-GB"/>
              </w:rPr>
              <w:t>&lt;5 or &gt;25</w:t>
            </w:r>
          </w:p>
        </w:tc>
      </w:tr>
    </w:tbl>
    <w:p w14:paraId="2F71A777" w14:textId="1B3C8F66" w:rsidR="008B2B50" w:rsidRDefault="008B2B50" w:rsidP="00301934">
      <w:pPr>
        <w:spacing w:before="240" w:line="480" w:lineRule="auto"/>
        <w:rPr>
          <w:rFonts w:ascii="Times New Roman" w:hAnsi="Times New Roman" w:cs="Times New Roman"/>
          <w:b/>
          <w:sz w:val="20"/>
          <w:szCs w:val="20"/>
          <w:lang w:val="en-US"/>
        </w:rPr>
      </w:pPr>
      <w:r w:rsidRPr="008B2B50">
        <w:rPr>
          <w:rFonts w:ascii="Times New Roman" w:hAnsi="Times New Roman" w:cs="Times New Roman"/>
          <w:b/>
          <w:sz w:val="20"/>
          <w:szCs w:val="20"/>
          <w:vertAlign w:val="superscript"/>
          <w:lang w:val="en-US"/>
        </w:rPr>
        <w:t>a</w:t>
      </w:r>
      <w:r>
        <w:rPr>
          <w:rFonts w:ascii="Times New Roman" w:hAnsi="Times New Roman" w:cs="Times New Roman"/>
          <w:b/>
          <w:sz w:val="20"/>
          <w:szCs w:val="20"/>
          <w:vertAlign w:val="superscript"/>
          <w:lang w:val="en-US"/>
        </w:rPr>
        <w:t xml:space="preserve"> </w:t>
      </w:r>
      <w:r>
        <w:rPr>
          <w:rFonts w:ascii="Times New Roman" w:hAnsi="Times New Roman" w:cs="Times New Roman"/>
          <w:sz w:val="20"/>
          <w:szCs w:val="20"/>
          <w:lang w:val="en-US"/>
        </w:rPr>
        <w:t>F</w:t>
      </w:r>
      <w:r w:rsidRPr="008B2B50">
        <w:rPr>
          <w:rFonts w:ascii="Times New Roman" w:hAnsi="Times New Roman" w:cs="Times New Roman"/>
          <w:sz w:val="20"/>
          <w:szCs w:val="20"/>
          <w:lang w:val="en-US"/>
        </w:rPr>
        <w:t>atty acid ratio of monounsaturated plus polyunsaturated fatty acids to saturated fatty acids</w:t>
      </w:r>
    </w:p>
    <w:p w14:paraId="4F527F5A" w14:textId="723328F9" w:rsidR="00DB476F" w:rsidRDefault="00DB476F" w:rsidP="00301934">
      <w:pPr>
        <w:spacing w:before="240" w:line="480" w:lineRule="auto"/>
        <w:rPr>
          <w:rFonts w:ascii="Times New Roman" w:hAnsi="Times New Roman" w:cs="Times New Roman"/>
          <w:b/>
          <w:sz w:val="20"/>
          <w:szCs w:val="20"/>
          <w:lang w:val="en-US"/>
        </w:rPr>
      </w:pPr>
    </w:p>
    <w:p w14:paraId="2FB7BBAA" w14:textId="36A72F1E" w:rsidR="00BF1A06" w:rsidRDefault="00BF1A06" w:rsidP="00301934">
      <w:pPr>
        <w:spacing w:before="240" w:line="480" w:lineRule="auto"/>
        <w:rPr>
          <w:rFonts w:ascii="Times New Roman" w:hAnsi="Times New Roman" w:cs="Times New Roman"/>
          <w:b/>
          <w:sz w:val="20"/>
          <w:szCs w:val="20"/>
          <w:lang w:val="en-US"/>
        </w:rPr>
      </w:pPr>
    </w:p>
    <w:p w14:paraId="46C75AE1" w14:textId="68F6406E" w:rsidR="00BF1A06" w:rsidRDefault="00BF1A06" w:rsidP="00301934">
      <w:pPr>
        <w:spacing w:before="240" w:line="480" w:lineRule="auto"/>
        <w:rPr>
          <w:rFonts w:ascii="Times New Roman" w:hAnsi="Times New Roman" w:cs="Times New Roman"/>
          <w:b/>
          <w:sz w:val="20"/>
          <w:szCs w:val="20"/>
          <w:lang w:val="en-US"/>
        </w:rPr>
      </w:pPr>
    </w:p>
    <w:p w14:paraId="4A129BDE" w14:textId="46F280AB" w:rsidR="00BF1A06" w:rsidRDefault="00BF1A06" w:rsidP="00301934">
      <w:pPr>
        <w:spacing w:before="240" w:line="480" w:lineRule="auto"/>
        <w:rPr>
          <w:rFonts w:ascii="Times New Roman" w:hAnsi="Times New Roman" w:cs="Times New Roman"/>
          <w:b/>
          <w:sz w:val="20"/>
          <w:szCs w:val="20"/>
          <w:lang w:val="en-US"/>
        </w:rPr>
      </w:pPr>
    </w:p>
    <w:p w14:paraId="60274DF1" w14:textId="461BCCA2" w:rsidR="00301934" w:rsidRDefault="00DB476F" w:rsidP="00BB3F05">
      <w:pPr>
        <w:spacing w:before="120" w:after="120" w:line="360" w:lineRule="auto"/>
        <w:rPr>
          <w:rFonts w:ascii="Times New Roman" w:eastAsiaTheme="minorHAnsi" w:hAnsi="Times New Roman" w:cs="Times New Roman"/>
          <w:sz w:val="20"/>
          <w:szCs w:val="20"/>
          <w:lang w:val="en-US"/>
        </w:rPr>
      </w:pPr>
      <w:r>
        <w:rPr>
          <w:rFonts w:ascii="Times New Roman" w:hAnsi="Times New Roman" w:cs="Times New Roman"/>
          <w:b/>
          <w:sz w:val="20"/>
          <w:szCs w:val="20"/>
          <w:lang w:val="en-US"/>
        </w:rPr>
        <w:lastRenderedPageBreak/>
        <w:t>Supplementary</w:t>
      </w:r>
      <w:r w:rsidR="00301934">
        <w:rPr>
          <w:rFonts w:ascii="Times New Roman" w:hAnsi="Times New Roman" w:cs="Times New Roman"/>
          <w:b/>
          <w:sz w:val="20"/>
          <w:szCs w:val="20"/>
          <w:lang w:val="en-US"/>
        </w:rPr>
        <w:t xml:space="preserve"> Fig</w:t>
      </w:r>
      <w:r w:rsidR="008B2B50">
        <w:rPr>
          <w:rFonts w:ascii="Times New Roman" w:hAnsi="Times New Roman" w:cs="Times New Roman"/>
          <w:b/>
          <w:sz w:val="20"/>
          <w:szCs w:val="20"/>
          <w:lang w:val="en-US"/>
        </w:rPr>
        <w:t>ure 1</w:t>
      </w:r>
      <w:r w:rsidR="00301934">
        <w:rPr>
          <w:rFonts w:ascii="Times New Roman" w:hAnsi="Times New Roman" w:cs="Times New Roman"/>
          <w:b/>
          <w:sz w:val="20"/>
          <w:szCs w:val="20"/>
          <w:lang w:val="en-US"/>
        </w:rPr>
        <w:t xml:space="preserve"> </w:t>
      </w:r>
      <w:r w:rsidR="00301934" w:rsidRPr="00301934">
        <w:rPr>
          <w:rFonts w:ascii="Times New Roman" w:hAnsi="Times New Roman" w:cs="Times New Roman"/>
          <w:sz w:val="20"/>
          <w:szCs w:val="20"/>
        </w:rPr>
        <w:t>Directed acyclic graph (DAG) showing the relationships among the exposure (Diet; represented by the green oval with the triangle), outcome (</w:t>
      </w:r>
      <w:r w:rsidR="00A273C3">
        <w:rPr>
          <w:rFonts w:ascii="Times New Roman" w:hAnsi="Times New Roman" w:cs="Times New Roman"/>
          <w:sz w:val="20"/>
          <w:szCs w:val="20"/>
        </w:rPr>
        <w:t>Reaction time</w:t>
      </w:r>
      <w:r w:rsidR="00301934" w:rsidRPr="00301934">
        <w:rPr>
          <w:rFonts w:ascii="Times New Roman" w:hAnsi="Times New Roman" w:cs="Times New Roman"/>
          <w:sz w:val="20"/>
          <w:szCs w:val="20"/>
        </w:rPr>
        <w:t>; represented by the blue oval with the line), and related factors.</w:t>
      </w:r>
    </w:p>
    <w:p w14:paraId="737D4FBF" w14:textId="24620C21" w:rsidR="00301934" w:rsidRDefault="00A273C3" w:rsidP="00301934">
      <w:pPr>
        <w:jc w:val="center"/>
        <w:rPr>
          <w:sz w:val="24"/>
          <w:szCs w:val="24"/>
        </w:rPr>
      </w:pPr>
      <w:r>
        <w:rPr>
          <w:noProof/>
        </w:rPr>
        <w:drawing>
          <wp:inline distT="0" distB="0" distL="0" distR="0" wp14:anchorId="12ED9A13" wp14:editId="5D2641F0">
            <wp:extent cx="5274310" cy="3177251"/>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39760"/>
                    <a:stretch/>
                  </pic:blipFill>
                  <pic:spPr bwMode="auto">
                    <a:xfrm>
                      <a:off x="0" y="0"/>
                      <a:ext cx="5274310" cy="3177251"/>
                    </a:xfrm>
                    <a:prstGeom prst="rect">
                      <a:avLst/>
                    </a:prstGeom>
                    <a:noFill/>
                    <a:ln>
                      <a:noFill/>
                    </a:ln>
                    <a:extLst>
                      <a:ext uri="{53640926-AAD7-44D8-BBD7-CCE9431645EC}">
                        <a14:shadowObscured xmlns:a14="http://schemas.microsoft.com/office/drawing/2010/main"/>
                      </a:ext>
                    </a:extLst>
                  </pic:spPr>
                </pic:pic>
              </a:graphicData>
            </a:graphic>
          </wp:inline>
        </w:drawing>
      </w:r>
    </w:p>
    <w:p w14:paraId="29695A15" w14:textId="77777777" w:rsidR="00301934" w:rsidRDefault="00301934" w:rsidP="00301934">
      <w:pPr>
        <w:rPr>
          <w:sz w:val="24"/>
          <w:szCs w:val="24"/>
        </w:rPr>
      </w:pPr>
    </w:p>
    <w:p w14:paraId="6E15F34D" w14:textId="35DF5F87" w:rsidR="00A855E0" w:rsidRDefault="00301934" w:rsidP="00A273C3">
      <w:pPr>
        <w:rPr>
          <w:rFonts w:ascii="Times New Roman" w:hAnsi="Times New Roman" w:cs="Times New Roman"/>
          <w:sz w:val="20"/>
          <w:szCs w:val="20"/>
        </w:rPr>
      </w:pPr>
      <w:r w:rsidRPr="00301934">
        <w:rPr>
          <w:rFonts w:ascii="Times New Roman" w:hAnsi="Times New Roman" w:cs="Times New Roman"/>
          <w:sz w:val="20"/>
          <w:szCs w:val="20"/>
        </w:rPr>
        <w:t>Variables represented as pink ovals are ancestors of exposure and outcome while variables represented as blue ovals (BMI) are ancestors only of the outcome. Pink lines are biasing paths and the green line between the exposure and outcome is the causal path of interest. SES, social economic status; BMI, body mass index.</w:t>
      </w:r>
    </w:p>
    <w:p w14:paraId="62B1AF24" w14:textId="68921024" w:rsidR="00032DB1" w:rsidRPr="00A42A20" w:rsidRDefault="00032DB1" w:rsidP="00032DB1">
      <w:pPr>
        <w:rPr>
          <w:rFonts w:ascii="Times New Roman" w:hAnsi="Times New Roman" w:cs="Times New Roman"/>
          <w:sz w:val="20"/>
          <w:szCs w:val="20"/>
        </w:rPr>
      </w:pPr>
    </w:p>
    <w:sectPr w:rsidR="00032DB1" w:rsidRPr="00A42A20" w:rsidSect="00A273C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7FB2D" w14:textId="77777777" w:rsidR="00E41AF0" w:rsidRDefault="00E41AF0" w:rsidP="00301934">
      <w:pPr>
        <w:spacing w:after="0" w:line="240" w:lineRule="auto"/>
      </w:pPr>
      <w:r>
        <w:separator/>
      </w:r>
    </w:p>
  </w:endnote>
  <w:endnote w:type="continuationSeparator" w:id="0">
    <w:p w14:paraId="6531E14E" w14:textId="77777777" w:rsidR="00E41AF0" w:rsidRDefault="00E41AF0" w:rsidP="0030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47464" w14:textId="77777777" w:rsidR="00E41AF0" w:rsidRDefault="00E41AF0" w:rsidP="00301934">
      <w:pPr>
        <w:spacing w:after="0" w:line="240" w:lineRule="auto"/>
      </w:pPr>
      <w:r>
        <w:separator/>
      </w:r>
    </w:p>
  </w:footnote>
  <w:footnote w:type="continuationSeparator" w:id="0">
    <w:p w14:paraId="3C5679B5" w14:textId="77777777" w:rsidR="00E41AF0" w:rsidRDefault="00E41AF0" w:rsidP="003019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BB"/>
    <w:rsid w:val="00032DB1"/>
    <w:rsid w:val="00072588"/>
    <w:rsid w:val="00085618"/>
    <w:rsid w:val="00100779"/>
    <w:rsid w:val="001718E6"/>
    <w:rsid w:val="00182CD2"/>
    <w:rsid w:val="001E7BD3"/>
    <w:rsid w:val="002304BB"/>
    <w:rsid w:val="002952DD"/>
    <w:rsid w:val="002F15D6"/>
    <w:rsid w:val="00301934"/>
    <w:rsid w:val="00315C6A"/>
    <w:rsid w:val="00343920"/>
    <w:rsid w:val="00363D3B"/>
    <w:rsid w:val="0038307C"/>
    <w:rsid w:val="003C2C53"/>
    <w:rsid w:val="004139CC"/>
    <w:rsid w:val="00420756"/>
    <w:rsid w:val="00430A1C"/>
    <w:rsid w:val="004738D0"/>
    <w:rsid w:val="00473A8A"/>
    <w:rsid w:val="004A2A0F"/>
    <w:rsid w:val="004C1FA7"/>
    <w:rsid w:val="0054012C"/>
    <w:rsid w:val="0055477B"/>
    <w:rsid w:val="00583281"/>
    <w:rsid w:val="005850D4"/>
    <w:rsid w:val="005B33C3"/>
    <w:rsid w:val="00600ADA"/>
    <w:rsid w:val="00684786"/>
    <w:rsid w:val="006B3E7A"/>
    <w:rsid w:val="006B3EB1"/>
    <w:rsid w:val="00701A61"/>
    <w:rsid w:val="007051E4"/>
    <w:rsid w:val="00743228"/>
    <w:rsid w:val="00753ECE"/>
    <w:rsid w:val="007D4B1A"/>
    <w:rsid w:val="008151F8"/>
    <w:rsid w:val="0084240D"/>
    <w:rsid w:val="00880F64"/>
    <w:rsid w:val="00891625"/>
    <w:rsid w:val="008B2B50"/>
    <w:rsid w:val="008E7B20"/>
    <w:rsid w:val="00900712"/>
    <w:rsid w:val="009B03E5"/>
    <w:rsid w:val="009D3A6F"/>
    <w:rsid w:val="009E1512"/>
    <w:rsid w:val="009E45F8"/>
    <w:rsid w:val="009E7FBB"/>
    <w:rsid w:val="00A273C3"/>
    <w:rsid w:val="00A42A20"/>
    <w:rsid w:val="00A5116E"/>
    <w:rsid w:val="00A77C74"/>
    <w:rsid w:val="00A855E0"/>
    <w:rsid w:val="00B1041F"/>
    <w:rsid w:val="00B2292E"/>
    <w:rsid w:val="00B75730"/>
    <w:rsid w:val="00BB3F05"/>
    <w:rsid w:val="00BF1A06"/>
    <w:rsid w:val="00BF1B9C"/>
    <w:rsid w:val="00C1210D"/>
    <w:rsid w:val="00C60242"/>
    <w:rsid w:val="00C70A74"/>
    <w:rsid w:val="00C7180A"/>
    <w:rsid w:val="00CB3476"/>
    <w:rsid w:val="00CC66A4"/>
    <w:rsid w:val="00CD2D9A"/>
    <w:rsid w:val="00CE61EE"/>
    <w:rsid w:val="00D52C5F"/>
    <w:rsid w:val="00DB476F"/>
    <w:rsid w:val="00E26A4F"/>
    <w:rsid w:val="00E41AF0"/>
    <w:rsid w:val="00E651EC"/>
    <w:rsid w:val="00E737D5"/>
    <w:rsid w:val="00EA4D4B"/>
    <w:rsid w:val="00EC7A1D"/>
    <w:rsid w:val="00EE66D1"/>
    <w:rsid w:val="00F225AC"/>
    <w:rsid w:val="00F37F27"/>
    <w:rsid w:val="00F71536"/>
    <w:rsid w:val="00F812E3"/>
    <w:rsid w:val="00F95964"/>
    <w:rsid w:val="00FB0E8B"/>
    <w:rsid w:val="00FB4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95C7"/>
  <w15:chartTrackingRefBased/>
  <w15:docId w15:val="{4352AE2E-91A8-443A-B585-3B26D1EA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34"/>
    <w:rPr>
      <w:rFonts w:eastAsia="宋体"/>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934"/>
    <w:pPr>
      <w:widowControl w:val="0"/>
      <w:tabs>
        <w:tab w:val="center" w:pos="4153"/>
        <w:tab w:val="right" w:pos="8306"/>
      </w:tabs>
      <w:spacing w:after="0" w:line="240" w:lineRule="auto"/>
      <w:jc w:val="both"/>
    </w:pPr>
    <w:rPr>
      <w:rFonts w:eastAsiaTheme="minorEastAsia"/>
      <w:lang w:eastAsia="zh-CN"/>
    </w:rPr>
  </w:style>
  <w:style w:type="character" w:customStyle="1" w:styleId="HeaderChar">
    <w:name w:val="Header Char"/>
    <w:basedOn w:val="DefaultParagraphFont"/>
    <w:link w:val="Header"/>
    <w:uiPriority w:val="99"/>
    <w:rsid w:val="00301934"/>
  </w:style>
  <w:style w:type="paragraph" w:styleId="Footer">
    <w:name w:val="footer"/>
    <w:basedOn w:val="Normal"/>
    <w:link w:val="FooterChar"/>
    <w:uiPriority w:val="99"/>
    <w:unhideWhenUsed/>
    <w:rsid w:val="00301934"/>
    <w:pPr>
      <w:widowControl w:val="0"/>
      <w:tabs>
        <w:tab w:val="center" w:pos="4153"/>
        <w:tab w:val="right" w:pos="8306"/>
      </w:tabs>
      <w:spacing w:after="0" w:line="240" w:lineRule="auto"/>
      <w:jc w:val="both"/>
    </w:pPr>
    <w:rPr>
      <w:rFonts w:eastAsiaTheme="minorEastAsia"/>
      <w:lang w:eastAsia="zh-CN"/>
    </w:rPr>
  </w:style>
  <w:style w:type="character" w:customStyle="1" w:styleId="FooterChar">
    <w:name w:val="Footer Char"/>
    <w:basedOn w:val="DefaultParagraphFont"/>
    <w:link w:val="Footer"/>
    <w:uiPriority w:val="99"/>
    <w:rsid w:val="00301934"/>
  </w:style>
  <w:style w:type="character" w:styleId="Hyperlink">
    <w:name w:val="Hyperlink"/>
    <w:basedOn w:val="DefaultParagraphFont"/>
    <w:uiPriority w:val="99"/>
    <w:unhideWhenUsed/>
    <w:rsid w:val="00301934"/>
    <w:rPr>
      <w:color w:val="0000FF"/>
      <w:u w:val="single"/>
    </w:rPr>
  </w:style>
  <w:style w:type="character" w:customStyle="1" w:styleId="UnresolvedMention1">
    <w:name w:val="Unresolved Mention1"/>
    <w:basedOn w:val="DefaultParagraphFont"/>
    <w:uiPriority w:val="99"/>
    <w:semiHidden/>
    <w:unhideWhenUsed/>
    <w:rsid w:val="00301934"/>
    <w:rPr>
      <w:color w:val="605E5C"/>
      <w:shd w:val="clear" w:color="auto" w:fill="E1DFDD"/>
    </w:rPr>
  </w:style>
  <w:style w:type="table" w:styleId="TableGrid">
    <w:name w:val="Table Grid"/>
    <w:basedOn w:val="TableNormal"/>
    <w:uiPriority w:val="39"/>
    <w:rsid w:val="008B2B50"/>
    <w:pPr>
      <w:spacing w:after="0" w:line="240" w:lineRule="auto"/>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7F27"/>
    <w:pPr>
      <w:spacing w:after="0" w:line="240" w:lineRule="auto"/>
    </w:pPr>
    <w:rPr>
      <w:rFonts w:ascii="Times New Roman" w:eastAsia="宋体"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12C"/>
    <w:pPr>
      <w:ind w:left="720"/>
      <w:contextualSpacing/>
    </w:pPr>
  </w:style>
  <w:style w:type="paragraph" w:styleId="BalloonText">
    <w:name w:val="Balloon Text"/>
    <w:basedOn w:val="Normal"/>
    <w:link w:val="BalloonTextChar"/>
    <w:uiPriority w:val="99"/>
    <w:semiHidden/>
    <w:unhideWhenUsed/>
    <w:rsid w:val="00C60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42"/>
    <w:rPr>
      <w:rFonts w:ascii="Segoe UI" w:eastAsia="宋体"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510413">
      <w:bodyDiv w:val="1"/>
      <w:marLeft w:val="0"/>
      <w:marRight w:val="0"/>
      <w:marTop w:val="0"/>
      <w:marBottom w:val="0"/>
      <w:divBdr>
        <w:top w:val="none" w:sz="0" w:space="0" w:color="auto"/>
        <w:left w:val="none" w:sz="0" w:space="0" w:color="auto"/>
        <w:bottom w:val="none" w:sz="0" w:space="0" w:color="auto"/>
        <w:right w:val="none" w:sz="0" w:space="0" w:color="auto"/>
      </w:divBdr>
    </w:div>
    <w:div w:id="1833719572">
      <w:bodyDiv w:val="1"/>
      <w:marLeft w:val="0"/>
      <w:marRight w:val="0"/>
      <w:marTop w:val="0"/>
      <w:marBottom w:val="0"/>
      <w:divBdr>
        <w:top w:val="none" w:sz="0" w:space="0" w:color="auto"/>
        <w:left w:val="none" w:sz="0" w:space="0" w:color="auto"/>
        <w:bottom w:val="none" w:sz="0" w:space="0" w:color="auto"/>
        <w:right w:val="none" w:sz="0" w:space="0" w:color="auto"/>
      </w:divBdr>
    </w:div>
    <w:div w:id="19945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hz@leeds.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Huifeng Zhang</dc:creator>
  <cp:keywords/>
  <dc:description/>
  <cp:lastModifiedBy>Huifeng Zhang</cp:lastModifiedBy>
  <cp:revision>65</cp:revision>
  <dcterms:created xsi:type="dcterms:W3CDTF">2019-12-03T23:33:00Z</dcterms:created>
  <dcterms:modified xsi:type="dcterms:W3CDTF">2020-06-16T11:13:00Z</dcterms:modified>
</cp:coreProperties>
</file>