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2692"/>
        <w:gridCol w:w="1713"/>
        <w:gridCol w:w="2729"/>
        <w:gridCol w:w="2729"/>
        <w:gridCol w:w="2729"/>
        <w:gridCol w:w="1366"/>
      </w:tblGrid>
      <w:tr w:rsidR="002D174E" w:rsidRPr="002D174E" w14:paraId="0243B64B" w14:textId="77777777" w:rsidTr="002D174E">
        <w:trPr>
          <w:trHeight w:val="345"/>
        </w:trPr>
        <w:tc>
          <w:tcPr>
            <w:tcW w:w="5000" w:type="pct"/>
            <w:gridSpan w:val="6"/>
            <w:tcBorders>
              <w:top w:val="nil"/>
              <w:left w:val="nil"/>
              <w:bottom w:val="single" w:sz="4" w:space="0" w:color="auto"/>
              <w:right w:val="nil"/>
            </w:tcBorders>
            <w:shd w:val="clear" w:color="auto" w:fill="auto"/>
            <w:hideMark/>
          </w:tcPr>
          <w:p w14:paraId="1BB823D7" w14:textId="77777777" w:rsidR="002D174E" w:rsidRPr="002D174E" w:rsidRDefault="002D174E" w:rsidP="002D174E">
            <w:pPr>
              <w:widowControl/>
              <w:spacing w:line="360" w:lineRule="auto"/>
              <w:jc w:val="left"/>
              <w:rPr>
                <w:rFonts w:ascii="Times New Roman" w:eastAsia="MS Mincho" w:hAnsi="Times New Roman" w:cs="Times New Roman"/>
                <w:kern w:val="0"/>
                <w:sz w:val="24"/>
                <w:szCs w:val="24"/>
              </w:rPr>
            </w:pPr>
            <w:r w:rsidRPr="002D174E">
              <w:rPr>
                <w:rFonts w:ascii="Times New Roman" w:eastAsia="MS Mincho" w:hAnsi="Times New Roman" w:cs="Times New Roman"/>
                <w:b/>
                <w:bCs/>
                <w:kern w:val="0"/>
                <w:sz w:val="24"/>
                <w:szCs w:val="24"/>
              </w:rPr>
              <w:t>Supplemental Table 2.</w:t>
            </w:r>
            <w:r w:rsidRPr="002D174E">
              <w:rPr>
                <w:rFonts w:ascii="Times New Roman" w:eastAsia="MS Mincho" w:hAnsi="Times New Roman" w:cs="Times New Roman"/>
                <w:kern w:val="0"/>
                <w:sz w:val="24"/>
                <w:szCs w:val="24"/>
              </w:rPr>
              <w:t xml:space="preserve"> Association of energy-adjusted honey intake with NAFLD in the TCLSIH Study (n=21,979)</w:t>
            </w:r>
          </w:p>
        </w:tc>
      </w:tr>
      <w:tr w:rsidR="002D174E" w:rsidRPr="002D174E" w14:paraId="17C8978F" w14:textId="77777777" w:rsidTr="002D174E">
        <w:trPr>
          <w:trHeight w:val="315"/>
        </w:trPr>
        <w:tc>
          <w:tcPr>
            <w:tcW w:w="968" w:type="pct"/>
            <w:vMerge w:val="restart"/>
            <w:tcBorders>
              <w:top w:val="nil"/>
              <w:left w:val="nil"/>
              <w:bottom w:val="single" w:sz="4" w:space="0" w:color="000000"/>
              <w:right w:val="nil"/>
            </w:tcBorders>
            <w:shd w:val="clear" w:color="auto" w:fill="auto"/>
            <w:vAlign w:val="center"/>
            <w:hideMark/>
          </w:tcPr>
          <w:p w14:paraId="7AB4FDC9" w14:textId="77777777" w:rsidR="002D174E" w:rsidRPr="002D174E" w:rsidRDefault="002D174E" w:rsidP="002D174E">
            <w:pPr>
              <w:widowControl/>
              <w:spacing w:line="360" w:lineRule="auto"/>
              <w:jc w:val="left"/>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Logistic regression models</w:t>
            </w:r>
          </w:p>
        </w:tc>
        <w:tc>
          <w:tcPr>
            <w:tcW w:w="3552" w:type="pct"/>
            <w:gridSpan w:val="4"/>
            <w:tcBorders>
              <w:top w:val="single" w:sz="4" w:space="0" w:color="auto"/>
              <w:left w:val="nil"/>
              <w:bottom w:val="single" w:sz="4" w:space="0" w:color="auto"/>
              <w:right w:val="nil"/>
            </w:tcBorders>
            <w:shd w:val="clear" w:color="auto" w:fill="auto"/>
            <w:noWrap/>
            <w:vAlign w:val="center"/>
            <w:hideMark/>
          </w:tcPr>
          <w:p w14:paraId="0C78FE1D" w14:textId="79C3C04E"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Honey intake (g/1000 kcal per day)</w:t>
            </w:r>
            <w:r w:rsidR="00746FD0">
              <w:rPr>
                <w:rFonts w:ascii="Times New Roman" w:eastAsia="MS Mincho" w:hAnsi="Times New Roman" w:cs="Times New Roman"/>
                <w:kern w:val="0"/>
                <w:sz w:val="24"/>
                <w:szCs w:val="24"/>
              </w:rPr>
              <w:t xml:space="preserve"> </w:t>
            </w:r>
            <w:r w:rsidR="00746FD0" w:rsidRPr="00746FD0">
              <w:rPr>
                <w:rFonts w:ascii="Times New Roman" w:eastAsia="MS Mincho" w:hAnsi="Times New Roman" w:cs="Times New Roman" w:hint="eastAsia"/>
                <w:kern w:val="0"/>
                <w:sz w:val="24"/>
                <w:szCs w:val="24"/>
                <w:vertAlign w:val="superscript"/>
              </w:rPr>
              <w:t>a</w:t>
            </w:r>
          </w:p>
        </w:tc>
        <w:tc>
          <w:tcPr>
            <w:tcW w:w="480" w:type="pct"/>
            <w:vMerge w:val="restart"/>
            <w:tcBorders>
              <w:top w:val="nil"/>
              <w:left w:val="nil"/>
              <w:bottom w:val="single" w:sz="4" w:space="0" w:color="000000"/>
              <w:right w:val="nil"/>
            </w:tcBorders>
            <w:shd w:val="clear" w:color="auto" w:fill="auto"/>
            <w:noWrap/>
            <w:vAlign w:val="center"/>
            <w:hideMark/>
          </w:tcPr>
          <w:p w14:paraId="18B94CEB" w14:textId="73856C34"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i/>
                <w:iCs/>
                <w:kern w:val="0"/>
                <w:sz w:val="24"/>
                <w:szCs w:val="24"/>
              </w:rPr>
              <w:t>P</w:t>
            </w:r>
            <w:r w:rsidRPr="002D174E">
              <w:rPr>
                <w:rFonts w:ascii="Times New Roman" w:eastAsia="MS Mincho" w:hAnsi="Times New Roman" w:cs="Times New Roman"/>
                <w:kern w:val="0"/>
                <w:sz w:val="24"/>
                <w:szCs w:val="24"/>
              </w:rPr>
              <w:t xml:space="preserve"> for trend</w:t>
            </w:r>
            <w:r w:rsidRPr="002D174E">
              <w:rPr>
                <w:rFonts w:ascii="Times New Roman" w:eastAsia="MS Mincho" w:hAnsi="Times New Roman" w:cs="Times New Roman"/>
                <w:kern w:val="0"/>
                <w:sz w:val="24"/>
                <w:szCs w:val="24"/>
                <w:vertAlign w:val="superscript"/>
              </w:rPr>
              <w:t xml:space="preserve"> </w:t>
            </w:r>
            <w:r w:rsidR="00746FD0">
              <w:rPr>
                <w:rFonts w:ascii="Times New Roman" w:eastAsia="MS Mincho" w:hAnsi="Times New Roman" w:cs="Times New Roman"/>
                <w:kern w:val="0"/>
                <w:sz w:val="24"/>
                <w:szCs w:val="24"/>
                <w:vertAlign w:val="superscript"/>
              </w:rPr>
              <w:t>b</w:t>
            </w:r>
          </w:p>
        </w:tc>
      </w:tr>
      <w:tr w:rsidR="002D174E" w:rsidRPr="002D174E" w14:paraId="42742656" w14:textId="77777777" w:rsidTr="002D174E">
        <w:trPr>
          <w:trHeight w:val="375"/>
        </w:trPr>
        <w:tc>
          <w:tcPr>
            <w:tcW w:w="968" w:type="pct"/>
            <w:vMerge/>
            <w:tcBorders>
              <w:top w:val="nil"/>
              <w:left w:val="nil"/>
              <w:bottom w:val="single" w:sz="4" w:space="0" w:color="000000"/>
              <w:right w:val="nil"/>
            </w:tcBorders>
            <w:vAlign w:val="center"/>
            <w:hideMark/>
          </w:tcPr>
          <w:p w14:paraId="056B07AB" w14:textId="77777777" w:rsidR="002D174E" w:rsidRPr="002D174E" w:rsidRDefault="002D174E" w:rsidP="002D174E">
            <w:pPr>
              <w:widowControl/>
              <w:spacing w:line="360" w:lineRule="auto"/>
              <w:jc w:val="left"/>
              <w:rPr>
                <w:rFonts w:ascii="Times New Roman" w:eastAsia="MS Mincho" w:hAnsi="Times New Roman" w:cs="Times New Roman"/>
                <w:kern w:val="0"/>
                <w:sz w:val="24"/>
                <w:szCs w:val="24"/>
              </w:rPr>
            </w:pPr>
          </w:p>
        </w:tc>
        <w:tc>
          <w:tcPr>
            <w:tcW w:w="607" w:type="pct"/>
            <w:tcBorders>
              <w:top w:val="nil"/>
              <w:left w:val="nil"/>
              <w:bottom w:val="single" w:sz="4" w:space="0" w:color="auto"/>
              <w:right w:val="nil"/>
            </w:tcBorders>
            <w:shd w:val="clear" w:color="auto" w:fill="auto"/>
            <w:vAlign w:val="center"/>
            <w:hideMark/>
          </w:tcPr>
          <w:p w14:paraId="7611DFDE"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almost never</w:t>
            </w:r>
          </w:p>
        </w:tc>
        <w:tc>
          <w:tcPr>
            <w:tcW w:w="982" w:type="pct"/>
            <w:tcBorders>
              <w:top w:val="nil"/>
              <w:left w:val="nil"/>
              <w:bottom w:val="single" w:sz="4" w:space="0" w:color="auto"/>
              <w:right w:val="nil"/>
            </w:tcBorders>
            <w:shd w:val="clear" w:color="auto" w:fill="auto"/>
            <w:vAlign w:val="center"/>
            <w:hideMark/>
          </w:tcPr>
          <w:p w14:paraId="26C6430F"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Tertile 1</w:t>
            </w:r>
          </w:p>
        </w:tc>
        <w:tc>
          <w:tcPr>
            <w:tcW w:w="982" w:type="pct"/>
            <w:tcBorders>
              <w:top w:val="nil"/>
              <w:left w:val="nil"/>
              <w:bottom w:val="single" w:sz="4" w:space="0" w:color="auto"/>
              <w:right w:val="nil"/>
            </w:tcBorders>
            <w:shd w:val="clear" w:color="auto" w:fill="auto"/>
            <w:vAlign w:val="center"/>
            <w:hideMark/>
          </w:tcPr>
          <w:p w14:paraId="1F075039"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Tertile 2</w:t>
            </w:r>
          </w:p>
        </w:tc>
        <w:tc>
          <w:tcPr>
            <w:tcW w:w="982" w:type="pct"/>
            <w:tcBorders>
              <w:top w:val="nil"/>
              <w:left w:val="nil"/>
              <w:bottom w:val="single" w:sz="4" w:space="0" w:color="auto"/>
              <w:right w:val="nil"/>
            </w:tcBorders>
            <w:shd w:val="clear" w:color="auto" w:fill="auto"/>
            <w:vAlign w:val="center"/>
            <w:hideMark/>
          </w:tcPr>
          <w:p w14:paraId="769D4FE7"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Tertile 3</w:t>
            </w:r>
          </w:p>
        </w:tc>
        <w:tc>
          <w:tcPr>
            <w:tcW w:w="480" w:type="pct"/>
            <w:vMerge/>
            <w:tcBorders>
              <w:top w:val="nil"/>
              <w:left w:val="nil"/>
              <w:bottom w:val="single" w:sz="4" w:space="0" w:color="000000"/>
              <w:right w:val="nil"/>
            </w:tcBorders>
            <w:vAlign w:val="center"/>
            <w:hideMark/>
          </w:tcPr>
          <w:p w14:paraId="0C0F4FC6" w14:textId="77777777" w:rsidR="002D174E" w:rsidRPr="002D174E" w:rsidRDefault="002D174E" w:rsidP="002D174E">
            <w:pPr>
              <w:widowControl/>
              <w:spacing w:line="360" w:lineRule="auto"/>
              <w:jc w:val="left"/>
              <w:rPr>
                <w:rFonts w:ascii="Times New Roman" w:eastAsia="MS Mincho" w:hAnsi="Times New Roman" w:cs="Times New Roman"/>
                <w:kern w:val="0"/>
                <w:sz w:val="24"/>
                <w:szCs w:val="24"/>
              </w:rPr>
            </w:pPr>
          </w:p>
        </w:tc>
      </w:tr>
      <w:tr w:rsidR="002D174E" w:rsidRPr="002D174E" w14:paraId="000E4CDB" w14:textId="77777777" w:rsidTr="002D174E">
        <w:trPr>
          <w:trHeight w:val="375"/>
        </w:trPr>
        <w:tc>
          <w:tcPr>
            <w:tcW w:w="968" w:type="pct"/>
            <w:tcBorders>
              <w:top w:val="nil"/>
              <w:left w:val="nil"/>
              <w:bottom w:val="nil"/>
              <w:right w:val="nil"/>
            </w:tcBorders>
            <w:shd w:val="clear" w:color="auto" w:fill="auto"/>
            <w:vAlign w:val="center"/>
            <w:hideMark/>
          </w:tcPr>
          <w:p w14:paraId="7CEF8F0D" w14:textId="0EFD667F" w:rsidR="002D174E" w:rsidRPr="002D174E" w:rsidRDefault="002D174E" w:rsidP="002D174E">
            <w:pPr>
              <w:widowControl/>
              <w:spacing w:line="360" w:lineRule="auto"/>
              <w:jc w:val="left"/>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Rang</w:t>
            </w:r>
            <w:r w:rsidR="008F2309">
              <w:rPr>
                <w:rFonts w:ascii="Times New Roman" w:eastAsia="MS Mincho" w:hAnsi="Times New Roman" w:cs="Times New Roman"/>
                <w:kern w:val="0"/>
                <w:sz w:val="24"/>
                <w:szCs w:val="24"/>
              </w:rPr>
              <w:t>e</w:t>
            </w:r>
            <w:r w:rsidRPr="002D174E">
              <w:rPr>
                <w:rFonts w:ascii="Times New Roman" w:eastAsia="MS Mincho" w:hAnsi="Times New Roman" w:cs="Times New Roman"/>
                <w:kern w:val="0"/>
                <w:sz w:val="24"/>
                <w:szCs w:val="24"/>
              </w:rPr>
              <w:t xml:space="preserve"> (women/men)</w:t>
            </w:r>
          </w:p>
        </w:tc>
        <w:tc>
          <w:tcPr>
            <w:tcW w:w="607" w:type="pct"/>
            <w:tcBorders>
              <w:top w:val="nil"/>
              <w:left w:val="nil"/>
              <w:bottom w:val="nil"/>
              <w:right w:val="nil"/>
            </w:tcBorders>
            <w:shd w:val="clear" w:color="auto" w:fill="auto"/>
            <w:vAlign w:val="center"/>
            <w:hideMark/>
          </w:tcPr>
          <w:p w14:paraId="0D4FCF73"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0</w:t>
            </w:r>
          </w:p>
        </w:tc>
        <w:tc>
          <w:tcPr>
            <w:tcW w:w="982" w:type="pct"/>
            <w:tcBorders>
              <w:top w:val="nil"/>
              <w:left w:val="nil"/>
              <w:bottom w:val="nil"/>
              <w:right w:val="nil"/>
            </w:tcBorders>
            <w:shd w:val="clear" w:color="auto" w:fill="auto"/>
            <w:vAlign w:val="center"/>
            <w:hideMark/>
          </w:tcPr>
          <w:p w14:paraId="49D62DA4"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(0.09, 0.23) / (0.07, 0.26)</w:t>
            </w:r>
          </w:p>
        </w:tc>
        <w:tc>
          <w:tcPr>
            <w:tcW w:w="982" w:type="pct"/>
            <w:tcBorders>
              <w:top w:val="nil"/>
              <w:left w:val="nil"/>
              <w:bottom w:val="nil"/>
              <w:right w:val="nil"/>
            </w:tcBorders>
            <w:shd w:val="clear" w:color="auto" w:fill="auto"/>
            <w:vAlign w:val="center"/>
            <w:hideMark/>
          </w:tcPr>
          <w:p w14:paraId="38A1D5A1"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(0.23, 0.64) / (0.26, 0.88)</w:t>
            </w:r>
          </w:p>
        </w:tc>
        <w:tc>
          <w:tcPr>
            <w:tcW w:w="982" w:type="pct"/>
            <w:tcBorders>
              <w:top w:val="nil"/>
              <w:left w:val="nil"/>
              <w:bottom w:val="nil"/>
              <w:right w:val="nil"/>
            </w:tcBorders>
            <w:shd w:val="clear" w:color="auto" w:fill="auto"/>
            <w:vAlign w:val="center"/>
            <w:hideMark/>
          </w:tcPr>
          <w:p w14:paraId="338D4E4A"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(0.64, 13.3) / (0.88, 15.1)</w:t>
            </w:r>
          </w:p>
        </w:tc>
        <w:tc>
          <w:tcPr>
            <w:tcW w:w="480" w:type="pct"/>
            <w:tcBorders>
              <w:top w:val="nil"/>
              <w:left w:val="nil"/>
              <w:bottom w:val="nil"/>
              <w:right w:val="nil"/>
            </w:tcBorders>
            <w:shd w:val="clear" w:color="auto" w:fill="auto"/>
            <w:noWrap/>
            <w:vAlign w:val="center"/>
            <w:hideMark/>
          </w:tcPr>
          <w:p w14:paraId="4F014DB1"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w:t>
            </w:r>
          </w:p>
        </w:tc>
      </w:tr>
      <w:tr w:rsidR="002D174E" w:rsidRPr="002D174E" w14:paraId="3EEDEF21" w14:textId="77777777" w:rsidTr="002D174E">
        <w:trPr>
          <w:trHeight w:val="375"/>
        </w:trPr>
        <w:tc>
          <w:tcPr>
            <w:tcW w:w="968" w:type="pct"/>
            <w:tcBorders>
              <w:top w:val="nil"/>
              <w:left w:val="nil"/>
              <w:bottom w:val="nil"/>
              <w:right w:val="nil"/>
            </w:tcBorders>
            <w:shd w:val="clear" w:color="auto" w:fill="auto"/>
            <w:noWrap/>
            <w:vAlign w:val="center"/>
            <w:hideMark/>
          </w:tcPr>
          <w:p w14:paraId="3FA720F6" w14:textId="2250D3F0" w:rsidR="002D174E" w:rsidRPr="002D174E" w:rsidRDefault="002D174E" w:rsidP="002D174E">
            <w:pPr>
              <w:widowControl/>
              <w:spacing w:line="360" w:lineRule="auto"/>
              <w:jc w:val="left"/>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 xml:space="preserve">No. of </w:t>
            </w:r>
            <w:r w:rsidR="008F2309">
              <w:rPr>
                <w:rFonts w:ascii="Times New Roman" w:eastAsia="MS Mincho" w:hAnsi="Times New Roman" w:cs="Times New Roman"/>
                <w:kern w:val="0"/>
                <w:sz w:val="24"/>
                <w:szCs w:val="24"/>
              </w:rPr>
              <w:t>participants</w:t>
            </w:r>
          </w:p>
        </w:tc>
        <w:tc>
          <w:tcPr>
            <w:tcW w:w="607" w:type="pct"/>
            <w:tcBorders>
              <w:top w:val="nil"/>
              <w:left w:val="nil"/>
              <w:bottom w:val="nil"/>
              <w:right w:val="nil"/>
            </w:tcBorders>
            <w:shd w:val="clear" w:color="auto" w:fill="auto"/>
            <w:vAlign w:val="center"/>
            <w:hideMark/>
          </w:tcPr>
          <w:p w14:paraId="09A84813"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10,286</w:t>
            </w:r>
          </w:p>
        </w:tc>
        <w:tc>
          <w:tcPr>
            <w:tcW w:w="982" w:type="pct"/>
            <w:tcBorders>
              <w:top w:val="nil"/>
              <w:left w:val="nil"/>
              <w:bottom w:val="nil"/>
              <w:right w:val="nil"/>
            </w:tcBorders>
            <w:shd w:val="clear" w:color="auto" w:fill="auto"/>
            <w:vAlign w:val="center"/>
            <w:hideMark/>
          </w:tcPr>
          <w:p w14:paraId="17E1C5B0"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3,895</w:t>
            </w:r>
          </w:p>
        </w:tc>
        <w:tc>
          <w:tcPr>
            <w:tcW w:w="982" w:type="pct"/>
            <w:tcBorders>
              <w:top w:val="nil"/>
              <w:left w:val="nil"/>
              <w:bottom w:val="nil"/>
              <w:right w:val="nil"/>
            </w:tcBorders>
            <w:shd w:val="clear" w:color="auto" w:fill="auto"/>
            <w:vAlign w:val="center"/>
            <w:hideMark/>
          </w:tcPr>
          <w:p w14:paraId="4B69C109"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3,903</w:t>
            </w:r>
          </w:p>
        </w:tc>
        <w:tc>
          <w:tcPr>
            <w:tcW w:w="982" w:type="pct"/>
            <w:tcBorders>
              <w:top w:val="nil"/>
              <w:left w:val="nil"/>
              <w:bottom w:val="nil"/>
              <w:right w:val="nil"/>
            </w:tcBorders>
            <w:shd w:val="clear" w:color="auto" w:fill="auto"/>
            <w:noWrap/>
            <w:vAlign w:val="center"/>
            <w:hideMark/>
          </w:tcPr>
          <w:p w14:paraId="331F56C7"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3,895</w:t>
            </w:r>
          </w:p>
        </w:tc>
        <w:tc>
          <w:tcPr>
            <w:tcW w:w="480" w:type="pct"/>
            <w:tcBorders>
              <w:top w:val="nil"/>
              <w:left w:val="nil"/>
              <w:bottom w:val="nil"/>
              <w:right w:val="nil"/>
            </w:tcBorders>
            <w:shd w:val="clear" w:color="auto" w:fill="auto"/>
            <w:noWrap/>
            <w:vAlign w:val="center"/>
            <w:hideMark/>
          </w:tcPr>
          <w:p w14:paraId="5450E855"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w:t>
            </w:r>
          </w:p>
        </w:tc>
      </w:tr>
      <w:tr w:rsidR="002D174E" w:rsidRPr="002D174E" w14:paraId="78E378DC" w14:textId="77777777" w:rsidTr="002D174E">
        <w:trPr>
          <w:trHeight w:val="375"/>
        </w:trPr>
        <w:tc>
          <w:tcPr>
            <w:tcW w:w="968" w:type="pct"/>
            <w:tcBorders>
              <w:top w:val="nil"/>
              <w:left w:val="nil"/>
              <w:bottom w:val="nil"/>
              <w:right w:val="nil"/>
            </w:tcBorders>
            <w:shd w:val="clear" w:color="auto" w:fill="auto"/>
            <w:noWrap/>
            <w:vAlign w:val="center"/>
            <w:hideMark/>
          </w:tcPr>
          <w:p w14:paraId="48FB8E31" w14:textId="77777777" w:rsidR="002D174E" w:rsidRPr="002D174E" w:rsidRDefault="002D174E" w:rsidP="002D174E">
            <w:pPr>
              <w:widowControl/>
              <w:spacing w:line="360" w:lineRule="auto"/>
              <w:jc w:val="left"/>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No. of NAFLD</w:t>
            </w:r>
          </w:p>
        </w:tc>
        <w:tc>
          <w:tcPr>
            <w:tcW w:w="607" w:type="pct"/>
            <w:tcBorders>
              <w:top w:val="nil"/>
              <w:left w:val="nil"/>
              <w:bottom w:val="nil"/>
              <w:right w:val="nil"/>
            </w:tcBorders>
            <w:shd w:val="clear" w:color="auto" w:fill="auto"/>
            <w:vAlign w:val="center"/>
            <w:hideMark/>
          </w:tcPr>
          <w:p w14:paraId="758AD965"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3,564</w:t>
            </w:r>
          </w:p>
        </w:tc>
        <w:tc>
          <w:tcPr>
            <w:tcW w:w="982" w:type="pct"/>
            <w:tcBorders>
              <w:top w:val="nil"/>
              <w:left w:val="nil"/>
              <w:bottom w:val="nil"/>
              <w:right w:val="nil"/>
            </w:tcBorders>
            <w:shd w:val="clear" w:color="auto" w:fill="auto"/>
            <w:vAlign w:val="center"/>
            <w:hideMark/>
          </w:tcPr>
          <w:p w14:paraId="6AC2F199"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966</w:t>
            </w:r>
          </w:p>
        </w:tc>
        <w:tc>
          <w:tcPr>
            <w:tcW w:w="982" w:type="pct"/>
            <w:tcBorders>
              <w:top w:val="nil"/>
              <w:left w:val="nil"/>
              <w:bottom w:val="nil"/>
              <w:right w:val="nil"/>
            </w:tcBorders>
            <w:shd w:val="clear" w:color="auto" w:fill="auto"/>
            <w:vAlign w:val="center"/>
            <w:hideMark/>
          </w:tcPr>
          <w:p w14:paraId="53BB68CD"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962</w:t>
            </w:r>
          </w:p>
        </w:tc>
        <w:tc>
          <w:tcPr>
            <w:tcW w:w="982" w:type="pct"/>
            <w:tcBorders>
              <w:top w:val="nil"/>
              <w:left w:val="nil"/>
              <w:bottom w:val="nil"/>
              <w:right w:val="nil"/>
            </w:tcBorders>
            <w:shd w:val="clear" w:color="auto" w:fill="auto"/>
            <w:vAlign w:val="center"/>
            <w:hideMark/>
          </w:tcPr>
          <w:p w14:paraId="57B061BA"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1,021</w:t>
            </w:r>
          </w:p>
        </w:tc>
        <w:tc>
          <w:tcPr>
            <w:tcW w:w="480" w:type="pct"/>
            <w:tcBorders>
              <w:top w:val="nil"/>
              <w:left w:val="nil"/>
              <w:bottom w:val="nil"/>
              <w:right w:val="nil"/>
            </w:tcBorders>
            <w:shd w:val="clear" w:color="auto" w:fill="auto"/>
            <w:noWrap/>
            <w:vAlign w:val="center"/>
            <w:hideMark/>
          </w:tcPr>
          <w:p w14:paraId="24A213EF"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w:t>
            </w:r>
          </w:p>
        </w:tc>
      </w:tr>
      <w:tr w:rsidR="002D174E" w:rsidRPr="002D174E" w14:paraId="48B043C9" w14:textId="77777777" w:rsidTr="002D174E">
        <w:trPr>
          <w:trHeight w:val="375"/>
        </w:trPr>
        <w:tc>
          <w:tcPr>
            <w:tcW w:w="968" w:type="pct"/>
            <w:tcBorders>
              <w:top w:val="nil"/>
              <w:left w:val="nil"/>
              <w:bottom w:val="nil"/>
              <w:right w:val="nil"/>
            </w:tcBorders>
            <w:shd w:val="clear" w:color="auto" w:fill="auto"/>
            <w:noWrap/>
            <w:vAlign w:val="center"/>
            <w:hideMark/>
          </w:tcPr>
          <w:p w14:paraId="49A0833C" w14:textId="77777777" w:rsidR="002D174E" w:rsidRPr="002D174E" w:rsidRDefault="002D174E" w:rsidP="002D174E">
            <w:pPr>
              <w:widowControl/>
              <w:spacing w:line="360" w:lineRule="auto"/>
              <w:jc w:val="left"/>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 xml:space="preserve">    Model 1</w:t>
            </w:r>
          </w:p>
        </w:tc>
        <w:tc>
          <w:tcPr>
            <w:tcW w:w="607" w:type="pct"/>
            <w:tcBorders>
              <w:top w:val="nil"/>
              <w:left w:val="nil"/>
              <w:bottom w:val="nil"/>
              <w:right w:val="nil"/>
            </w:tcBorders>
            <w:shd w:val="clear" w:color="auto" w:fill="auto"/>
            <w:vAlign w:val="center"/>
            <w:hideMark/>
          </w:tcPr>
          <w:p w14:paraId="2DD7839E"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1.00 (reference)</w:t>
            </w:r>
          </w:p>
        </w:tc>
        <w:tc>
          <w:tcPr>
            <w:tcW w:w="982" w:type="pct"/>
            <w:tcBorders>
              <w:top w:val="nil"/>
              <w:left w:val="nil"/>
              <w:bottom w:val="nil"/>
              <w:right w:val="nil"/>
            </w:tcBorders>
            <w:shd w:val="clear" w:color="auto" w:fill="auto"/>
            <w:noWrap/>
            <w:vAlign w:val="center"/>
            <w:hideMark/>
          </w:tcPr>
          <w:p w14:paraId="3FE110AD" w14:textId="4C474331"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0.82 (0.74, 0.91)</w:t>
            </w:r>
            <w:r w:rsidR="007C78C0">
              <w:rPr>
                <w:rFonts w:ascii="Times New Roman" w:eastAsia="MS Mincho" w:hAnsi="Times New Roman" w:cs="Times New Roman"/>
                <w:kern w:val="0"/>
                <w:sz w:val="24"/>
                <w:szCs w:val="24"/>
              </w:rPr>
              <w:t xml:space="preserve"> </w:t>
            </w:r>
            <w:r w:rsidR="00746FD0">
              <w:rPr>
                <w:rFonts w:ascii="Times New Roman" w:eastAsia="MS Mincho" w:hAnsi="Times New Roman" w:cs="Times New Roman"/>
                <w:kern w:val="0"/>
                <w:sz w:val="24"/>
                <w:szCs w:val="24"/>
                <w:vertAlign w:val="superscript"/>
              </w:rPr>
              <w:t>c</w:t>
            </w:r>
          </w:p>
        </w:tc>
        <w:tc>
          <w:tcPr>
            <w:tcW w:w="982" w:type="pct"/>
            <w:tcBorders>
              <w:top w:val="nil"/>
              <w:left w:val="nil"/>
              <w:bottom w:val="nil"/>
              <w:right w:val="nil"/>
            </w:tcBorders>
            <w:shd w:val="clear" w:color="auto" w:fill="auto"/>
            <w:vAlign w:val="center"/>
            <w:hideMark/>
          </w:tcPr>
          <w:p w14:paraId="3849933E"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0.83 (0.75, 0.91)</w:t>
            </w:r>
          </w:p>
        </w:tc>
        <w:tc>
          <w:tcPr>
            <w:tcW w:w="982" w:type="pct"/>
            <w:tcBorders>
              <w:top w:val="nil"/>
              <w:left w:val="nil"/>
              <w:bottom w:val="nil"/>
              <w:right w:val="nil"/>
            </w:tcBorders>
            <w:shd w:val="clear" w:color="auto" w:fill="auto"/>
            <w:vAlign w:val="center"/>
            <w:hideMark/>
          </w:tcPr>
          <w:p w14:paraId="79A2758E"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0.83 (0.75, 0.92)</w:t>
            </w:r>
          </w:p>
        </w:tc>
        <w:tc>
          <w:tcPr>
            <w:tcW w:w="480" w:type="pct"/>
            <w:tcBorders>
              <w:top w:val="nil"/>
              <w:left w:val="nil"/>
              <w:bottom w:val="nil"/>
              <w:right w:val="nil"/>
            </w:tcBorders>
            <w:shd w:val="clear" w:color="auto" w:fill="auto"/>
            <w:noWrap/>
            <w:vAlign w:val="center"/>
            <w:hideMark/>
          </w:tcPr>
          <w:p w14:paraId="6884C617"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&lt;0.0001</w:t>
            </w:r>
          </w:p>
        </w:tc>
      </w:tr>
      <w:tr w:rsidR="002D174E" w:rsidRPr="002D174E" w14:paraId="5530D7AA" w14:textId="77777777" w:rsidTr="002D174E">
        <w:trPr>
          <w:trHeight w:val="375"/>
        </w:trPr>
        <w:tc>
          <w:tcPr>
            <w:tcW w:w="968" w:type="pct"/>
            <w:tcBorders>
              <w:top w:val="nil"/>
              <w:left w:val="nil"/>
              <w:bottom w:val="nil"/>
              <w:right w:val="nil"/>
            </w:tcBorders>
            <w:shd w:val="clear" w:color="auto" w:fill="auto"/>
            <w:noWrap/>
            <w:vAlign w:val="center"/>
            <w:hideMark/>
          </w:tcPr>
          <w:p w14:paraId="2D255149" w14:textId="77777777" w:rsidR="002D174E" w:rsidRPr="002D174E" w:rsidRDefault="002D174E" w:rsidP="002D174E">
            <w:pPr>
              <w:widowControl/>
              <w:spacing w:line="360" w:lineRule="auto"/>
              <w:jc w:val="left"/>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 xml:space="preserve">    Model 2</w:t>
            </w:r>
          </w:p>
        </w:tc>
        <w:tc>
          <w:tcPr>
            <w:tcW w:w="607" w:type="pct"/>
            <w:tcBorders>
              <w:top w:val="nil"/>
              <w:left w:val="nil"/>
              <w:bottom w:val="nil"/>
              <w:right w:val="nil"/>
            </w:tcBorders>
            <w:shd w:val="clear" w:color="auto" w:fill="auto"/>
            <w:vAlign w:val="center"/>
            <w:hideMark/>
          </w:tcPr>
          <w:p w14:paraId="0BAC1A24"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1.00 (reference)</w:t>
            </w:r>
          </w:p>
        </w:tc>
        <w:tc>
          <w:tcPr>
            <w:tcW w:w="982" w:type="pct"/>
            <w:tcBorders>
              <w:top w:val="nil"/>
              <w:left w:val="nil"/>
              <w:bottom w:val="nil"/>
              <w:right w:val="nil"/>
            </w:tcBorders>
            <w:shd w:val="clear" w:color="auto" w:fill="auto"/>
            <w:vAlign w:val="center"/>
            <w:hideMark/>
          </w:tcPr>
          <w:p w14:paraId="64738887"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0.87 (0.78, 0.97)</w:t>
            </w:r>
          </w:p>
        </w:tc>
        <w:tc>
          <w:tcPr>
            <w:tcW w:w="982" w:type="pct"/>
            <w:tcBorders>
              <w:top w:val="nil"/>
              <w:left w:val="nil"/>
              <w:bottom w:val="nil"/>
              <w:right w:val="nil"/>
            </w:tcBorders>
            <w:shd w:val="clear" w:color="auto" w:fill="auto"/>
            <w:noWrap/>
            <w:vAlign w:val="center"/>
            <w:hideMark/>
          </w:tcPr>
          <w:p w14:paraId="3F499EC0"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0.89 (0.80, 0.99)</w:t>
            </w:r>
          </w:p>
        </w:tc>
        <w:tc>
          <w:tcPr>
            <w:tcW w:w="982" w:type="pct"/>
            <w:tcBorders>
              <w:top w:val="nil"/>
              <w:left w:val="nil"/>
              <w:bottom w:val="nil"/>
              <w:right w:val="nil"/>
            </w:tcBorders>
            <w:shd w:val="clear" w:color="auto" w:fill="auto"/>
            <w:noWrap/>
            <w:vAlign w:val="center"/>
            <w:hideMark/>
          </w:tcPr>
          <w:p w14:paraId="065C0152"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0.91 (0.82, 1.01)</w:t>
            </w:r>
          </w:p>
        </w:tc>
        <w:tc>
          <w:tcPr>
            <w:tcW w:w="480" w:type="pct"/>
            <w:tcBorders>
              <w:top w:val="nil"/>
              <w:left w:val="nil"/>
              <w:bottom w:val="nil"/>
              <w:right w:val="nil"/>
            </w:tcBorders>
            <w:shd w:val="clear" w:color="auto" w:fill="auto"/>
            <w:noWrap/>
            <w:vAlign w:val="center"/>
            <w:hideMark/>
          </w:tcPr>
          <w:p w14:paraId="12AB6AE7"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0.02</w:t>
            </w:r>
          </w:p>
        </w:tc>
      </w:tr>
      <w:tr w:rsidR="002D174E" w:rsidRPr="002D174E" w14:paraId="7E2B304E" w14:textId="77777777" w:rsidTr="002D174E">
        <w:trPr>
          <w:trHeight w:val="375"/>
        </w:trPr>
        <w:tc>
          <w:tcPr>
            <w:tcW w:w="968" w:type="pct"/>
            <w:tcBorders>
              <w:top w:val="nil"/>
              <w:left w:val="nil"/>
              <w:bottom w:val="nil"/>
              <w:right w:val="nil"/>
            </w:tcBorders>
            <w:shd w:val="clear" w:color="auto" w:fill="auto"/>
            <w:noWrap/>
            <w:vAlign w:val="center"/>
            <w:hideMark/>
          </w:tcPr>
          <w:p w14:paraId="4DCE73FE" w14:textId="77777777" w:rsidR="002D174E" w:rsidRPr="002D174E" w:rsidRDefault="002D174E" w:rsidP="002D174E">
            <w:pPr>
              <w:widowControl/>
              <w:spacing w:line="360" w:lineRule="auto"/>
              <w:jc w:val="left"/>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 xml:space="preserve">    Model 3</w:t>
            </w:r>
          </w:p>
        </w:tc>
        <w:tc>
          <w:tcPr>
            <w:tcW w:w="607" w:type="pct"/>
            <w:tcBorders>
              <w:top w:val="nil"/>
              <w:left w:val="nil"/>
              <w:bottom w:val="nil"/>
              <w:right w:val="nil"/>
            </w:tcBorders>
            <w:shd w:val="clear" w:color="auto" w:fill="auto"/>
            <w:vAlign w:val="center"/>
            <w:hideMark/>
          </w:tcPr>
          <w:p w14:paraId="0444ABF2"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1.00 (reference)</w:t>
            </w:r>
          </w:p>
        </w:tc>
        <w:tc>
          <w:tcPr>
            <w:tcW w:w="982" w:type="pct"/>
            <w:tcBorders>
              <w:top w:val="nil"/>
              <w:left w:val="nil"/>
              <w:bottom w:val="nil"/>
              <w:right w:val="nil"/>
            </w:tcBorders>
            <w:shd w:val="clear" w:color="auto" w:fill="auto"/>
            <w:noWrap/>
            <w:vAlign w:val="center"/>
            <w:hideMark/>
          </w:tcPr>
          <w:p w14:paraId="59852021"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0.87 (0.78, 0.97)</w:t>
            </w:r>
          </w:p>
        </w:tc>
        <w:tc>
          <w:tcPr>
            <w:tcW w:w="982" w:type="pct"/>
            <w:tcBorders>
              <w:top w:val="nil"/>
              <w:left w:val="nil"/>
              <w:bottom w:val="nil"/>
              <w:right w:val="nil"/>
            </w:tcBorders>
            <w:shd w:val="clear" w:color="auto" w:fill="auto"/>
            <w:noWrap/>
            <w:vAlign w:val="center"/>
            <w:hideMark/>
          </w:tcPr>
          <w:p w14:paraId="632E7B30"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0.89 (0.80, 0.99)</w:t>
            </w:r>
          </w:p>
        </w:tc>
        <w:tc>
          <w:tcPr>
            <w:tcW w:w="982" w:type="pct"/>
            <w:tcBorders>
              <w:top w:val="nil"/>
              <w:left w:val="nil"/>
              <w:bottom w:val="nil"/>
              <w:right w:val="nil"/>
            </w:tcBorders>
            <w:shd w:val="clear" w:color="auto" w:fill="auto"/>
            <w:noWrap/>
            <w:vAlign w:val="center"/>
            <w:hideMark/>
          </w:tcPr>
          <w:p w14:paraId="0938BB2E"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0.91 (0.82, 1.01)</w:t>
            </w:r>
          </w:p>
        </w:tc>
        <w:tc>
          <w:tcPr>
            <w:tcW w:w="480" w:type="pct"/>
            <w:tcBorders>
              <w:top w:val="nil"/>
              <w:left w:val="nil"/>
              <w:bottom w:val="nil"/>
              <w:right w:val="nil"/>
            </w:tcBorders>
            <w:shd w:val="clear" w:color="auto" w:fill="auto"/>
            <w:noWrap/>
            <w:vAlign w:val="center"/>
            <w:hideMark/>
          </w:tcPr>
          <w:p w14:paraId="607185E9" w14:textId="77777777" w:rsidR="002D174E" w:rsidRPr="002D174E" w:rsidRDefault="002D174E" w:rsidP="002D174E">
            <w:pPr>
              <w:widowControl/>
              <w:spacing w:line="360" w:lineRule="auto"/>
              <w:jc w:val="center"/>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0.03</w:t>
            </w:r>
          </w:p>
        </w:tc>
      </w:tr>
      <w:tr w:rsidR="002D174E" w:rsidRPr="002D174E" w14:paraId="5E810C17" w14:textId="77777777" w:rsidTr="002D174E">
        <w:trPr>
          <w:trHeight w:val="375"/>
        </w:trPr>
        <w:tc>
          <w:tcPr>
            <w:tcW w:w="5000" w:type="pct"/>
            <w:gridSpan w:val="6"/>
            <w:tcBorders>
              <w:top w:val="single" w:sz="4" w:space="0" w:color="auto"/>
              <w:left w:val="nil"/>
              <w:bottom w:val="nil"/>
              <w:right w:val="nil"/>
            </w:tcBorders>
            <w:shd w:val="clear" w:color="auto" w:fill="auto"/>
            <w:noWrap/>
            <w:vAlign w:val="center"/>
            <w:hideMark/>
          </w:tcPr>
          <w:p w14:paraId="59E9196B" w14:textId="77777777" w:rsidR="002D174E" w:rsidRPr="002D174E" w:rsidRDefault="002D174E" w:rsidP="0043446A">
            <w:pPr>
              <w:widowControl/>
              <w:spacing w:line="360" w:lineRule="auto"/>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NAFLD, non-alcoholic fatty liver disease; TCLSIH, Tianjin Chronic Low-grade Systemic Inflammation and Health.</w:t>
            </w:r>
          </w:p>
        </w:tc>
      </w:tr>
      <w:tr w:rsidR="002D174E" w:rsidRPr="002D174E" w14:paraId="4992EB08" w14:textId="77777777" w:rsidTr="002D174E">
        <w:trPr>
          <w:trHeight w:val="375"/>
        </w:trPr>
        <w:tc>
          <w:tcPr>
            <w:tcW w:w="5000" w:type="pct"/>
            <w:gridSpan w:val="6"/>
            <w:tcBorders>
              <w:top w:val="nil"/>
              <w:left w:val="nil"/>
              <w:bottom w:val="nil"/>
              <w:right w:val="nil"/>
            </w:tcBorders>
            <w:shd w:val="clear" w:color="auto" w:fill="auto"/>
            <w:noWrap/>
            <w:vAlign w:val="center"/>
            <w:hideMark/>
          </w:tcPr>
          <w:p w14:paraId="17B9AF9D" w14:textId="4BE84316" w:rsidR="002D174E" w:rsidRPr="002D174E" w:rsidRDefault="00746FD0" w:rsidP="0043446A">
            <w:pPr>
              <w:widowControl/>
              <w:spacing w:line="360" w:lineRule="auto"/>
              <w:rPr>
                <w:rFonts w:ascii="Times New Roman" w:eastAsia="MS Mincho" w:hAnsi="Times New Roman" w:cs="Times New Roman"/>
                <w:kern w:val="0"/>
                <w:sz w:val="24"/>
                <w:szCs w:val="24"/>
              </w:rPr>
            </w:pPr>
            <w:r>
              <w:rPr>
                <w:rFonts w:ascii="Times New Roman" w:eastAsia="MS Mincho" w:hAnsi="Times New Roman" w:cs="Times New Roman"/>
                <w:kern w:val="0"/>
                <w:sz w:val="24"/>
                <w:szCs w:val="24"/>
                <w:vertAlign w:val="superscript"/>
              </w:rPr>
              <w:t>a</w:t>
            </w:r>
            <w:r w:rsidR="002D174E" w:rsidRPr="002D174E">
              <w:rPr>
                <w:rFonts w:ascii="Times New Roman" w:eastAsia="MS Mincho" w:hAnsi="Times New Roman" w:cs="Times New Roman"/>
                <w:kern w:val="0"/>
                <w:sz w:val="24"/>
                <w:szCs w:val="24"/>
                <w:vertAlign w:val="superscript"/>
              </w:rPr>
              <w:t xml:space="preserve"> </w:t>
            </w:r>
            <w:r w:rsidRPr="00746FD0">
              <w:rPr>
                <w:rFonts w:ascii="Times New Roman" w:eastAsia="MS Mincho" w:hAnsi="Times New Roman" w:cs="Times New Roman"/>
                <w:kern w:val="0"/>
                <w:sz w:val="24"/>
                <w:szCs w:val="24"/>
              </w:rPr>
              <w:t>Because the majority of participants (46.8%) almost never consumed honey, we set as “almost never” as the reference group. The remaining participants with honey consumption were ranked into tertiles.</w:t>
            </w:r>
          </w:p>
        </w:tc>
      </w:tr>
      <w:tr w:rsidR="00746FD0" w:rsidRPr="002D174E" w14:paraId="01A96872" w14:textId="77777777" w:rsidTr="002D174E">
        <w:trPr>
          <w:trHeight w:val="375"/>
        </w:trPr>
        <w:tc>
          <w:tcPr>
            <w:tcW w:w="5000" w:type="pct"/>
            <w:gridSpan w:val="6"/>
            <w:tcBorders>
              <w:top w:val="nil"/>
              <w:left w:val="nil"/>
              <w:bottom w:val="nil"/>
              <w:right w:val="nil"/>
            </w:tcBorders>
            <w:shd w:val="clear" w:color="auto" w:fill="auto"/>
            <w:noWrap/>
            <w:vAlign w:val="center"/>
          </w:tcPr>
          <w:p w14:paraId="6FBB5B45" w14:textId="14FD636C" w:rsidR="00746FD0" w:rsidRPr="002D174E" w:rsidRDefault="00746FD0" w:rsidP="0043446A">
            <w:pPr>
              <w:widowControl/>
              <w:spacing w:line="360" w:lineRule="auto"/>
              <w:rPr>
                <w:rFonts w:ascii="Times New Roman" w:eastAsia="MS Mincho" w:hAnsi="Times New Roman" w:cs="Times New Roman"/>
                <w:kern w:val="0"/>
                <w:sz w:val="24"/>
                <w:szCs w:val="24"/>
                <w:vertAlign w:val="superscript"/>
              </w:rPr>
            </w:pPr>
            <w:r>
              <w:rPr>
                <w:rFonts w:ascii="Times New Roman" w:eastAsia="MS Mincho" w:hAnsi="Times New Roman" w:cs="Times New Roman"/>
                <w:kern w:val="0"/>
                <w:sz w:val="24"/>
                <w:szCs w:val="24"/>
                <w:vertAlign w:val="superscript"/>
              </w:rPr>
              <w:t>b</w:t>
            </w:r>
            <w:r w:rsidRPr="002D174E">
              <w:rPr>
                <w:rFonts w:ascii="Times New Roman" w:eastAsia="MS Mincho" w:hAnsi="Times New Roman" w:cs="Times New Roman"/>
                <w:kern w:val="0"/>
                <w:sz w:val="24"/>
                <w:szCs w:val="24"/>
                <w:vertAlign w:val="superscript"/>
              </w:rPr>
              <w:t xml:space="preserve"> </w:t>
            </w:r>
            <w:r w:rsidRPr="002D174E">
              <w:rPr>
                <w:rFonts w:ascii="Times New Roman" w:eastAsia="MS Mincho" w:hAnsi="Times New Roman" w:cs="Times New Roman"/>
                <w:kern w:val="0"/>
                <w:sz w:val="24"/>
                <w:szCs w:val="24"/>
              </w:rPr>
              <w:t>Obtained by using logistic regression analysis.</w:t>
            </w:r>
          </w:p>
        </w:tc>
      </w:tr>
      <w:tr w:rsidR="002D174E" w:rsidRPr="002D174E" w14:paraId="17ED98A7" w14:textId="77777777" w:rsidTr="002D174E">
        <w:trPr>
          <w:trHeight w:val="405"/>
        </w:trPr>
        <w:tc>
          <w:tcPr>
            <w:tcW w:w="5000" w:type="pct"/>
            <w:gridSpan w:val="6"/>
            <w:tcBorders>
              <w:top w:val="nil"/>
              <w:left w:val="nil"/>
              <w:bottom w:val="nil"/>
              <w:right w:val="nil"/>
            </w:tcBorders>
            <w:shd w:val="clear" w:color="auto" w:fill="auto"/>
            <w:noWrap/>
            <w:vAlign w:val="center"/>
            <w:hideMark/>
          </w:tcPr>
          <w:p w14:paraId="244F794F" w14:textId="2A893247" w:rsidR="002D174E" w:rsidRPr="002D174E" w:rsidRDefault="00746FD0" w:rsidP="0043446A">
            <w:pPr>
              <w:widowControl/>
              <w:spacing w:line="360" w:lineRule="auto"/>
              <w:rPr>
                <w:rFonts w:ascii="Times New Roman" w:eastAsia="MS Mincho" w:hAnsi="Times New Roman" w:cs="Times New Roman"/>
                <w:kern w:val="0"/>
                <w:sz w:val="24"/>
                <w:szCs w:val="24"/>
              </w:rPr>
            </w:pPr>
            <w:r>
              <w:rPr>
                <w:rFonts w:ascii="Times New Roman" w:eastAsia="MS Mincho" w:hAnsi="Times New Roman" w:cs="Times New Roman"/>
                <w:kern w:val="0"/>
                <w:sz w:val="24"/>
                <w:szCs w:val="24"/>
                <w:vertAlign w:val="superscript"/>
              </w:rPr>
              <w:t>c</w:t>
            </w:r>
            <w:r w:rsidR="002D174E" w:rsidRPr="002D174E">
              <w:rPr>
                <w:rFonts w:ascii="Times New Roman" w:eastAsia="MS Mincho" w:hAnsi="Times New Roman" w:cs="Times New Roman"/>
                <w:kern w:val="0"/>
                <w:sz w:val="24"/>
                <w:szCs w:val="24"/>
                <w:vertAlign w:val="superscript"/>
              </w:rPr>
              <w:t xml:space="preserve"> </w:t>
            </w:r>
            <w:r w:rsidR="002D174E" w:rsidRPr="002D174E">
              <w:rPr>
                <w:rFonts w:ascii="Times New Roman" w:eastAsia="MS Mincho" w:hAnsi="Times New Roman" w:cs="Times New Roman"/>
                <w:kern w:val="0"/>
                <w:sz w:val="24"/>
                <w:szCs w:val="24"/>
              </w:rPr>
              <w:t>Data are odds ratio (95% confidence interval).</w:t>
            </w:r>
          </w:p>
        </w:tc>
      </w:tr>
      <w:tr w:rsidR="002D174E" w:rsidRPr="002D174E" w14:paraId="2F494308" w14:textId="77777777" w:rsidTr="002D174E">
        <w:trPr>
          <w:trHeight w:val="375"/>
        </w:trPr>
        <w:tc>
          <w:tcPr>
            <w:tcW w:w="5000" w:type="pct"/>
            <w:gridSpan w:val="6"/>
            <w:tcBorders>
              <w:top w:val="nil"/>
              <w:left w:val="nil"/>
              <w:bottom w:val="nil"/>
              <w:right w:val="nil"/>
            </w:tcBorders>
            <w:shd w:val="clear" w:color="auto" w:fill="auto"/>
            <w:noWrap/>
            <w:vAlign w:val="center"/>
            <w:hideMark/>
          </w:tcPr>
          <w:p w14:paraId="1106070D" w14:textId="77777777" w:rsidR="002D174E" w:rsidRPr="002D174E" w:rsidRDefault="002D174E" w:rsidP="0043446A">
            <w:pPr>
              <w:widowControl/>
              <w:spacing w:line="360" w:lineRule="auto"/>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Model 1 was adjusted for age, sex, and body mass index.</w:t>
            </w:r>
          </w:p>
        </w:tc>
      </w:tr>
      <w:tr w:rsidR="002D174E" w:rsidRPr="002D174E" w14:paraId="392246E5" w14:textId="77777777" w:rsidTr="002D174E">
        <w:trPr>
          <w:trHeight w:val="990"/>
        </w:trPr>
        <w:tc>
          <w:tcPr>
            <w:tcW w:w="5000" w:type="pct"/>
            <w:gridSpan w:val="6"/>
            <w:tcBorders>
              <w:top w:val="nil"/>
              <w:left w:val="nil"/>
              <w:bottom w:val="nil"/>
              <w:right w:val="nil"/>
            </w:tcBorders>
            <w:shd w:val="clear" w:color="auto" w:fill="auto"/>
            <w:vAlign w:val="center"/>
            <w:hideMark/>
          </w:tcPr>
          <w:p w14:paraId="289D646C" w14:textId="77777777" w:rsidR="002D174E" w:rsidRPr="002D174E" w:rsidRDefault="002D174E" w:rsidP="0043446A">
            <w:pPr>
              <w:widowControl/>
              <w:spacing w:line="360" w:lineRule="auto"/>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lastRenderedPageBreak/>
              <w:t>Model 2 was adjusted for age, sex, body mass index, smoking status, alcohol intake, education level, occupation, household income, physical activity, family history of disease (including cardiovascular disease, hypertension, hyperlipidemia, and diabetes), hypertension, hyperlipidemia, diabetes, and total energy intake.</w:t>
            </w:r>
          </w:p>
        </w:tc>
      </w:tr>
      <w:tr w:rsidR="002D174E" w:rsidRPr="002D174E" w14:paraId="5F493827" w14:textId="77777777" w:rsidTr="002D174E">
        <w:trPr>
          <w:trHeight w:val="405"/>
        </w:trPr>
        <w:tc>
          <w:tcPr>
            <w:tcW w:w="5000" w:type="pct"/>
            <w:gridSpan w:val="6"/>
            <w:tcBorders>
              <w:top w:val="nil"/>
              <w:left w:val="nil"/>
              <w:bottom w:val="nil"/>
              <w:right w:val="nil"/>
            </w:tcBorders>
            <w:shd w:val="clear" w:color="auto" w:fill="auto"/>
            <w:vAlign w:val="center"/>
            <w:hideMark/>
          </w:tcPr>
          <w:p w14:paraId="730699DA" w14:textId="77777777" w:rsidR="002D174E" w:rsidRPr="002D174E" w:rsidRDefault="002D174E" w:rsidP="0043446A">
            <w:pPr>
              <w:widowControl/>
              <w:spacing w:line="360" w:lineRule="auto"/>
              <w:rPr>
                <w:rFonts w:ascii="Times New Roman" w:eastAsia="MS Mincho" w:hAnsi="Times New Roman" w:cs="Times New Roman"/>
                <w:kern w:val="0"/>
                <w:sz w:val="24"/>
                <w:szCs w:val="24"/>
              </w:rPr>
            </w:pPr>
            <w:r w:rsidRPr="002D174E">
              <w:rPr>
                <w:rFonts w:ascii="Times New Roman" w:eastAsia="MS Mincho" w:hAnsi="Times New Roman" w:cs="Times New Roman"/>
                <w:kern w:val="0"/>
                <w:sz w:val="24"/>
                <w:szCs w:val="24"/>
              </w:rPr>
              <w:t>Model 3 was adjusted for the same variables as in model 2 and further for three main dietary pattern scores (honey intake was not included in the calculation).</w:t>
            </w:r>
          </w:p>
        </w:tc>
      </w:tr>
    </w:tbl>
    <w:p w14:paraId="64A052E9" w14:textId="77777777" w:rsidR="0098223D" w:rsidRPr="002D174E" w:rsidRDefault="0098223D" w:rsidP="0043446A"/>
    <w:sectPr w:rsidR="0098223D" w:rsidRPr="002D174E" w:rsidSect="00DE1624">
      <w:pgSz w:w="16838" w:h="11906" w:orient="landscape"/>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92723" w14:textId="77777777" w:rsidR="00746FD0" w:rsidRDefault="00746FD0" w:rsidP="00746FD0">
      <w:r>
        <w:separator/>
      </w:r>
    </w:p>
  </w:endnote>
  <w:endnote w:type="continuationSeparator" w:id="0">
    <w:p w14:paraId="447F7C9E" w14:textId="77777777" w:rsidR="00746FD0" w:rsidRDefault="00746FD0" w:rsidP="0074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46C84" w14:textId="77777777" w:rsidR="00746FD0" w:rsidRDefault="00746FD0" w:rsidP="00746FD0">
      <w:r>
        <w:separator/>
      </w:r>
    </w:p>
  </w:footnote>
  <w:footnote w:type="continuationSeparator" w:id="0">
    <w:p w14:paraId="615C92B8" w14:textId="77777777" w:rsidR="00746FD0" w:rsidRDefault="00746FD0" w:rsidP="00746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0NDUxNjExNTM1NjdQ0lEKTi0uzszPAykwqgUAb0tKOCwAAAA="/>
  </w:docVars>
  <w:rsids>
    <w:rsidRoot w:val="0098223D"/>
    <w:rsid w:val="002D174E"/>
    <w:rsid w:val="0043446A"/>
    <w:rsid w:val="0043621A"/>
    <w:rsid w:val="00746FD0"/>
    <w:rsid w:val="007C5727"/>
    <w:rsid w:val="007C78C0"/>
    <w:rsid w:val="008F2309"/>
    <w:rsid w:val="0098223D"/>
    <w:rsid w:val="00A04272"/>
    <w:rsid w:val="00A47D8C"/>
    <w:rsid w:val="00C7748C"/>
    <w:rsid w:val="00D077E3"/>
    <w:rsid w:val="00DE1624"/>
    <w:rsid w:val="00ED2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415244"/>
  <w15:chartTrackingRefBased/>
  <w15:docId w15:val="{D68DA95F-1D50-4D2E-8589-5625C0C8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F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6FD0"/>
    <w:rPr>
      <w:sz w:val="18"/>
      <w:szCs w:val="18"/>
    </w:rPr>
  </w:style>
  <w:style w:type="paragraph" w:styleId="a5">
    <w:name w:val="footer"/>
    <w:basedOn w:val="a"/>
    <w:link w:val="a6"/>
    <w:uiPriority w:val="99"/>
    <w:unhideWhenUsed/>
    <w:rsid w:val="00746FD0"/>
    <w:pPr>
      <w:tabs>
        <w:tab w:val="center" w:pos="4153"/>
        <w:tab w:val="right" w:pos="8306"/>
      </w:tabs>
      <w:snapToGrid w:val="0"/>
      <w:jc w:val="left"/>
    </w:pPr>
    <w:rPr>
      <w:sz w:val="18"/>
      <w:szCs w:val="18"/>
    </w:rPr>
  </w:style>
  <w:style w:type="character" w:customStyle="1" w:styleId="a6">
    <w:name w:val="页脚 字符"/>
    <w:basedOn w:val="a0"/>
    <w:link w:val="a5"/>
    <w:uiPriority w:val="99"/>
    <w:rsid w:val="00746F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860669">
      <w:bodyDiv w:val="1"/>
      <w:marLeft w:val="0"/>
      <w:marRight w:val="0"/>
      <w:marTop w:val="0"/>
      <w:marBottom w:val="0"/>
      <w:divBdr>
        <w:top w:val="none" w:sz="0" w:space="0" w:color="auto"/>
        <w:left w:val="none" w:sz="0" w:space="0" w:color="auto"/>
        <w:bottom w:val="none" w:sz="0" w:space="0" w:color="auto"/>
        <w:right w:val="none" w:sz="0" w:space="0" w:color="auto"/>
      </w:divBdr>
    </w:div>
    <w:div w:id="135379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Shun-Ming Zhang</dc:creator>
  <cp:keywords/>
  <dc:description/>
  <cp:lastModifiedBy>Shun-Ming Zhang</cp:lastModifiedBy>
  <cp:revision>10</cp:revision>
  <dcterms:created xsi:type="dcterms:W3CDTF">2020-07-13T12:03:00Z</dcterms:created>
  <dcterms:modified xsi:type="dcterms:W3CDTF">2020-08-11T01:09:00Z</dcterms:modified>
</cp:coreProperties>
</file>