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D1" w:rsidRDefault="00401FD1" w:rsidP="00401FD1">
      <w:pPr>
        <w:ind w:left="-567" w:right="-716"/>
        <w:rPr>
          <w:rFonts w:ascii="Times" w:hAnsi="Times" w:cs="Times"/>
        </w:rPr>
      </w:pPr>
      <w:proofErr w:type="gramStart"/>
      <w:r>
        <w:rPr>
          <w:rFonts w:ascii="Times" w:hAnsi="Times" w:cs="Times"/>
          <w:b/>
        </w:rPr>
        <w:t>Supplementary 1.</w:t>
      </w:r>
      <w:proofErr w:type="gramEnd"/>
      <w:r>
        <w:rPr>
          <w:rFonts w:ascii="Times" w:hAnsi="Times" w:cs="Times"/>
          <w:b/>
        </w:rPr>
        <w:t xml:space="preserve"> </w:t>
      </w:r>
      <w:proofErr w:type="gramStart"/>
      <w:r>
        <w:rPr>
          <w:rFonts w:ascii="Times" w:hAnsi="Times" w:cs="Times"/>
        </w:rPr>
        <w:t>Beta coefficients (</w:t>
      </w:r>
      <w:r>
        <w:rPr>
          <w:rFonts w:ascii="Times" w:hAnsi="Times"/>
        </w:rPr>
        <w:sym w:font="Symbol" w:char="0062"/>
      </w:r>
      <w:r>
        <w:rPr>
          <w:rFonts w:ascii="Times" w:hAnsi="Times" w:cs="Times"/>
        </w:rPr>
        <w:t>) and 95% confident intervals (CI) for Telomere Length by quintiles of adherence to Western and Mediterranean Dietary Patterns.</w:t>
      </w:r>
      <w:proofErr w:type="gramEnd"/>
    </w:p>
    <w:p w:rsidR="00401FD1" w:rsidRDefault="00401FD1" w:rsidP="00401FD1">
      <w:pPr>
        <w:rPr>
          <w:rFonts w:ascii="Times" w:hAnsi="Times" w:cs="Times"/>
          <w:b/>
        </w:rPr>
      </w:pPr>
    </w:p>
    <w:tbl>
      <w:tblPr>
        <w:tblStyle w:val="Tablaconcuadrcula"/>
        <w:tblW w:w="145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263"/>
        <w:gridCol w:w="2262"/>
        <w:gridCol w:w="2262"/>
        <w:gridCol w:w="2264"/>
        <w:gridCol w:w="2547"/>
        <w:gridCol w:w="1274"/>
      </w:tblGrid>
      <w:tr w:rsidR="00401FD1" w:rsidTr="00401FD1"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Dietary Patterns</w:t>
            </w: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Q1</w:t>
            </w:r>
          </w:p>
        </w:tc>
        <w:tc>
          <w:tcPr>
            <w:tcW w:w="226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Q2</w:t>
            </w:r>
          </w:p>
        </w:tc>
        <w:tc>
          <w:tcPr>
            <w:tcW w:w="226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Q3</w:t>
            </w:r>
          </w:p>
        </w:tc>
        <w:tc>
          <w:tcPr>
            <w:tcW w:w="22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Q4</w:t>
            </w:r>
          </w:p>
        </w:tc>
        <w:tc>
          <w:tcPr>
            <w:tcW w:w="25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Q5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P for trend</w:t>
            </w:r>
          </w:p>
        </w:tc>
      </w:tr>
      <w:tr w:rsidR="00401FD1" w:rsidTr="00401FD1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rPr>
                <w:rFonts w:ascii="Times" w:hAnsi="Times" w:cs="Times"/>
                <w:i/>
                <w:sz w:val="22"/>
                <w:szCs w:val="22"/>
              </w:rPr>
            </w:pPr>
            <w:r>
              <w:rPr>
                <w:rFonts w:ascii="Times" w:hAnsi="Times" w:cs="Times"/>
                <w:i/>
                <w:sz w:val="22"/>
                <w:szCs w:val="22"/>
              </w:rPr>
              <w:t>n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177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177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177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401FD1" w:rsidTr="00401FD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FD1" w:rsidRDefault="00401FD1">
            <w:pPr>
              <w:rPr>
                <w:rFonts w:ascii="Times" w:hAnsi="Times" w:cs="Times"/>
                <w:i/>
                <w:sz w:val="22"/>
                <w:szCs w:val="22"/>
              </w:rPr>
            </w:pPr>
            <w:r>
              <w:rPr>
                <w:rFonts w:ascii="Times" w:hAnsi="Times" w:cs="Times"/>
                <w:i/>
                <w:sz w:val="22"/>
                <w:szCs w:val="22"/>
              </w:rPr>
              <w:t>Western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401FD1" w:rsidTr="00401FD1">
        <w:tc>
          <w:tcPr>
            <w:tcW w:w="1701" w:type="dxa"/>
            <w:hideMark/>
          </w:tcPr>
          <w:p w:rsidR="00401FD1" w:rsidRDefault="00401FD1">
            <w:pPr>
              <w:rPr>
                <w:rFonts w:ascii="Times" w:hAnsi="Times" w:cs="Times"/>
                <w:i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TL (mean</w:t>
            </w:r>
            <w:r>
              <w:rPr>
                <w:rFonts w:ascii="Times" w:hAnsi="Times"/>
                <w:sz w:val="22"/>
                <w:szCs w:val="22"/>
              </w:rPr>
              <w:sym w:font="Symbol" w:char="00B1"/>
            </w:r>
            <w:r>
              <w:rPr>
                <w:rFonts w:ascii="Times" w:hAnsi="Times" w:cs="Times"/>
                <w:sz w:val="22"/>
                <w:szCs w:val="22"/>
              </w:rPr>
              <w:t>SD)</w:t>
            </w:r>
          </w:p>
        </w:tc>
        <w:tc>
          <w:tcPr>
            <w:tcW w:w="2263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0.020</w:t>
            </w:r>
            <w:r>
              <w:rPr>
                <w:rFonts w:ascii="Times" w:hAnsi="Times"/>
                <w:sz w:val="22"/>
                <w:szCs w:val="20"/>
              </w:rPr>
              <w:sym w:font="Symbol" w:char="00B1"/>
            </w:r>
            <w:r>
              <w:rPr>
                <w:rFonts w:ascii="Times" w:hAnsi="Times" w:cs="Times"/>
                <w:sz w:val="22"/>
                <w:szCs w:val="20"/>
              </w:rPr>
              <w:t>0.225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0"/>
              </w:rPr>
              <w:t>-0.026</w:t>
            </w:r>
            <w:r>
              <w:rPr>
                <w:rFonts w:ascii="Times" w:hAnsi="Times"/>
                <w:sz w:val="22"/>
                <w:szCs w:val="20"/>
              </w:rPr>
              <w:sym w:font="Symbol" w:char="00B1"/>
            </w:r>
            <w:r>
              <w:rPr>
                <w:rFonts w:ascii="Times" w:hAnsi="Times" w:cs="Times"/>
                <w:sz w:val="22"/>
                <w:szCs w:val="20"/>
              </w:rPr>
              <w:t>0.189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0"/>
              </w:rPr>
              <w:t>0.016</w:t>
            </w:r>
            <w:r>
              <w:rPr>
                <w:rFonts w:ascii="Times" w:hAnsi="Times"/>
                <w:sz w:val="22"/>
                <w:szCs w:val="20"/>
              </w:rPr>
              <w:sym w:font="Symbol" w:char="00B1"/>
            </w:r>
            <w:r>
              <w:rPr>
                <w:rFonts w:ascii="Times" w:hAnsi="Times" w:cs="Times"/>
                <w:sz w:val="22"/>
                <w:szCs w:val="20"/>
              </w:rPr>
              <w:t>0.197</w:t>
            </w:r>
          </w:p>
        </w:tc>
        <w:tc>
          <w:tcPr>
            <w:tcW w:w="2264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0"/>
              </w:rPr>
              <w:t>-0.008</w:t>
            </w:r>
            <w:r>
              <w:rPr>
                <w:rFonts w:ascii="Times" w:hAnsi="Times"/>
                <w:sz w:val="22"/>
                <w:szCs w:val="20"/>
              </w:rPr>
              <w:sym w:font="Symbol" w:char="00B1"/>
            </w:r>
            <w:r>
              <w:rPr>
                <w:rFonts w:ascii="Times" w:hAnsi="Times" w:cs="Times"/>
                <w:sz w:val="22"/>
                <w:szCs w:val="20"/>
              </w:rPr>
              <w:t>0.195</w:t>
            </w:r>
          </w:p>
        </w:tc>
        <w:tc>
          <w:tcPr>
            <w:tcW w:w="254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0"/>
              </w:rPr>
              <w:t>-0.001</w:t>
            </w:r>
            <w:r>
              <w:rPr>
                <w:rFonts w:ascii="Times" w:hAnsi="Times"/>
                <w:sz w:val="22"/>
                <w:szCs w:val="20"/>
              </w:rPr>
              <w:sym w:font="Symbol" w:char="00B1"/>
            </w:r>
            <w:r>
              <w:rPr>
                <w:rFonts w:ascii="Times" w:hAnsi="Times" w:cs="Times"/>
                <w:sz w:val="22"/>
                <w:szCs w:val="20"/>
              </w:rPr>
              <w:t>0.173</w:t>
            </w:r>
          </w:p>
        </w:tc>
        <w:tc>
          <w:tcPr>
            <w:tcW w:w="1274" w:type="dxa"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401FD1" w:rsidTr="00401FD1">
        <w:tc>
          <w:tcPr>
            <w:tcW w:w="1701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Crude Model</w:t>
            </w:r>
          </w:p>
        </w:tc>
        <w:tc>
          <w:tcPr>
            <w:tcW w:w="2263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 (ref.)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-0.046 (-0.087, -0.005)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-0.005 (-0.045, 0.036)</w:t>
            </w:r>
          </w:p>
        </w:tc>
        <w:tc>
          <w:tcPr>
            <w:tcW w:w="226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-0.028 (-0.069, 0.013)</w:t>
            </w:r>
          </w:p>
        </w:tc>
        <w:tc>
          <w:tcPr>
            <w:tcW w:w="254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-0.021 (-0.062, 0.019)</w:t>
            </w:r>
          </w:p>
        </w:tc>
        <w:tc>
          <w:tcPr>
            <w:tcW w:w="127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0.618</w:t>
            </w:r>
          </w:p>
        </w:tc>
      </w:tr>
      <w:tr w:rsidR="00401FD1" w:rsidTr="00401FD1">
        <w:tc>
          <w:tcPr>
            <w:tcW w:w="1701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Model 1</w:t>
            </w:r>
          </w:p>
        </w:tc>
        <w:tc>
          <w:tcPr>
            <w:tcW w:w="2263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 (ref.)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-0.043 (-0.084, -0.001)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0.007 (-0.035, 0.049)</w:t>
            </w:r>
          </w:p>
        </w:tc>
        <w:tc>
          <w:tcPr>
            <w:tcW w:w="226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-0.015 (-0.059, 0.029)</w:t>
            </w:r>
          </w:p>
        </w:tc>
        <w:tc>
          <w:tcPr>
            <w:tcW w:w="254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-0.007 (-0.057, 0.042)</w:t>
            </w:r>
          </w:p>
        </w:tc>
        <w:tc>
          <w:tcPr>
            <w:tcW w:w="127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0.849</w:t>
            </w:r>
          </w:p>
        </w:tc>
      </w:tr>
      <w:tr w:rsidR="00401FD1" w:rsidTr="00401FD1">
        <w:tc>
          <w:tcPr>
            <w:tcW w:w="1701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Model 2</w:t>
            </w:r>
          </w:p>
        </w:tc>
        <w:tc>
          <w:tcPr>
            <w:tcW w:w="2263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 (ref.)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-0.041 (-0.083, -0.000)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0.004 (-0.039, 0.047)</w:t>
            </w:r>
          </w:p>
        </w:tc>
        <w:tc>
          <w:tcPr>
            <w:tcW w:w="226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-0.024 (-0.069, 0.020)</w:t>
            </w:r>
          </w:p>
        </w:tc>
        <w:tc>
          <w:tcPr>
            <w:tcW w:w="254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-0.021 (-0.070, 0.029)</w:t>
            </w:r>
          </w:p>
        </w:tc>
        <w:tc>
          <w:tcPr>
            <w:tcW w:w="127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0.750</w:t>
            </w:r>
          </w:p>
        </w:tc>
      </w:tr>
      <w:tr w:rsidR="00401FD1" w:rsidTr="00401FD1">
        <w:tc>
          <w:tcPr>
            <w:tcW w:w="1701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Model 3</w:t>
            </w:r>
          </w:p>
        </w:tc>
        <w:tc>
          <w:tcPr>
            <w:tcW w:w="2263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 (ref.)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-0.049 (-0.09, -0.006)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-0.007 (-0.054, 0.039)</w:t>
            </w:r>
          </w:p>
        </w:tc>
        <w:tc>
          <w:tcPr>
            <w:tcW w:w="226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-0.041 (-0.092, 0.009)</w:t>
            </w:r>
          </w:p>
        </w:tc>
        <w:tc>
          <w:tcPr>
            <w:tcW w:w="254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-0.043 (-0.106, 0.019)</w:t>
            </w:r>
          </w:p>
        </w:tc>
        <w:tc>
          <w:tcPr>
            <w:tcW w:w="127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0.320</w:t>
            </w:r>
          </w:p>
        </w:tc>
      </w:tr>
      <w:tr w:rsidR="00401FD1" w:rsidTr="00401FD1">
        <w:tc>
          <w:tcPr>
            <w:tcW w:w="1701" w:type="dxa"/>
            <w:hideMark/>
          </w:tcPr>
          <w:p w:rsidR="00401FD1" w:rsidRDefault="00401FD1">
            <w:pPr>
              <w:rPr>
                <w:rFonts w:ascii="Times" w:hAnsi="Times" w:cs="Times"/>
                <w:i/>
                <w:sz w:val="22"/>
                <w:szCs w:val="22"/>
              </w:rPr>
            </w:pPr>
            <w:r>
              <w:rPr>
                <w:rFonts w:ascii="Times" w:hAnsi="Times" w:cs="Times"/>
                <w:i/>
                <w:sz w:val="22"/>
                <w:szCs w:val="22"/>
              </w:rPr>
              <w:t>Mediterranean</w:t>
            </w:r>
          </w:p>
        </w:tc>
        <w:tc>
          <w:tcPr>
            <w:tcW w:w="2263" w:type="dxa"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262" w:type="dxa"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262" w:type="dxa"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264" w:type="dxa"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547" w:type="dxa"/>
          </w:tcPr>
          <w:p w:rsidR="00401FD1" w:rsidRDefault="00401FD1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401FD1" w:rsidRDefault="00401FD1">
            <w:pPr>
              <w:rPr>
                <w:rFonts w:ascii="Times" w:hAnsi="Times" w:cs="Times"/>
                <w:b/>
                <w:sz w:val="22"/>
                <w:szCs w:val="22"/>
              </w:rPr>
            </w:pPr>
          </w:p>
        </w:tc>
      </w:tr>
      <w:tr w:rsidR="00401FD1" w:rsidTr="00401FD1">
        <w:tc>
          <w:tcPr>
            <w:tcW w:w="1701" w:type="dxa"/>
            <w:hideMark/>
          </w:tcPr>
          <w:p w:rsidR="00401FD1" w:rsidRDefault="00401FD1">
            <w:pPr>
              <w:rPr>
                <w:rFonts w:ascii="Times" w:hAnsi="Times" w:cs="Times"/>
                <w:i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TL (mean</w:t>
            </w:r>
            <w:r>
              <w:rPr>
                <w:rFonts w:ascii="Times" w:hAnsi="Times"/>
                <w:sz w:val="22"/>
                <w:szCs w:val="22"/>
              </w:rPr>
              <w:sym w:font="Symbol" w:char="00B1"/>
            </w:r>
            <w:r>
              <w:rPr>
                <w:rFonts w:ascii="Times" w:hAnsi="Times" w:cs="Times"/>
                <w:sz w:val="22"/>
                <w:szCs w:val="22"/>
              </w:rPr>
              <w:t>SD)</w:t>
            </w:r>
          </w:p>
        </w:tc>
        <w:tc>
          <w:tcPr>
            <w:tcW w:w="2263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0"/>
              </w:rPr>
              <w:t>-0.000</w:t>
            </w:r>
            <w:r>
              <w:rPr>
                <w:rFonts w:ascii="Times" w:hAnsi="Times"/>
                <w:sz w:val="22"/>
                <w:szCs w:val="20"/>
              </w:rPr>
              <w:sym w:font="Symbol" w:char="00B1"/>
            </w:r>
            <w:r>
              <w:rPr>
                <w:rFonts w:ascii="Times" w:hAnsi="Times" w:cs="Times"/>
                <w:sz w:val="22"/>
                <w:szCs w:val="20"/>
              </w:rPr>
              <w:t>0.209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0"/>
              </w:rPr>
              <w:t>-0.008</w:t>
            </w:r>
            <w:r>
              <w:rPr>
                <w:rFonts w:ascii="Times" w:hAnsi="Times"/>
                <w:sz w:val="22"/>
                <w:szCs w:val="20"/>
              </w:rPr>
              <w:sym w:font="Symbol" w:char="00B1"/>
            </w:r>
            <w:r>
              <w:rPr>
                <w:rFonts w:ascii="Times" w:hAnsi="Times" w:cs="Times"/>
                <w:sz w:val="22"/>
                <w:szCs w:val="20"/>
              </w:rPr>
              <w:t>0.166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0"/>
              </w:rPr>
              <w:t>-0.006</w:t>
            </w:r>
            <w:r>
              <w:rPr>
                <w:rFonts w:ascii="Times" w:hAnsi="Times"/>
                <w:sz w:val="22"/>
                <w:szCs w:val="20"/>
              </w:rPr>
              <w:sym w:font="Symbol" w:char="00B1"/>
            </w:r>
            <w:r>
              <w:rPr>
                <w:rFonts w:ascii="Times" w:hAnsi="Times" w:cs="Times"/>
                <w:sz w:val="22"/>
                <w:szCs w:val="20"/>
              </w:rPr>
              <w:t>0.190</w:t>
            </w:r>
          </w:p>
        </w:tc>
        <w:tc>
          <w:tcPr>
            <w:tcW w:w="2264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0"/>
              </w:rPr>
              <w:t>-0.013</w:t>
            </w:r>
            <w:r>
              <w:rPr>
                <w:rFonts w:ascii="Times" w:hAnsi="Times"/>
                <w:sz w:val="22"/>
                <w:szCs w:val="20"/>
              </w:rPr>
              <w:sym w:font="Symbol" w:char="00B1"/>
            </w:r>
            <w:r>
              <w:rPr>
                <w:rFonts w:ascii="Times" w:hAnsi="Times" w:cs="Times"/>
                <w:sz w:val="22"/>
                <w:szCs w:val="20"/>
              </w:rPr>
              <w:t>0.186</w:t>
            </w:r>
          </w:p>
        </w:tc>
        <w:tc>
          <w:tcPr>
            <w:tcW w:w="254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0"/>
              </w:rPr>
              <w:t>0.027</w:t>
            </w:r>
            <w:r>
              <w:rPr>
                <w:rFonts w:ascii="Times" w:hAnsi="Times"/>
                <w:sz w:val="22"/>
                <w:szCs w:val="20"/>
              </w:rPr>
              <w:sym w:font="Symbol" w:char="00B1"/>
            </w:r>
            <w:r>
              <w:rPr>
                <w:rFonts w:ascii="Times" w:hAnsi="Times" w:cs="Times"/>
                <w:sz w:val="22"/>
                <w:szCs w:val="20"/>
              </w:rPr>
              <w:t>0.227</w:t>
            </w:r>
          </w:p>
        </w:tc>
        <w:tc>
          <w:tcPr>
            <w:tcW w:w="1274" w:type="dxa"/>
          </w:tcPr>
          <w:p w:rsidR="00401FD1" w:rsidRDefault="00401FD1">
            <w:pPr>
              <w:rPr>
                <w:rFonts w:ascii="Times" w:hAnsi="Times" w:cs="Times"/>
                <w:b/>
                <w:sz w:val="22"/>
                <w:szCs w:val="22"/>
              </w:rPr>
            </w:pPr>
          </w:p>
        </w:tc>
      </w:tr>
      <w:tr w:rsidR="00401FD1" w:rsidTr="00401FD1">
        <w:tc>
          <w:tcPr>
            <w:tcW w:w="1701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Crude Model</w:t>
            </w:r>
          </w:p>
        </w:tc>
        <w:tc>
          <w:tcPr>
            <w:tcW w:w="2263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 (ref.)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-0.008 (-0.049, 0.033)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-0.006 (-0.047, 0.031)</w:t>
            </w:r>
          </w:p>
        </w:tc>
        <w:tc>
          <w:tcPr>
            <w:tcW w:w="2264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-0.013 (-0.054, 0.028)</w:t>
            </w:r>
          </w:p>
        </w:tc>
        <w:tc>
          <w:tcPr>
            <w:tcW w:w="254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0.027 (-0.014, 0.068)</w:t>
            </w:r>
          </w:p>
        </w:tc>
        <w:tc>
          <w:tcPr>
            <w:tcW w:w="127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0.213</w:t>
            </w:r>
          </w:p>
        </w:tc>
      </w:tr>
      <w:tr w:rsidR="00401FD1" w:rsidTr="00401FD1">
        <w:tc>
          <w:tcPr>
            <w:tcW w:w="1701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Model 1</w:t>
            </w:r>
          </w:p>
        </w:tc>
        <w:tc>
          <w:tcPr>
            <w:tcW w:w="2263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 (ref.)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-0.005 (-0.047, 0.038)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-0.004 (-0.048, 0.041)</w:t>
            </w:r>
          </w:p>
        </w:tc>
        <w:tc>
          <w:tcPr>
            <w:tcW w:w="2264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-0.012 (-0.059, 0.035)</w:t>
            </w:r>
          </w:p>
        </w:tc>
        <w:tc>
          <w:tcPr>
            <w:tcW w:w="254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0.029 (-0.025, 0.082)</w:t>
            </w:r>
          </w:p>
        </w:tc>
        <w:tc>
          <w:tcPr>
            <w:tcW w:w="127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  <w:highlight w:val="yellow"/>
              </w:rPr>
            </w:pPr>
            <w:r>
              <w:rPr>
                <w:rFonts w:ascii="Times" w:hAnsi="Times" w:cs="Times"/>
                <w:sz w:val="22"/>
                <w:szCs w:val="22"/>
              </w:rPr>
              <w:t>0.327</w:t>
            </w:r>
          </w:p>
        </w:tc>
      </w:tr>
      <w:tr w:rsidR="00401FD1" w:rsidTr="00401FD1">
        <w:tc>
          <w:tcPr>
            <w:tcW w:w="1701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Model 2</w:t>
            </w:r>
          </w:p>
        </w:tc>
        <w:tc>
          <w:tcPr>
            <w:tcW w:w="2263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 (ref.)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0.000 (-0.042, 0.042)</w:t>
            </w:r>
          </w:p>
        </w:tc>
        <w:tc>
          <w:tcPr>
            <w:tcW w:w="226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-0.002 (-0.046, 0.043)</w:t>
            </w:r>
          </w:p>
        </w:tc>
        <w:tc>
          <w:tcPr>
            <w:tcW w:w="2264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-0.006 (-0.053, 0.041)</w:t>
            </w:r>
          </w:p>
        </w:tc>
        <w:tc>
          <w:tcPr>
            <w:tcW w:w="254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0.038 (-0.016, 0.092)</w:t>
            </w:r>
          </w:p>
        </w:tc>
        <w:tc>
          <w:tcPr>
            <w:tcW w:w="1274" w:type="dxa"/>
            <w:hideMark/>
          </w:tcPr>
          <w:p w:rsidR="00401FD1" w:rsidRDefault="00401FD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0.191</w:t>
            </w:r>
          </w:p>
        </w:tc>
      </w:tr>
      <w:tr w:rsidR="00401FD1" w:rsidTr="00401FD1"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Model 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 (ref.)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0.007 (-0.035, 0.050)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0.011 (-0.036, 0.058)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0.013 (-0.039, 0.066)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0.067 (0.003, 0.130)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rPr>
                <w:rFonts w:ascii="Times" w:hAnsi="Times" w:cs="Times"/>
                <w:b/>
                <w:sz w:val="22"/>
                <w:szCs w:val="22"/>
              </w:rPr>
            </w:pPr>
            <w:r>
              <w:rPr>
                <w:rFonts w:ascii="Times" w:hAnsi="Times" w:cs="Times"/>
                <w:b/>
                <w:sz w:val="22"/>
                <w:szCs w:val="22"/>
              </w:rPr>
              <w:t>0.043</w:t>
            </w:r>
          </w:p>
        </w:tc>
      </w:tr>
    </w:tbl>
    <w:p w:rsidR="00401FD1" w:rsidRDefault="00401FD1" w:rsidP="00401FD1">
      <w:pPr>
        <w:ind w:left="-567" w:right="-1000"/>
        <w:jc w:val="both"/>
        <w:rPr>
          <w:rFonts w:ascii="Times" w:hAnsi="Times" w:cs="Times"/>
          <w:color w:val="000000" w:themeColor="text1"/>
          <w:sz w:val="22"/>
          <w:szCs w:val="22"/>
        </w:rPr>
      </w:pPr>
      <w:r>
        <w:rPr>
          <w:rFonts w:ascii="Times" w:hAnsi="Times" w:cs="Times"/>
          <w:color w:val="000000" w:themeColor="text1"/>
          <w:sz w:val="22"/>
          <w:szCs w:val="22"/>
        </w:rPr>
        <w:t xml:space="preserve">Model 1: adjusted </w:t>
      </w:r>
      <w:proofErr w:type="gramStart"/>
      <w:r>
        <w:rPr>
          <w:rFonts w:ascii="Times" w:hAnsi="Times" w:cs="Times"/>
          <w:color w:val="000000" w:themeColor="text1"/>
          <w:sz w:val="22"/>
          <w:szCs w:val="22"/>
        </w:rPr>
        <w:t xml:space="preserve">for </w:t>
      </w:r>
      <w:r>
        <w:rPr>
          <w:rFonts w:ascii="Times" w:hAnsi="Courier New" w:cs="Courier New"/>
          <w:color w:val="000000" w:themeColor="text1"/>
          <w:sz w:val="22"/>
          <w:szCs w:val="22"/>
        </w:rPr>
        <w:t>﻿</w:t>
      </w:r>
      <w:r>
        <w:rPr>
          <w:rFonts w:ascii="Times" w:hAnsi="Times" w:cs="Times"/>
          <w:color w:val="000000" w:themeColor="text1"/>
          <w:sz w:val="22"/>
          <w:szCs w:val="22"/>
        </w:rPr>
        <w:t>age</w:t>
      </w:r>
      <w:proofErr w:type="gramEnd"/>
      <w:r>
        <w:rPr>
          <w:rFonts w:ascii="Times" w:hAnsi="Times" w:cs="Times"/>
          <w:color w:val="000000" w:themeColor="text1"/>
          <w:sz w:val="22"/>
          <w:szCs w:val="22"/>
        </w:rPr>
        <w:t>, sex, year of cohort entry</w:t>
      </w:r>
      <w:r>
        <w:rPr>
          <w:rFonts w:ascii="Times" w:hAnsi="Times" w:cs="Times New Roman"/>
          <w:sz w:val="22"/>
          <w:szCs w:val="22"/>
        </w:rPr>
        <w:t xml:space="preserve"> (1999-2001, 2002-2004, 2005-2007, 2008)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and energy intake (continuous). </w:t>
      </w:r>
    </w:p>
    <w:p w:rsidR="00401FD1" w:rsidRDefault="00401FD1" w:rsidP="00401FD1">
      <w:pPr>
        <w:ind w:left="-567" w:right="-1000"/>
        <w:jc w:val="both"/>
        <w:rPr>
          <w:rFonts w:ascii="Times" w:hAnsi="Times" w:cs="Times"/>
          <w:color w:val="000000" w:themeColor="text1"/>
          <w:sz w:val="22"/>
        </w:rPr>
      </w:pPr>
      <w:r>
        <w:rPr>
          <w:rFonts w:ascii="Times" w:hAnsi="Times" w:cs="Times"/>
          <w:color w:val="000000" w:themeColor="text1"/>
          <w:sz w:val="22"/>
          <w:szCs w:val="22"/>
        </w:rPr>
        <w:t xml:space="preserve">Model 2: additionally adjusted </w:t>
      </w:r>
      <w:r>
        <w:rPr>
          <w:rFonts w:ascii="Times" w:hAnsi="Times" w:cs="Times New Roman"/>
          <w:sz w:val="22"/>
          <w:szCs w:val="22"/>
        </w:rPr>
        <w:t>body mass index (≤20, 20-21, 22-25, ≥25 kg/m</w:t>
      </w:r>
      <w:r>
        <w:rPr>
          <w:rFonts w:ascii="Times" w:hAnsi="Times" w:cs="Times New Roman"/>
          <w:sz w:val="22"/>
          <w:szCs w:val="22"/>
          <w:vertAlign w:val="superscript"/>
        </w:rPr>
        <w:t>2</w:t>
      </w:r>
      <w:r>
        <w:rPr>
          <w:rFonts w:ascii="Times" w:hAnsi="Times" w:cs="Times New Roman"/>
          <w:sz w:val="22"/>
          <w:szCs w:val="22"/>
        </w:rPr>
        <w:t xml:space="preserve"> and a quadratic term for body mass index), smoking status (never/ever), alcohol intake (abstainer, &lt;5 g/d or &lt;10 g/d, 5-25 g/d or 10-50 g/d, &gt;25 g/d or &gt;50 g/d for women and for men respectively), leisure-time physical activity (Mets-h/w, continuous), average daily time of television watching (h/d, continuous), average daily time spent sitting (h/w, continuous), following special diet at baseline (yes/no), weight gain in the past 5 years previous to entering the cohort (&lt;3 kg /</w:t>
      </w:r>
      <w:r>
        <w:rPr>
          <w:rFonts w:ascii="Times" w:hAnsi="Times" w:cs="Cambria Math"/>
          <w:color w:val="000000" w:themeColor="text1"/>
          <w:sz w:val="22"/>
          <w:szCs w:val="22"/>
        </w:rPr>
        <w:t>≥</w:t>
      </w:r>
      <w:r>
        <w:rPr>
          <w:rFonts w:ascii="Times" w:hAnsi="Times" w:cs="Times New Roman"/>
          <w:sz w:val="22"/>
          <w:szCs w:val="22"/>
        </w:rPr>
        <w:t xml:space="preserve">3 kg), years of education (continuous), prevalence of </w:t>
      </w:r>
      <w:proofErr w:type="spellStart"/>
      <w:r>
        <w:rPr>
          <w:rFonts w:ascii="Times" w:hAnsi="Times" w:cs="Times New Roman"/>
          <w:sz w:val="22"/>
          <w:szCs w:val="22"/>
        </w:rPr>
        <w:t>dyslipidemia</w:t>
      </w:r>
      <w:proofErr w:type="spellEnd"/>
      <w:r>
        <w:rPr>
          <w:rFonts w:ascii="Times" w:hAnsi="Times" w:cs="Times New Roman"/>
          <w:sz w:val="22"/>
          <w:szCs w:val="22"/>
        </w:rPr>
        <w:t xml:space="preserve"> and cardiovascular disease (yes/no)</w:t>
      </w:r>
      <w:r>
        <w:rPr>
          <w:rFonts w:ascii="Times" w:hAnsi="Times" w:cs="Times"/>
          <w:color w:val="000000" w:themeColor="text1"/>
          <w:sz w:val="22"/>
          <w:szCs w:val="22"/>
        </w:rPr>
        <w:t>.</w:t>
      </w:r>
    </w:p>
    <w:p w:rsidR="00401FD1" w:rsidRDefault="00401FD1" w:rsidP="00401FD1">
      <w:pPr>
        <w:ind w:left="-567" w:right="-1000"/>
        <w:jc w:val="both"/>
        <w:rPr>
          <w:rFonts w:ascii="Times" w:hAnsi="Times" w:cs="Times"/>
          <w:color w:val="000000" w:themeColor="text1"/>
          <w:sz w:val="22"/>
        </w:rPr>
      </w:pPr>
      <w:r>
        <w:rPr>
          <w:rFonts w:ascii="Times" w:hAnsi="Times" w:cs="Times"/>
          <w:color w:val="000000" w:themeColor="text1"/>
          <w:sz w:val="22"/>
        </w:rPr>
        <w:t xml:space="preserve">Model 3: </w:t>
      </w:r>
      <w:r>
        <w:rPr>
          <w:rFonts w:ascii="Times" w:hAnsi="Times" w:cs="Times New Roman"/>
          <w:sz w:val="22"/>
          <w:szCs w:val="22"/>
        </w:rPr>
        <w:t xml:space="preserve">additionally adjusted for dietary fiber intake, monounsaturated fatty acid (MUFA) intake, polyunsaturated fatty acid (PUFA) intake, saturated fatty acid (SFA) intake and </w:t>
      </w:r>
      <w:proofErr w:type="gramStart"/>
      <w:r>
        <w:rPr>
          <w:rFonts w:ascii="Times" w:hAnsi="Times" w:cs="Times New Roman"/>
          <w:sz w:val="22"/>
          <w:szCs w:val="22"/>
        </w:rPr>
        <w:t>trans</w:t>
      </w:r>
      <w:proofErr w:type="gramEnd"/>
      <w:r>
        <w:rPr>
          <w:rFonts w:ascii="Times" w:hAnsi="Times" w:cs="Times New Roman"/>
          <w:sz w:val="22"/>
          <w:szCs w:val="22"/>
        </w:rPr>
        <w:t xml:space="preserve"> fat intake (continuous).</w:t>
      </w:r>
    </w:p>
    <w:p w:rsidR="00401FD1" w:rsidRDefault="00401FD1" w:rsidP="00401FD1">
      <w:pPr>
        <w:rPr>
          <w:rFonts w:ascii="Times" w:hAnsi="Times" w:cs="Times"/>
          <w:b/>
        </w:rPr>
      </w:pPr>
    </w:p>
    <w:p w:rsidR="00401FD1" w:rsidRDefault="00401FD1" w:rsidP="00401FD1">
      <w:pPr>
        <w:rPr>
          <w:rFonts w:ascii="Times" w:hAnsi="Times" w:cs="Times"/>
          <w:b/>
        </w:rPr>
      </w:pPr>
    </w:p>
    <w:p w:rsidR="00401FD1" w:rsidRDefault="00401FD1" w:rsidP="00401FD1">
      <w:pPr>
        <w:rPr>
          <w:rFonts w:ascii="Times" w:hAnsi="Times" w:cs="Times"/>
          <w:b/>
        </w:rPr>
      </w:pPr>
    </w:p>
    <w:p w:rsidR="00401FD1" w:rsidRDefault="00401FD1" w:rsidP="00401FD1">
      <w:pPr>
        <w:rPr>
          <w:rFonts w:ascii="Times" w:hAnsi="Times" w:cs="Times"/>
          <w:b/>
        </w:rPr>
      </w:pPr>
    </w:p>
    <w:p w:rsidR="00401FD1" w:rsidRDefault="00401FD1" w:rsidP="00401FD1">
      <w:pPr>
        <w:rPr>
          <w:rFonts w:ascii="Times" w:hAnsi="Times" w:cs="Times"/>
          <w:b/>
        </w:rPr>
      </w:pPr>
    </w:p>
    <w:p w:rsidR="00401FD1" w:rsidRDefault="00401FD1" w:rsidP="00401FD1">
      <w:pPr>
        <w:rPr>
          <w:rFonts w:ascii="Times" w:hAnsi="Times" w:cs="Times"/>
          <w:b/>
        </w:rPr>
      </w:pPr>
    </w:p>
    <w:p w:rsidR="00401FD1" w:rsidRDefault="00401FD1" w:rsidP="00401FD1">
      <w:pPr>
        <w:rPr>
          <w:rFonts w:ascii="Times" w:hAnsi="Times" w:cs="Times"/>
          <w:b/>
        </w:rPr>
      </w:pPr>
    </w:p>
    <w:p w:rsidR="00401FD1" w:rsidRDefault="00401FD1" w:rsidP="00401FD1">
      <w:pPr>
        <w:rPr>
          <w:rFonts w:ascii="Times" w:hAnsi="Times" w:cs="Times"/>
          <w:b/>
        </w:rPr>
      </w:pPr>
    </w:p>
    <w:p w:rsidR="00401FD1" w:rsidRDefault="00401FD1" w:rsidP="00401FD1">
      <w:pPr>
        <w:ind w:left="-567" w:right="-716"/>
        <w:rPr>
          <w:rFonts w:ascii="Times" w:hAnsi="Times" w:cs="Times"/>
        </w:rPr>
      </w:pPr>
      <w:proofErr w:type="gramStart"/>
      <w:r>
        <w:rPr>
          <w:rFonts w:ascii="Times" w:hAnsi="Times" w:cs="Times"/>
          <w:b/>
        </w:rPr>
        <w:lastRenderedPageBreak/>
        <w:t>Supplementary 2</w:t>
      </w:r>
      <w:r>
        <w:rPr>
          <w:rFonts w:ascii="Times" w:hAnsi="Times" w:cs="Times"/>
          <w:b/>
          <w:color w:val="000000" w:themeColor="text1"/>
        </w:rPr>
        <w:t>.</w:t>
      </w:r>
      <w:proofErr w:type="gramEnd"/>
      <w:r>
        <w:rPr>
          <w:rFonts w:ascii="Times" w:hAnsi="Times" w:cs="Times"/>
          <w:color w:val="000000" w:themeColor="text1"/>
        </w:rPr>
        <w:t xml:space="preserve"> </w:t>
      </w:r>
      <w:proofErr w:type="gramStart"/>
      <w:r>
        <w:rPr>
          <w:rFonts w:ascii="Times" w:hAnsi="Times" w:cs="Times"/>
        </w:rPr>
        <w:t xml:space="preserve">Odds Ratios (OR) and 95% confident intervals (CI) of short Telomere Length </w:t>
      </w:r>
      <w:r>
        <w:rPr>
          <w:rFonts w:ascii="Times" w:hAnsi="Times" w:cs="Times"/>
          <w:color w:val="000000" w:themeColor="text1"/>
        </w:rPr>
        <w:t>(&lt;20</w:t>
      </w:r>
      <w:r>
        <w:rPr>
          <w:rFonts w:ascii="Times" w:hAnsi="Times" w:cs="Times"/>
          <w:color w:val="000000" w:themeColor="text1"/>
          <w:vertAlign w:val="superscript"/>
        </w:rPr>
        <w:t>th</w:t>
      </w:r>
      <w:r>
        <w:rPr>
          <w:rFonts w:ascii="Times" w:hAnsi="Times" w:cs="Times"/>
          <w:color w:val="000000" w:themeColor="text1"/>
        </w:rPr>
        <w:t xml:space="preserve"> percentile) </w:t>
      </w:r>
      <w:r>
        <w:rPr>
          <w:rFonts w:ascii="Times" w:hAnsi="Times" w:cs="Times"/>
        </w:rPr>
        <w:t>by quintiles of adherence to Western and Mediterranean Dietary Patterns.</w:t>
      </w:r>
      <w:proofErr w:type="gramEnd"/>
    </w:p>
    <w:p w:rsidR="00401FD1" w:rsidRDefault="00401FD1" w:rsidP="00401FD1">
      <w:pPr>
        <w:rPr>
          <w:rFonts w:ascii="Times" w:hAnsi="Times" w:cs="Times"/>
          <w:b/>
        </w:rPr>
      </w:pPr>
    </w:p>
    <w:tbl>
      <w:tblPr>
        <w:tblStyle w:val="Tablaconcuadrcula"/>
        <w:tblW w:w="145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4"/>
        <w:gridCol w:w="1802"/>
        <w:gridCol w:w="2341"/>
        <w:gridCol w:w="2341"/>
        <w:gridCol w:w="2358"/>
        <w:gridCol w:w="2497"/>
        <w:gridCol w:w="1260"/>
      </w:tblGrid>
      <w:tr w:rsidR="00401FD1" w:rsidTr="00401FD1">
        <w:tc>
          <w:tcPr>
            <w:tcW w:w="19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Dietary Patterns</w:t>
            </w:r>
          </w:p>
        </w:tc>
        <w:tc>
          <w:tcPr>
            <w:tcW w:w="180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Q1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Q2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Q3</w:t>
            </w:r>
          </w:p>
        </w:tc>
        <w:tc>
          <w:tcPr>
            <w:tcW w:w="23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Q4</w:t>
            </w:r>
          </w:p>
        </w:tc>
        <w:tc>
          <w:tcPr>
            <w:tcW w:w="249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Q5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 for trend</w:t>
            </w:r>
          </w:p>
        </w:tc>
      </w:tr>
      <w:tr w:rsidR="00401FD1" w:rsidTr="00401FD1">
        <w:tc>
          <w:tcPr>
            <w:tcW w:w="19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i/>
                <w:sz w:val="22"/>
                <w:szCs w:val="22"/>
              </w:rPr>
              <w:t>n</w:t>
            </w:r>
          </w:p>
        </w:tc>
        <w:tc>
          <w:tcPr>
            <w:tcW w:w="180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178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177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177</w:t>
            </w:r>
          </w:p>
        </w:tc>
        <w:tc>
          <w:tcPr>
            <w:tcW w:w="23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177</w:t>
            </w:r>
          </w:p>
        </w:tc>
        <w:tc>
          <w:tcPr>
            <w:tcW w:w="249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177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</w:p>
        </w:tc>
      </w:tr>
      <w:tr w:rsidR="00401FD1" w:rsidTr="00401FD1"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FD1" w:rsidRDefault="00401FD1">
            <w:pPr>
              <w:rPr>
                <w:rFonts w:ascii="Times" w:hAnsi="Times" w:cs="Times"/>
                <w:i/>
              </w:rPr>
            </w:pPr>
            <w:r>
              <w:rPr>
                <w:rFonts w:ascii="Times" w:hAnsi="Times" w:cs="Times"/>
                <w:i/>
              </w:rPr>
              <w:t xml:space="preserve">Western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FD1" w:rsidRDefault="00401FD1">
            <w:pPr>
              <w:rPr>
                <w:rFonts w:ascii="Times" w:hAnsi="Times" w:cs="Times"/>
              </w:rPr>
            </w:pPr>
          </w:p>
        </w:tc>
      </w:tr>
      <w:tr w:rsidR="00401FD1" w:rsidTr="00401FD1">
        <w:tc>
          <w:tcPr>
            <w:tcW w:w="1974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Participants with TL &lt; P20 (%)</w:t>
            </w:r>
          </w:p>
        </w:tc>
        <w:tc>
          <w:tcPr>
            <w:tcW w:w="180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17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</w:t>
            </w:r>
          </w:p>
        </w:tc>
        <w:tc>
          <w:tcPr>
            <w:tcW w:w="2358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27</w:t>
            </w:r>
          </w:p>
        </w:tc>
        <w:tc>
          <w:tcPr>
            <w:tcW w:w="249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</w:t>
            </w:r>
          </w:p>
        </w:tc>
        <w:tc>
          <w:tcPr>
            <w:tcW w:w="1260" w:type="dxa"/>
          </w:tcPr>
          <w:p w:rsidR="00401FD1" w:rsidRDefault="00401FD1">
            <w:pPr>
              <w:rPr>
                <w:rFonts w:ascii="Times" w:hAnsi="Times" w:cs="Times"/>
              </w:rPr>
            </w:pPr>
          </w:p>
        </w:tc>
      </w:tr>
      <w:tr w:rsidR="00401FD1" w:rsidTr="00401FD1">
        <w:tc>
          <w:tcPr>
            <w:tcW w:w="1974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Crude Model</w:t>
            </w:r>
          </w:p>
        </w:tc>
        <w:tc>
          <w:tcPr>
            <w:tcW w:w="180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 (ref.)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1.57 (0.94, 2.63)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0.71 (0.39, 1.27)</w:t>
            </w:r>
          </w:p>
        </w:tc>
        <w:tc>
          <w:tcPr>
            <w:tcW w:w="2358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1.71 (1.03, 2.86)</w:t>
            </w:r>
          </w:p>
        </w:tc>
        <w:tc>
          <w:tcPr>
            <w:tcW w:w="249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1.05 (0.61, 1.80)</w:t>
            </w:r>
          </w:p>
        </w:tc>
        <w:tc>
          <w:tcPr>
            <w:tcW w:w="1260" w:type="dxa"/>
            <w:hideMark/>
          </w:tcPr>
          <w:p w:rsidR="00401FD1" w:rsidRDefault="00401FD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0.886</w:t>
            </w:r>
          </w:p>
        </w:tc>
      </w:tr>
      <w:tr w:rsidR="00401FD1" w:rsidTr="00401FD1">
        <w:tc>
          <w:tcPr>
            <w:tcW w:w="1974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Model 1</w:t>
            </w:r>
          </w:p>
        </w:tc>
        <w:tc>
          <w:tcPr>
            <w:tcW w:w="180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 (ref.)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1.61 (0.95, 2.71)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0.68 (0.37, 1.25)</w:t>
            </w:r>
          </w:p>
        </w:tc>
        <w:tc>
          <w:tcPr>
            <w:tcW w:w="2358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1.71 (0.98, 2.97)</w:t>
            </w:r>
          </w:p>
        </w:tc>
        <w:tc>
          <w:tcPr>
            <w:tcW w:w="249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1.11 (0.58, 2.12)</w:t>
            </w:r>
          </w:p>
        </w:tc>
        <w:tc>
          <w:tcPr>
            <w:tcW w:w="1260" w:type="dxa"/>
            <w:hideMark/>
          </w:tcPr>
          <w:p w:rsidR="00401FD1" w:rsidRDefault="00401FD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0.772</w:t>
            </w:r>
          </w:p>
        </w:tc>
      </w:tr>
      <w:tr w:rsidR="00401FD1" w:rsidTr="00401FD1">
        <w:tc>
          <w:tcPr>
            <w:tcW w:w="1974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Model 2</w:t>
            </w:r>
          </w:p>
        </w:tc>
        <w:tc>
          <w:tcPr>
            <w:tcW w:w="180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 (ref.)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1.65 (0.97, 2.82)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0.71 (0.38, 1.32)</w:t>
            </w:r>
          </w:p>
        </w:tc>
        <w:tc>
          <w:tcPr>
            <w:tcW w:w="2358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1.89 (1.06, 3.35)</w:t>
            </w:r>
          </w:p>
        </w:tc>
        <w:tc>
          <w:tcPr>
            <w:tcW w:w="249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1.21 (0.61, 2.37)</w:t>
            </w:r>
          </w:p>
        </w:tc>
        <w:tc>
          <w:tcPr>
            <w:tcW w:w="1260" w:type="dxa"/>
            <w:hideMark/>
          </w:tcPr>
          <w:p w:rsidR="00401FD1" w:rsidRDefault="00401FD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0.515</w:t>
            </w:r>
          </w:p>
        </w:tc>
      </w:tr>
      <w:tr w:rsidR="00401FD1" w:rsidTr="00401FD1">
        <w:tc>
          <w:tcPr>
            <w:tcW w:w="1974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Model 3</w:t>
            </w:r>
          </w:p>
        </w:tc>
        <w:tc>
          <w:tcPr>
            <w:tcW w:w="180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 (ref.)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tabs>
                <w:tab w:val="left" w:pos="1309"/>
              </w:tabs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1.58 (0.90, 2.75)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tabs>
                <w:tab w:val="left" w:pos="1309"/>
              </w:tabs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0.67 (0.35, 1.29)</w:t>
            </w:r>
          </w:p>
        </w:tc>
        <w:tc>
          <w:tcPr>
            <w:tcW w:w="2358" w:type="dxa"/>
            <w:hideMark/>
          </w:tcPr>
          <w:p w:rsidR="00401FD1" w:rsidRDefault="00401FD1">
            <w:pPr>
              <w:tabs>
                <w:tab w:val="left" w:pos="1309"/>
              </w:tabs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1.80 (0.94, 3.43)</w:t>
            </w:r>
          </w:p>
        </w:tc>
        <w:tc>
          <w:tcPr>
            <w:tcW w:w="249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1.08 (0.47, 2.47)</w:t>
            </w:r>
          </w:p>
        </w:tc>
        <w:tc>
          <w:tcPr>
            <w:tcW w:w="1260" w:type="dxa"/>
            <w:hideMark/>
          </w:tcPr>
          <w:p w:rsidR="00401FD1" w:rsidRDefault="00401FD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0.793</w:t>
            </w:r>
          </w:p>
        </w:tc>
      </w:tr>
      <w:tr w:rsidR="00401FD1" w:rsidTr="00401FD1">
        <w:tc>
          <w:tcPr>
            <w:tcW w:w="1974" w:type="dxa"/>
            <w:hideMark/>
          </w:tcPr>
          <w:p w:rsidR="00401FD1" w:rsidRDefault="00401FD1">
            <w:pPr>
              <w:rPr>
                <w:rFonts w:ascii="Times" w:hAnsi="Times" w:cs="Times"/>
                <w:i/>
              </w:rPr>
            </w:pPr>
            <w:r>
              <w:rPr>
                <w:rFonts w:ascii="Times" w:hAnsi="Times" w:cs="Times"/>
                <w:i/>
              </w:rPr>
              <w:t>Mediterranean</w:t>
            </w:r>
          </w:p>
        </w:tc>
        <w:tc>
          <w:tcPr>
            <w:tcW w:w="1802" w:type="dxa"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2341" w:type="dxa"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2341" w:type="dxa"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2358" w:type="dxa"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2497" w:type="dxa"/>
          </w:tcPr>
          <w:p w:rsidR="00401FD1" w:rsidRDefault="00401FD1">
            <w:pPr>
              <w:jc w:val="center"/>
              <w:rPr>
                <w:rFonts w:ascii="Times" w:hAnsi="Times" w:cs="Times"/>
                <w:b/>
              </w:rPr>
            </w:pPr>
          </w:p>
        </w:tc>
        <w:tc>
          <w:tcPr>
            <w:tcW w:w="1260" w:type="dxa"/>
          </w:tcPr>
          <w:p w:rsidR="00401FD1" w:rsidRDefault="00401FD1">
            <w:pPr>
              <w:rPr>
                <w:rFonts w:ascii="Times" w:hAnsi="Times" w:cs="Times"/>
              </w:rPr>
            </w:pPr>
          </w:p>
        </w:tc>
      </w:tr>
      <w:tr w:rsidR="00401FD1" w:rsidTr="00401FD1">
        <w:tc>
          <w:tcPr>
            <w:tcW w:w="1974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  <w:i/>
              </w:rPr>
            </w:pPr>
            <w:r>
              <w:rPr>
                <w:rFonts w:ascii="Times" w:hAnsi="Times" w:cs="Times"/>
                <w:sz w:val="22"/>
                <w:szCs w:val="22"/>
              </w:rPr>
              <w:t>Participants with TL &lt; P20 (%)</w:t>
            </w:r>
          </w:p>
        </w:tc>
        <w:tc>
          <w:tcPr>
            <w:tcW w:w="180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22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</w:t>
            </w:r>
          </w:p>
        </w:tc>
        <w:tc>
          <w:tcPr>
            <w:tcW w:w="2358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</w:t>
            </w:r>
          </w:p>
        </w:tc>
        <w:tc>
          <w:tcPr>
            <w:tcW w:w="249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</w:t>
            </w:r>
          </w:p>
        </w:tc>
        <w:tc>
          <w:tcPr>
            <w:tcW w:w="1260" w:type="dxa"/>
          </w:tcPr>
          <w:p w:rsidR="00401FD1" w:rsidRDefault="00401FD1">
            <w:pPr>
              <w:rPr>
                <w:rFonts w:ascii="Times" w:hAnsi="Times" w:cs="Times"/>
              </w:rPr>
            </w:pPr>
          </w:p>
        </w:tc>
      </w:tr>
      <w:tr w:rsidR="00401FD1" w:rsidTr="00401FD1">
        <w:tc>
          <w:tcPr>
            <w:tcW w:w="1974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Crude Model</w:t>
            </w:r>
          </w:p>
        </w:tc>
        <w:tc>
          <w:tcPr>
            <w:tcW w:w="180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 (ref.)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0.88 (0.53, 1.47)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0.91 (0.55, 1.52)</w:t>
            </w:r>
          </w:p>
        </w:tc>
        <w:tc>
          <w:tcPr>
            <w:tcW w:w="2358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0.91 (0.55, 1.52)</w:t>
            </w:r>
          </w:p>
        </w:tc>
        <w:tc>
          <w:tcPr>
            <w:tcW w:w="249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0.76 (0.45, 1.28)</w:t>
            </w:r>
          </w:p>
        </w:tc>
        <w:tc>
          <w:tcPr>
            <w:tcW w:w="1260" w:type="dxa"/>
            <w:hideMark/>
          </w:tcPr>
          <w:p w:rsidR="00401FD1" w:rsidRDefault="00401FD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0.357</w:t>
            </w:r>
          </w:p>
        </w:tc>
      </w:tr>
      <w:tr w:rsidR="00401FD1" w:rsidTr="00401FD1">
        <w:tc>
          <w:tcPr>
            <w:tcW w:w="1974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Model 1</w:t>
            </w:r>
          </w:p>
        </w:tc>
        <w:tc>
          <w:tcPr>
            <w:tcW w:w="180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 (ref.)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0.88 (0.52, 1.50)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0.94 (0.54, 1.64)</w:t>
            </w:r>
          </w:p>
        </w:tc>
        <w:tc>
          <w:tcPr>
            <w:tcW w:w="2358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0.95 (0.53, 1.72)</w:t>
            </w:r>
          </w:p>
        </w:tc>
        <w:tc>
          <w:tcPr>
            <w:tcW w:w="249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0.81 (0.41, 1.61)</w:t>
            </w:r>
          </w:p>
        </w:tc>
        <w:tc>
          <w:tcPr>
            <w:tcW w:w="1260" w:type="dxa"/>
            <w:hideMark/>
          </w:tcPr>
          <w:p w:rsidR="00401FD1" w:rsidRDefault="00401FD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0.643</w:t>
            </w:r>
          </w:p>
        </w:tc>
      </w:tr>
      <w:tr w:rsidR="00401FD1" w:rsidTr="00401FD1">
        <w:tc>
          <w:tcPr>
            <w:tcW w:w="1974" w:type="dxa"/>
            <w:hideMark/>
          </w:tcPr>
          <w:p w:rsidR="00401FD1" w:rsidRDefault="00401FD1">
            <w:pPr>
              <w:jc w:val="righ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Model 2</w:t>
            </w:r>
          </w:p>
        </w:tc>
        <w:tc>
          <w:tcPr>
            <w:tcW w:w="1802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 (ref.)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0.84 (0.49, 1.43)</w:t>
            </w:r>
          </w:p>
        </w:tc>
        <w:tc>
          <w:tcPr>
            <w:tcW w:w="2341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0.90 (0.51, 1.59)</w:t>
            </w:r>
          </w:p>
        </w:tc>
        <w:tc>
          <w:tcPr>
            <w:tcW w:w="2358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0.88 (0.48, 1.61)</w:t>
            </w:r>
          </w:p>
        </w:tc>
        <w:tc>
          <w:tcPr>
            <w:tcW w:w="2497" w:type="dxa"/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0.73 (0.36, 1.47)</w:t>
            </w:r>
          </w:p>
        </w:tc>
        <w:tc>
          <w:tcPr>
            <w:tcW w:w="1260" w:type="dxa"/>
            <w:hideMark/>
          </w:tcPr>
          <w:p w:rsidR="00401FD1" w:rsidRDefault="00401FD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0.453</w:t>
            </w:r>
          </w:p>
        </w:tc>
      </w:tr>
      <w:tr w:rsidR="00401FD1" w:rsidTr="00401FD1"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righ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Model 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1 (ref.)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0.85 (0.49, 1.47)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0.91 (0.50, 1.67)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0.93 (0.47, 1.84)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0.79 (0.34, 1.83)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1FD1" w:rsidRDefault="00401FD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0.673</w:t>
            </w:r>
          </w:p>
        </w:tc>
      </w:tr>
    </w:tbl>
    <w:p w:rsidR="00401FD1" w:rsidRDefault="00401FD1" w:rsidP="00401FD1">
      <w:pPr>
        <w:ind w:left="-567" w:right="-1000"/>
        <w:jc w:val="both"/>
        <w:rPr>
          <w:rFonts w:ascii="Times" w:hAnsi="Times" w:cs="Times"/>
          <w:color w:val="000000" w:themeColor="text1"/>
          <w:sz w:val="22"/>
          <w:szCs w:val="22"/>
        </w:rPr>
      </w:pPr>
      <w:r>
        <w:rPr>
          <w:rFonts w:ascii="Times" w:hAnsi="Times" w:cs="Times"/>
          <w:color w:val="000000" w:themeColor="text1"/>
          <w:sz w:val="22"/>
          <w:szCs w:val="22"/>
        </w:rPr>
        <w:t xml:space="preserve">Model 1: adjusted </w:t>
      </w:r>
      <w:proofErr w:type="gramStart"/>
      <w:r>
        <w:rPr>
          <w:rFonts w:ascii="Times" w:hAnsi="Times" w:cs="Times"/>
          <w:color w:val="000000" w:themeColor="text1"/>
          <w:sz w:val="22"/>
          <w:szCs w:val="22"/>
        </w:rPr>
        <w:t xml:space="preserve">for </w:t>
      </w:r>
      <w:r>
        <w:rPr>
          <w:rFonts w:ascii="Times" w:hAnsi="Courier New" w:cs="Courier New"/>
          <w:color w:val="000000" w:themeColor="text1"/>
          <w:sz w:val="22"/>
          <w:szCs w:val="22"/>
        </w:rPr>
        <w:t>﻿</w:t>
      </w:r>
      <w:r>
        <w:rPr>
          <w:rFonts w:ascii="Times" w:hAnsi="Times" w:cs="Times"/>
          <w:color w:val="000000" w:themeColor="text1"/>
          <w:sz w:val="22"/>
          <w:szCs w:val="22"/>
        </w:rPr>
        <w:t>age</w:t>
      </w:r>
      <w:proofErr w:type="gramEnd"/>
      <w:r>
        <w:rPr>
          <w:rFonts w:ascii="Times" w:hAnsi="Times" w:cs="Times"/>
          <w:color w:val="000000" w:themeColor="text1"/>
          <w:sz w:val="22"/>
          <w:szCs w:val="22"/>
        </w:rPr>
        <w:t>, sex, year of cohort entry</w:t>
      </w:r>
      <w:r>
        <w:rPr>
          <w:rFonts w:ascii="Times" w:hAnsi="Times" w:cs="Times New Roman"/>
          <w:sz w:val="22"/>
          <w:szCs w:val="22"/>
        </w:rPr>
        <w:t xml:space="preserve"> (1999-2001, 2002-2004, 2005-2007, 2008)</w:t>
      </w:r>
      <w:r>
        <w:rPr>
          <w:rFonts w:ascii="Times" w:hAnsi="Times" w:cs="Times"/>
          <w:color w:val="000000" w:themeColor="text1"/>
          <w:sz w:val="22"/>
          <w:szCs w:val="22"/>
        </w:rPr>
        <w:t xml:space="preserve"> and energy intake (continuous). </w:t>
      </w:r>
    </w:p>
    <w:p w:rsidR="00401FD1" w:rsidRDefault="00401FD1" w:rsidP="00401FD1">
      <w:pPr>
        <w:ind w:left="-567" w:right="-1000"/>
        <w:jc w:val="both"/>
        <w:rPr>
          <w:rFonts w:ascii="Times" w:hAnsi="Times" w:cs="Times"/>
          <w:color w:val="000000" w:themeColor="text1"/>
          <w:sz w:val="22"/>
        </w:rPr>
      </w:pPr>
      <w:r>
        <w:rPr>
          <w:rFonts w:ascii="Times" w:hAnsi="Times" w:cs="Times"/>
          <w:color w:val="000000" w:themeColor="text1"/>
          <w:sz w:val="22"/>
          <w:szCs w:val="22"/>
        </w:rPr>
        <w:t xml:space="preserve">Model 2: additionally adjusted </w:t>
      </w:r>
      <w:r>
        <w:rPr>
          <w:rFonts w:ascii="Times" w:hAnsi="Times" w:cs="Times New Roman"/>
          <w:sz w:val="22"/>
          <w:szCs w:val="22"/>
        </w:rPr>
        <w:t>body mass index (≤20, 20-21, 22-25, ≥25 kg/m</w:t>
      </w:r>
      <w:r>
        <w:rPr>
          <w:rFonts w:ascii="Times" w:hAnsi="Times" w:cs="Times New Roman"/>
          <w:sz w:val="22"/>
          <w:szCs w:val="22"/>
          <w:vertAlign w:val="superscript"/>
        </w:rPr>
        <w:t>2</w:t>
      </w:r>
      <w:r>
        <w:rPr>
          <w:rFonts w:ascii="Times" w:hAnsi="Times" w:cs="Times New Roman"/>
          <w:sz w:val="22"/>
          <w:szCs w:val="22"/>
        </w:rPr>
        <w:t xml:space="preserve"> and a quadratic term for body mass index), smoking status (never/ever), alcohol intake (abstainer, &lt;5 g/d or &lt;10 g/d, 5-25 g/d or 10-50 g/d, &gt;25 g/d or &gt;50 g/d for women and for men respectively), leisure-time physical activity (Mets-h/w, continuous), average daily time of television watching (h/d, continuous), average daily time spent sitting (h/w, continuous), following special diet at baseline (yes/no), weight gain in the past 5 years previous to entering the cohort (&lt;3 kg /</w:t>
      </w:r>
      <w:r>
        <w:rPr>
          <w:rFonts w:ascii="Times" w:hAnsi="Times" w:cs="Cambria Math"/>
          <w:color w:val="000000" w:themeColor="text1"/>
          <w:sz w:val="22"/>
          <w:szCs w:val="22"/>
        </w:rPr>
        <w:t>≥</w:t>
      </w:r>
      <w:r>
        <w:rPr>
          <w:rFonts w:ascii="Times" w:hAnsi="Times" w:cs="Times New Roman"/>
          <w:sz w:val="22"/>
          <w:szCs w:val="22"/>
        </w:rPr>
        <w:t xml:space="preserve">3 kg), years of education (continuous), prevalence of </w:t>
      </w:r>
      <w:proofErr w:type="spellStart"/>
      <w:r>
        <w:rPr>
          <w:rFonts w:ascii="Times" w:hAnsi="Times" w:cs="Times New Roman"/>
          <w:sz w:val="22"/>
          <w:szCs w:val="22"/>
        </w:rPr>
        <w:t>dyslipidemia</w:t>
      </w:r>
      <w:proofErr w:type="spellEnd"/>
      <w:r>
        <w:rPr>
          <w:rFonts w:ascii="Times" w:hAnsi="Times" w:cs="Times New Roman"/>
          <w:sz w:val="22"/>
          <w:szCs w:val="22"/>
        </w:rPr>
        <w:t xml:space="preserve"> and cardiovascular disease (yes/no)</w:t>
      </w:r>
      <w:r>
        <w:rPr>
          <w:rFonts w:ascii="Times" w:hAnsi="Times" w:cs="Times"/>
          <w:color w:val="000000" w:themeColor="text1"/>
          <w:sz w:val="22"/>
          <w:szCs w:val="22"/>
        </w:rPr>
        <w:t>.</w:t>
      </w:r>
    </w:p>
    <w:p w:rsidR="00401FD1" w:rsidRDefault="00401FD1" w:rsidP="00401FD1">
      <w:pPr>
        <w:ind w:left="-567" w:right="-1000"/>
        <w:jc w:val="both"/>
        <w:rPr>
          <w:rFonts w:ascii="Times" w:hAnsi="Times" w:cs="Times"/>
          <w:color w:val="000000" w:themeColor="text1"/>
          <w:sz w:val="22"/>
        </w:rPr>
      </w:pPr>
      <w:r>
        <w:rPr>
          <w:rFonts w:ascii="Times" w:hAnsi="Times" w:cs="Times"/>
          <w:color w:val="000000" w:themeColor="text1"/>
          <w:sz w:val="22"/>
        </w:rPr>
        <w:t xml:space="preserve">Model 3: </w:t>
      </w:r>
      <w:r>
        <w:rPr>
          <w:rFonts w:ascii="Times" w:hAnsi="Times" w:cs="Times New Roman"/>
          <w:sz w:val="22"/>
          <w:szCs w:val="22"/>
        </w:rPr>
        <w:t xml:space="preserve">additionally adjusted for dietary fiber intake, monounsaturated fatty acid (MUFA) intake, polyunsaturated fatty acid (PUFA) intake, saturated fatty acid (SFA) intake and </w:t>
      </w:r>
      <w:proofErr w:type="gramStart"/>
      <w:r>
        <w:rPr>
          <w:rFonts w:ascii="Times" w:hAnsi="Times" w:cs="Times New Roman"/>
          <w:sz w:val="22"/>
          <w:szCs w:val="22"/>
        </w:rPr>
        <w:t>trans</w:t>
      </w:r>
      <w:proofErr w:type="gramEnd"/>
      <w:r>
        <w:rPr>
          <w:rFonts w:ascii="Times" w:hAnsi="Times" w:cs="Times New Roman"/>
          <w:sz w:val="22"/>
          <w:szCs w:val="22"/>
        </w:rPr>
        <w:t xml:space="preserve"> fat intake (continuous).</w:t>
      </w:r>
    </w:p>
    <w:p w:rsidR="004E65D4" w:rsidRDefault="004E65D4" w:rsidP="00401FD1"/>
    <w:sectPr w:rsidR="004E65D4" w:rsidSect="00401FD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FD1"/>
    <w:rsid w:val="000B52D4"/>
    <w:rsid w:val="00401FD1"/>
    <w:rsid w:val="004E65D4"/>
    <w:rsid w:val="00501FA2"/>
    <w:rsid w:val="0053088F"/>
    <w:rsid w:val="005A1C3C"/>
    <w:rsid w:val="005C01D2"/>
    <w:rsid w:val="00B22F72"/>
    <w:rsid w:val="00E4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D1"/>
    <w:pPr>
      <w:spacing w:after="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1FD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3834</Characters>
  <Application>Microsoft Office Word</Application>
  <DocSecurity>0</DocSecurity>
  <Lines>31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Ojeda</dc:creator>
  <cp:keywords/>
  <dc:description/>
  <cp:lastModifiedBy>Ana Ojeda</cp:lastModifiedBy>
  <cp:revision>2</cp:revision>
  <dcterms:created xsi:type="dcterms:W3CDTF">2020-05-31T11:41:00Z</dcterms:created>
  <dcterms:modified xsi:type="dcterms:W3CDTF">2020-05-31T11:41:00Z</dcterms:modified>
</cp:coreProperties>
</file>