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A19" w:rsidRPr="00457C9B" w:rsidRDefault="00CF5A19" w:rsidP="00CF5A19">
      <w:pPr>
        <w:widowControl/>
        <w:spacing w:line="360" w:lineRule="auto"/>
        <w:rPr>
          <w:rFonts w:cs="Times New Roman"/>
          <w:b/>
          <w:sz w:val="24"/>
          <w:szCs w:val="24"/>
        </w:rPr>
      </w:pPr>
      <w:bookmarkStart w:id="0" w:name="_GoBack"/>
      <w:bookmarkEnd w:id="0"/>
      <w:r w:rsidRPr="00231131">
        <w:rPr>
          <w:rFonts w:cs="Times New Roman"/>
          <w:b/>
          <w:sz w:val="24"/>
          <w:szCs w:val="24"/>
        </w:rPr>
        <w:t>Appendix 1</w:t>
      </w:r>
      <w:r w:rsidRPr="00457C9B">
        <w:rPr>
          <w:rFonts w:cs="Times New Roman"/>
          <w:b/>
          <w:sz w:val="24"/>
          <w:szCs w:val="24"/>
        </w:rPr>
        <w:t xml:space="preserve"> Recommended GWG for women by prepregnancy BMI</w:t>
      </w:r>
      <w:r w:rsidRPr="000E14BE">
        <w:rPr>
          <w:rFonts w:cs="Times New Roman"/>
          <w:b/>
          <w:sz w:val="24"/>
          <w:szCs w:val="24"/>
          <w:vertAlign w:val="superscript"/>
        </w:rPr>
        <w:t>*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2835"/>
      </w:tblGrid>
      <w:tr w:rsidR="00CF5A19" w:rsidRPr="00457C9B" w:rsidTr="004939DC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>Pregregnancy BMI IOM Category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>BMI, kg/m</w:t>
            </w:r>
            <w:r w:rsidRPr="00457C9B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>IOM Recommended Total</w:t>
            </w:r>
          </w:p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>GWG Range, kg (lbs)</w:t>
            </w:r>
            <w:r w:rsidRPr="000F7841">
              <w:rPr>
                <w:rFonts w:cs="Times New Roman" w:hint="eastAsia"/>
                <w:sz w:val="24"/>
                <w:szCs w:val="24"/>
              </w:rPr>
              <w:t>†</w:t>
            </w:r>
          </w:p>
        </w:tc>
      </w:tr>
      <w:tr w:rsidR="00CF5A19" w:rsidRPr="00457C9B" w:rsidTr="004939DC">
        <w:tc>
          <w:tcPr>
            <w:tcW w:w="2518" w:type="dxa"/>
            <w:tcBorders>
              <w:top w:val="single" w:sz="4" w:space="0" w:color="auto"/>
            </w:tcBorders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>Underweight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>&lt; 18.5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 xml:space="preserve">12.7 </w:t>
            </w:r>
            <w:r w:rsidRPr="00457C9B">
              <w:rPr>
                <w:rFonts w:eastAsia="SimSun" w:cs="Times New Roman"/>
                <w:sz w:val="24"/>
                <w:szCs w:val="24"/>
              </w:rPr>
              <w:t xml:space="preserve">− </w:t>
            </w:r>
            <w:r w:rsidRPr="00457C9B">
              <w:rPr>
                <w:rFonts w:cs="Times New Roman"/>
                <w:sz w:val="24"/>
                <w:szCs w:val="24"/>
              </w:rPr>
              <w:t xml:space="preserve">18.1 (28 </w:t>
            </w:r>
            <w:r w:rsidRPr="00457C9B">
              <w:rPr>
                <w:rFonts w:eastAsia="SimSun" w:cs="Times New Roman"/>
                <w:sz w:val="24"/>
                <w:szCs w:val="24"/>
              </w:rPr>
              <w:t xml:space="preserve">− </w:t>
            </w:r>
            <w:r w:rsidRPr="00457C9B">
              <w:rPr>
                <w:rFonts w:cs="Times New Roman"/>
                <w:sz w:val="24"/>
                <w:szCs w:val="24"/>
              </w:rPr>
              <w:t>40)</w:t>
            </w:r>
          </w:p>
        </w:tc>
      </w:tr>
      <w:tr w:rsidR="00CF5A19" w:rsidRPr="00457C9B" w:rsidTr="004939DC">
        <w:tc>
          <w:tcPr>
            <w:tcW w:w="2518" w:type="dxa"/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>Normal weight</w:t>
            </w:r>
          </w:p>
        </w:tc>
        <w:tc>
          <w:tcPr>
            <w:tcW w:w="2410" w:type="dxa"/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 xml:space="preserve">18.5 </w:t>
            </w:r>
            <w:r w:rsidRPr="00457C9B">
              <w:rPr>
                <w:rFonts w:eastAsia="SimSun" w:cs="Times New Roman"/>
                <w:sz w:val="24"/>
                <w:szCs w:val="24"/>
              </w:rPr>
              <w:t xml:space="preserve">− </w:t>
            </w:r>
            <w:r w:rsidRPr="00457C9B">
              <w:rPr>
                <w:rFonts w:cs="Times New Roman"/>
                <w:sz w:val="24"/>
                <w:szCs w:val="24"/>
              </w:rPr>
              <w:t>24.9</w:t>
            </w:r>
          </w:p>
        </w:tc>
        <w:tc>
          <w:tcPr>
            <w:tcW w:w="2835" w:type="dxa"/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 xml:space="preserve">11.3 </w:t>
            </w:r>
            <w:r w:rsidRPr="00457C9B">
              <w:rPr>
                <w:rFonts w:eastAsia="SimSun" w:cs="Times New Roman"/>
                <w:sz w:val="24"/>
                <w:szCs w:val="24"/>
              </w:rPr>
              <w:t xml:space="preserve">− </w:t>
            </w:r>
            <w:r w:rsidRPr="00457C9B">
              <w:rPr>
                <w:rFonts w:cs="Times New Roman"/>
                <w:sz w:val="24"/>
                <w:szCs w:val="24"/>
              </w:rPr>
              <w:t xml:space="preserve">15.9 (25 </w:t>
            </w:r>
            <w:r w:rsidRPr="00457C9B">
              <w:rPr>
                <w:rFonts w:eastAsia="SimSun" w:cs="Times New Roman"/>
                <w:sz w:val="24"/>
                <w:szCs w:val="24"/>
              </w:rPr>
              <w:t xml:space="preserve">− </w:t>
            </w:r>
            <w:r w:rsidRPr="00457C9B">
              <w:rPr>
                <w:rFonts w:cs="Times New Roman"/>
                <w:sz w:val="24"/>
                <w:szCs w:val="24"/>
              </w:rPr>
              <w:t>35)</w:t>
            </w:r>
          </w:p>
        </w:tc>
      </w:tr>
      <w:tr w:rsidR="00CF5A19" w:rsidRPr="00457C9B" w:rsidTr="004939DC">
        <w:tc>
          <w:tcPr>
            <w:tcW w:w="2518" w:type="dxa"/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>Overweight</w:t>
            </w:r>
          </w:p>
        </w:tc>
        <w:tc>
          <w:tcPr>
            <w:tcW w:w="2410" w:type="dxa"/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 xml:space="preserve">25 </w:t>
            </w:r>
            <w:r w:rsidRPr="00457C9B">
              <w:rPr>
                <w:rFonts w:eastAsia="SimSun" w:cs="Times New Roman"/>
                <w:sz w:val="24"/>
                <w:szCs w:val="24"/>
              </w:rPr>
              <w:t xml:space="preserve">− </w:t>
            </w:r>
            <w:r w:rsidRPr="00457C9B">
              <w:rPr>
                <w:rFonts w:cs="Times New Roman"/>
                <w:sz w:val="24"/>
                <w:szCs w:val="24"/>
              </w:rPr>
              <w:t>29.9</w:t>
            </w:r>
          </w:p>
        </w:tc>
        <w:tc>
          <w:tcPr>
            <w:tcW w:w="2835" w:type="dxa"/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 xml:space="preserve">6.8 </w:t>
            </w:r>
            <w:r w:rsidRPr="00457C9B">
              <w:rPr>
                <w:rFonts w:eastAsia="SimSun" w:cs="Times New Roman"/>
                <w:sz w:val="24"/>
                <w:szCs w:val="24"/>
              </w:rPr>
              <w:t xml:space="preserve">− </w:t>
            </w:r>
            <w:r w:rsidRPr="00457C9B">
              <w:rPr>
                <w:rFonts w:cs="Times New Roman"/>
                <w:sz w:val="24"/>
                <w:szCs w:val="24"/>
              </w:rPr>
              <w:t xml:space="preserve">11.3 (15 </w:t>
            </w:r>
            <w:r w:rsidRPr="00457C9B">
              <w:rPr>
                <w:rFonts w:eastAsia="SimSun" w:cs="Times New Roman"/>
                <w:sz w:val="24"/>
                <w:szCs w:val="24"/>
              </w:rPr>
              <w:t xml:space="preserve">− </w:t>
            </w:r>
            <w:r w:rsidRPr="00457C9B">
              <w:rPr>
                <w:rFonts w:cs="Times New Roman"/>
                <w:sz w:val="24"/>
                <w:szCs w:val="24"/>
              </w:rPr>
              <w:t>25)</w:t>
            </w:r>
          </w:p>
        </w:tc>
      </w:tr>
      <w:tr w:rsidR="00CF5A19" w:rsidRPr="00457C9B" w:rsidTr="004939DC">
        <w:tc>
          <w:tcPr>
            <w:tcW w:w="2518" w:type="dxa"/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>Obese</w:t>
            </w:r>
          </w:p>
        </w:tc>
        <w:tc>
          <w:tcPr>
            <w:tcW w:w="2410" w:type="dxa"/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>≥ 30.0</w:t>
            </w:r>
          </w:p>
        </w:tc>
        <w:tc>
          <w:tcPr>
            <w:tcW w:w="2835" w:type="dxa"/>
          </w:tcPr>
          <w:p w:rsidR="00CF5A19" w:rsidRPr="00457C9B" w:rsidRDefault="00CF5A19" w:rsidP="004939DC">
            <w:pPr>
              <w:widowControl/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 w:rsidRPr="00457C9B">
              <w:rPr>
                <w:rFonts w:cs="Times New Roman"/>
                <w:sz w:val="24"/>
                <w:szCs w:val="24"/>
              </w:rPr>
              <w:t xml:space="preserve">5.0 </w:t>
            </w:r>
            <w:r w:rsidRPr="00457C9B">
              <w:rPr>
                <w:rFonts w:eastAsia="SimSun" w:cs="Times New Roman"/>
                <w:sz w:val="24"/>
                <w:szCs w:val="24"/>
              </w:rPr>
              <w:t xml:space="preserve">− </w:t>
            </w:r>
            <w:r w:rsidRPr="00457C9B">
              <w:rPr>
                <w:rFonts w:cs="Times New Roman"/>
                <w:sz w:val="24"/>
                <w:szCs w:val="24"/>
              </w:rPr>
              <w:t xml:space="preserve">9.1 (11 </w:t>
            </w:r>
            <w:r w:rsidRPr="00457C9B">
              <w:rPr>
                <w:rFonts w:eastAsia="SimSun" w:cs="Times New Roman"/>
                <w:sz w:val="24"/>
                <w:szCs w:val="24"/>
              </w:rPr>
              <w:t xml:space="preserve">− </w:t>
            </w:r>
            <w:r w:rsidRPr="00457C9B">
              <w:rPr>
                <w:rFonts w:cs="Times New Roman"/>
                <w:sz w:val="24"/>
                <w:szCs w:val="24"/>
              </w:rPr>
              <w:t>20)</w:t>
            </w:r>
          </w:p>
        </w:tc>
      </w:tr>
    </w:tbl>
    <w:p w:rsidR="00CF5A19" w:rsidRDefault="00CF5A19" w:rsidP="00CF5A19">
      <w:pPr>
        <w:widowControl/>
        <w:spacing w:line="360" w:lineRule="auto"/>
        <w:rPr>
          <w:rFonts w:cs="Times New Roman"/>
          <w:sz w:val="24"/>
          <w:szCs w:val="24"/>
        </w:rPr>
      </w:pPr>
      <w:r w:rsidRPr="001E3C2D">
        <w:rPr>
          <w:rFonts w:cs="Times New Roman"/>
          <w:sz w:val="24"/>
          <w:szCs w:val="24"/>
        </w:rPr>
        <w:t>GWG, gestational weight gain</w:t>
      </w:r>
    </w:p>
    <w:p w:rsidR="00CF5A19" w:rsidRPr="00457C9B" w:rsidRDefault="00CF5A19" w:rsidP="00CF5A19">
      <w:pPr>
        <w:widowControl/>
        <w:spacing w:line="360" w:lineRule="auto"/>
        <w:rPr>
          <w:rFonts w:cs="Times New Roman"/>
          <w:sz w:val="24"/>
          <w:szCs w:val="24"/>
        </w:rPr>
      </w:pPr>
      <w:r w:rsidRPr="000F7841">
        <w:rPr>
          <w:rFonts w:cs="Times New Roman"/>
          <w:sz w:val="24"/>
          <w:szCs w:val="24"/>
          <w:vertAlign w:val="superscript"/>
        </w:rPr>
        <w:t>*</w:t>
      </w:r>
      <w:r w:rsidRPr="00457C9B">
        <w:rPr>
          <w:rFonts w:cs="Times New Roman"/>
          <w:sz w:val="24"/>
          <w:szCs w:val="24"/>
        </w:rPr>
        <w:t xml:space="preserve"> Source: Modified from Institute of Medicine</w:t>
      </w:r>
      <w:r>
        <w:rPr>
          <w:rFonts w:cs="Times New Roman" w:hint="eastAsia"/>
          <w:sz w:val="24"/>
          <w:szCs w:val="24"/>
        </w:rPr>
        <w:t xml:space="preserve"> (IOM)</w:t>
      </w:r>
      <w:r w:rsidRPr="00457C9B">
        <w:rPr>
          <w:rFonts w:cs="Times New Roman"/>
          <w:sz w:val="24"/>
          <w:szCs w:val="24"/>
        </w:rPr>
        <w:t xml:space="preserve"> </w:t>
      </w:r>
      <w:r w:rsidRPr="00231131">
        <w:rPr>
          <w:rFonts w:cs="Times New Roman" w:hint="eastAsia"/>
          <w:sz w:val="24"/>
          <w:szCs w:val="24"/>
          <w:vertAlign w:val="superscript"/>
        </w:rPr>
        <w:t>(</w:t>
      </w:r>
      <w:r>
        <w:rPr>
          <w:rFonts w:cs="Times New Roman"/>
          <w:sz w:val="24"/>
          <w:szCs w:val="24"/>
          <w:vertAlign w:val="superscript"/>
        </w:rPr>
        <w:t>55</w:t>
      </w:r>
      <w:r w:rsidRPr="00231131">
        <w:rPr>
          <w:rFonts w:cs="Times New Roman" w:hint="eastAsia"/>
          <w:sz w:val="24"/>
          <w:szCs w:val="24"/>
          <w:vertAlign w:val="superscript"/>
        </w:rPr>
        <w:t>)</w:t>
      </w:r>
    </w:p>
    <w:p w:rsidR="00CF5A19" w:rsidRDefault="00CF5A19" w:rsidP="00CF5A19">
      <w:pPr>
        <w:widowControl/>
        <w:spacing w:line="360" w:lineRule="auto"/>
        <w:rPr>
          <w:rFonts w:cs="Times New Roman"/>
          <w:sz w:val="24"/>
          <w:szCs w:val="24"/>
        </w:rPr>
      </w:pPr>
      <w:r w:rsidRPr="000F7841">
        <w:rPr>
          <w:rFonts w:cs="Times New Roman" w:hint="eastAsia"/>
          <w:sz w:val="24"/>
          <w:szCs w:val="24"/>
        </w:rPr>
        <w:t>†</w:t>
      </w:r>
      <w:r w:rsidRPr="00457C9B">
        <w:rPr>
          <w:rFonts w:cs="Times New Roman"/>
          <w:sz w:val="24"/>
          <w:szCs w:val="24"/>
        </w:rPr>
        <w:t xml:space="preserve"> IOM guidelines do not include the recommended total GWG in kilograms, but these have been added to </w:t>
      </w:r>
      <w:r w:rsidRPr="00231131">
        <w:rPr>
          <w:rFonts w:cs="Times New Roman"/>
          <w:b/>
          <w:sz w:val="24"/>
          <w:szCs w:val="24"/>
        </w:rPr>
        <w:t>Appendix 1</w:t>
      </w:r>
      <w:r w:rsidRPr="00457C9B">
        <w:rPr>
          <w:rFonts w:cs="Times New Roman"/>
          <w:sz w:val="24"/>
          <w:szCs w:val="24"/>
        </w:rPr>
        <w:t xml:space="preserve"> for ease of comparison.</w:t>
      </w:r>
    </w:p>
    <w:p w:rsidR="00CF5A19" w:rsidRDefault="00CF5A19">
      <w:pPr>
        <w:widowControl/>
        <w:jc w:val="left"/>
      </w:pPr>
      <w:r>
        <w:br w:type="page"/>
      </w:r>
    </w:p>
    <w:p w:rsidR="00361F07" w:rsidRDefault="00334323" w:rsidP="00CF5A19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6pt;height:417pt">
            <v:imagedata r:id="rId6" o:title="Appendix 2"/>
          </v:shape>
        </w:pict>
      </w:r>
    </w:p>
    <w:p w:rsidR="00CF5A19" w:rsidRDefault="00CF5A19" w:rsidP="00CF5A19">
      <w:pPr>
        <w:widowControl/>
        <w:spacing w:line="360" w:lineRule="auto"/>
        <w:rPr>
          <w:rFonts w:cs="Times New Roman"/>
          <w:sz w:val="24"/>
          <w:szCs w:val="24"/>
        </w:rPr>
      </w:pPr>
      <w:r w:rsidRPr="00231131">
        <w:rPr>
          <w:rFonts w:cs="Times New Roman"/>
          <w:b/>
          <w:sz w:val="24"/>
          <w:szCs w:val="24"/>
        </w:rPr>
        <w:t xml:space="preserve">Appendix </w:t>
      </w:r>
      <w:r>
        <w:rPr>
          <w:rFonts w:cs="Times New Roman" w:hint="eastAsia"/>
          <w:b/>
          <w:sz w:val="24"/>
          <w:szCs w:val="24"/>
        </w:rPr>
        <w:t>2</w:t>
      </w:r>
      <w:r w:rsidRPr="00F7408E">
        <w:rPr>
          <w:rFonts w:cs="Times New Roman"/>
          <w:b/>
          <w:sz w:val="24"/>
          <w:szCs w:val="24"/>
        </w:rPr>
        <w:t xml:space="preserve"> </w:t>
      </w:r>
      <w:r w:rsidRPr="00F7408E">
        <w:rPr>
          <w:rFonts w:cs="Times New Roman"/>
          <w:sz w:val="24"/>
          <w:szCs w:val="24"/>
        </w:rPr>
        <w:t>Z-scores distribution at two different time points (at birth and 42</w:t>
      </w:r>
      <w:r w:rsidRPr="00756432">
        <w:rPr>
          <w:rFonts w:cs="Times New Roman"/>
          <w:sz w:val="24"/>
          <w:szCs w:val="24"/>
          <w:vertAlign w:val="superscript"/>
        </w:rPr>
        <w:t>nd</w:t>
      </w:r>
      <w:r w:rsidRPr="00F7408E">
        <w:rPr>
          <w:rFonts w:cs="Times New Roman"/>
          <w:sz w:val="24"/>
          <w:szCs w:val="24"/>
        </w:rPr>
        <w:t xml:space="preserve"> day) for infants of all participants (Normal range included in shadow)</w:t>
      </w:r>
    </w:p>
    <w:p w:rsidR="00CF5A19" w:rsidRDefault="00CF5A19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CF5A19" w:rsidRDefault="00334323" w:rsidP="00CF5A19">
      <w:pPr>
        <w:widowControl/>
        <w:spacing w:line="36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pict>
          <v:shape id="_x0000_i1026" type="#_x0000_t75" style="width:414pt;height:175.8pt">
            <v:imagedata r:id="rId7" o:title="Appendix 3"/>
          </v:shape>
        </w:pict>
      </w:r>
    </w:p>
    <w:p w:rsidR="00CF5A19" w:rsidRDefault="00CF5A19" w:rsidP="00CF5A19">
      <w:pPr>
        <w:widowControl/>
        <w:spacing w:line="360" w:lineRule="auto"/>
        <w:rPr>
          <w:rFonts w:cs="Times New Roman"/>
          <w:sz w:val="24"/>
          <w:szCs w:val="24"/>
        </w:rPr>
      </w:pPr>
      <w:bookmarkStart w:id="1" w:name="OLE_LINK20"/>
      <w:bookmarkStart w:id="2" w:name="OLE_LINK21"/>
      <w:r w:rsidRPr="00231131">
        <w:rPr>
          <w:rFonts w:cs="Times New Roman"/>
          <w:b/>
          <w:sz w:val="24"/>
          <w:szCs w:val="24"/>
        </w:rPr>
        <w:t xml:space="preserve">Appendix </w:t>
      </w:r>
      <w:r>
        <w:rPr>
          <w:rFonts w:cs="Times New Roman" w:hint="eastAsia"/>
          <w:b/>
          <w:sz w:val="24"/>
          <w:szCs w:val="24"/>
        </w:rPr>
        <w:t>3</w:t>
      </w:r>
      <w:r w:rsidRPr="00457C9B">
        <w:rPr>
          <w:rFonts w:cs="Times New Roman"/>
          <w:b/>
          <w:sz w:val="24"/>
          <w:szCs w:val="24"/>
        </w:rPr>
        <w:t xml:space="preserve"> </w:t>
      </w:r>
      <w:r w:rsidRPr="00F7408E">
        <w:rPr>
          <w:rFonts w:cs="Times New Roman"/>
          <w:sz w:val="24"/>
          <w:szCs w:val="24"/>
        </w:rPr>
        <w:t xml:space="preserve">The proposed role of Se in adipose tissue physiology and obesity pathogenesis (as modified from </w:t>
      </w:r>
      <w:r>
        <w:rPr>
          <w:rFonts w:cs="Times New Roman"/>
          <w:sz w:val="24"/>
          <w:szCs w:val="24"/>
        </w:rPr>
        <w:t>(</w:t>
      </w:r>
      <w:r w:rsidRPr="00250431">
        <w:rPr>
          <w:rFonts w:cs="Times New Roman"/>
          <w:color w:val="FF0000"/>
          <w:sz w:val="24"/>
          <w:szCs w:val="24"/>
        </w:rPr>
        <w:t>8</w:t>
      </w:r>
      <w:r>
        <w:rPr>
          <w:rFonts w:cs="Times New Roman"/>
          <w:color w:val="FF0000"/>
          <w:sz w:val="24"/>
          <w:szCs w:val="24"/>
        </w:rPr>
        <w:t>0</w:t>
      </w:r>
      <w:r>
        <w:rPr>
          <w:rFonts w:cs="Times New Roman"/>
          <w:sz w:val="24"/>
          <w:szCs w:val="24"/>
        </w:rPr>
        <w:t>)</w:t>
      </w:r>
      <w:r w:rsidRPr="00F7408E">
        <w:rPr>
          <w:rFonts w:cs="Times New Roman"/>
          <w:sz w:val="24"/>
          <w:szCs w:val="24"/>
        </w:rPr>
        <w:t>; [Se]</w:t>
      </w:r>
      <w:r w:rsidRPr="00F7408E">
        <w:rPr>
          <w:rFonts w:cs="Times New Roman"/>
          <w:sz w:val="24"/>
          <w:szCs w:val="24"/>
          <w:vertAlign w:val="subscript"/>
        </w:rPr>
        <w:t>i</w:t>
      </w:r>
      <w:r w:rsidRPr="00F7408E">
        <w:rPr>
          <w:rFonts w:cs="Times New Roman"/>
          <w:sz w:val="24"/>
          <w:szCs w:val="24"/>
        </w:rPr>
        <w:t>, Adipocyte intracellular Se; GPXs, glutathione peroxidases; Scly, selenocysteine lyase; Se, selenium; SECISBP2, selenocysteine insertion sequence-binding protein 2; SELENOI/-M/-P/-S/-V, selenoprotein I, M, P, S, and V; Sephs2, selenophosphate synthetase 2; TXNRDs, thioredoxin reductases)</w:t>
      </w:r>
    </w:p>
    <w:p w:rsidR="00CF5A19" w:rsidRDefault="00CF5A19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CF5A19" w:rsidRPr="00CF5A19" w:rsidRDefault="00334323" w:rsidP="00CF5A19">
      <w:pPr>
        <w:widowControl/>
        <w:spacing w:line="36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pict>
          <v:shape id="_x0000_i1027" type="#_x0000_t75" style="width:416.4pt;height:288.6pt">
            <v:imagedata r:id="rId8" o:title="Appendix 4"/>
          </v:shape>
        </w:pict>
      </w:r>
    </w:p>
    <w:bookmarkEnd w:id="1"/>
    <w:bookmarkEnd w:id="2"/>
    <w:p w:rsidR="00CF5A19" w:rsidRPr="00CF5A19" w:rsidRDefault="00CF5A19" w:rsidP="00CF5A19">
      <w:pPr>
        <w:widowControl/>
        <w:spacing w:line="360" w:lineRule="auto"/>
        <w:rPr>
          <w:rFonts w:cs="Times New Roman"/>
          <w:b/>
          <w:sz w:val="24"/>
          <w:szCs w:val="24"/>
        </w:rPr>
      </w:pPr>
      <w:r w:rsidRPr="00231131">
        <w:rPr>
          <w:rFonts w:cs="Times New Roman"/>
          <w:b/>
          <w:sz w:val="24"/>
          <w:szCs w:val="24"/>
        </w:rPr>
        <w:t xml:space="preserve">Appendix </w:t>
      </w:r>
      <w:r>
        <w:rPr>
          <w:rFonts w:cs="Times New Roman" w:hint="eastAsia"/>
          <w:b/>
          <w:sz w:val="24"/>
          <w:szCs w:val="24"/>
        </w:rPr>
        <w:t>4</w:t>
      </w:r>
      <w:r w:rsidRPr="00F7408E">
        <w:rPr>
          <w:rFonts w:cs="Times New Roman"/>
          <w:b/>
          <w:sz w:val="24"/>
          <w:szCs w:val="24"/>
        </w:rPr>
        <w:t xml:space="preserve"> </w:t>
      </w:r>
      <w:r w:rsidRPr="00F7408E">
        <w:rPr>
          <w:rFonts w:cs="Times New Roman"/>
          <w:sz w:val="24"/>
          <w:szCs w:val="24"/>
        </w:rPr>
        <w:t xml:space="preserve">Impact of selenium on the insulin-regulated carbohydrate metabolism in skeletal muscle and liver (as modified from </w:t>
      </w:r>
      <w:r>
        <w:rPr>
          <w:rFonts w:cs="Times New Roman"/>
          <w:sz w:val="24"/>
          <w:szCs w:val="24"/>
        </w:rPr>
        <w:t>(</w:t>
      </w:r>
      <w:r w:rsidRPr="00250431">
        <w:rPr>
          <w:rFonts w:cs="Times New Roman"/>
          <w:color w:val="FF0000"/>
          <w:sz w:val="24"/>
          <w:szCs w:val="24"/>
        </w:rPr>
        <w:t>85</w:t>
      </w:r>
      <w:r>
        <w:rPr>
          <w:rFonts w:cs="Times New Roman"/>
          <w:sz w:val="24"/>
          <w:szCs w:val="24"/>
        </w:rPr>
        <w:t>)</w:t>
      </w:r>
      <w:r w:rsidRPr="00F7408E">
        <w:rPr>
          <w:rFonts w:cs="Times New Roman"/>
          <w:sz w:val="24"/>
          <w:szCs w:val="24"/>
        </w:rPr>
        <w:t>; Akt, protein kinase B; GLUT4, glucose transporter 4; IRS, insulin receptor substrate; P, phosphorylation; PDK, phosphoinositide-dependent protein kinase; PI3K, phosphoinositide 3-kinase; PIP2, phosphatidylinositol 4,5-bisphosphate; PIP3, phosphatidylinositol 3,4,5-trisphosphate)</w:t>
      </w:r>
    </w:p>
    <w:p w:rsidR="00CF5A19" w:rsidRPr="00CF5A19" w:rsidRDefault="00CF5A19"/>
    <w:sectPr w:rsidR="00CF5A19" w:rsidRPr="00CF5A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0D5" w:rsidRDefault="009030D5" w:rsidP="00CF5A19">
      <w:r>
        <w:separator/>
      </w:r>
    </w:p>
  </w:endnote>
  <w:endnote w:type="continuationSeparator" w:id="0">
    <w:p w:rsidR="009030D5" w:rsidRDefault="009030D5" w:rsidP="00CF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0D5" w:rsidRDefault="009030D5" w:rsidP="00CF5A19">
      <w:r>
        <w:separator/>
      </w:r>
    </w:p>
  </w:footnote>
  <w:footnote w:type="continuationSeparator" w:id="0">
    <w:p w:rsidR="009030D5" w:rsidRDefault="009030D5" w:rsidP="00CF5A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42B"/>
    <w:rsid w:val="00334323"/>
    <w:rsid w:val="00361F07"/>
    <w:rsid w:val="009030D5"/>
    <w:rsid w:val="0093742B"/>
    <w:rsid w:val="00C531ED"/>
    <w:rsid w:val="00C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88A34F-6C18-4D07-B79A-E870A601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5A19"/>
    <w:pPr>
      <w:widowControl w:val="0"/>
      <w:jc w:val="both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5A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F5A1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F5A1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F5A19"/>
    <w:rPr>
      <w:sz w:val="18"/>
      <w:szCs w:val="18"/>
    </w:rPr>
  </w:style>
  <w:style w:type="table" w:styleId="TableGrid">
    <w:name w:val="Table Grid"/>
    <w:basedOn w:val="TableNormal"/>
    <w:uiPriority w:val="59"/>
    <w:rsid w:val="00CF5A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Sinopec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Feng</dc:creator>
  <cp:keywords/>
  <dc:description/>
  <cp:lastModifiedBy>Juanita Goossens-Roach</cp:lastModifiedBy>
  <cp:revision>2</cp:revision>
  <dcterms:created xsi:type="dcterms:W3CDTF">2021-01-04T19:33:00Z</dcterms:created>
  <dcterms:modified xsi:type="dcterms:W3CDTF">2021-01-04T19:33:00Z</dcterms:modified>
</cp:coreProperties>
</file>