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810" w:type="dxa"/>
        <w:tblInd w:w="450" w:type="dxa"/>
        <w:tblLook w:val="04A0" w:firstRow="1" w:lastRow="0" w:firstColumn="1" w:lastColumn="0" w:noHBand="0" w:noVBand="1"/>
      </w:tblPr>
      <w:tblGrid>
        <w:gridCol w:w="3650"/>
        <w:gridCol w:w="1040"/>
        <w:gridCol w:w="1040"/>
        <w:gridCol w:w="1040"/>
        <w:gridCol w:w="1040"/>
      </w:tblGrid>
      <w:tr w:rsidR="0055428F" w:rsidRPr="0055428F" w14:paraId="1196586D" w14:textId="77777777" w:rsidTr="00F331D5">
        <w:trPr>
          <w:trHeight w:val="300"/>
        </w:trPr>
        <w:tc>
          <w:tcPr>
            <w:tcW w:w="7810" w:type="dxa"/>
            <w:gridSpan w:val="5"/>
            <w:tcBorders>
              <w:top w:val="nil"/>
              <w:left w:val="nil"/>
              <w:bottom w:val="single" w:sz="4" w:space="0" w:color="auto"/>
              <w:right w:val="nil"/>
            </w:tcBorders>
            <w:shd w:val="clear" w:color="auto" w:fill="auto"/>
            <w:noWrap/>
            <w:vAlign w:val="bottom"/>
            <w:hideMark/>
          </w:tcPr>
          <w:p w14:paraId="2005979E" w14:textId="496F004E" w:rsidR="00E64CED" w:rsidRPr="0055428F" w:rsidRDefault="00785411" w:rsidP="00F331D5">
            <w:pPr>
              <w:spacing w:after="0" w:line="240" w:lineRule="auto"/>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S</w:t>
            </w:r>
            <w:r w:rsidR="00E64CED" w:rsidRPr="0055428F">
              <w:rPr>
                <w:rFonts w:ascii="Times New Roman" w:eastAsia="Times New Roman" w:hAnsi="Times New Roman" w:cs="Times New Roman"/>
                <w:b/>
                <w:bCs/>
                <w:sz w:val="20"/>
                <w:szCs w:val="20"/>
              </w:rPr>
              <w:t>upplementary Table 1. Correlations between dietary fatty acid patterns and food categories</w:t>
            </w:r>
          </w:p>
        </w:tc>
      </w:tr>
      <w:tr w:rsidR="0055428F" w:rsidRPr="0055428F" w14:paraId="4F16C43B" w14:textId="77777777" w:rsidTr="00F331D5">
        <w:trPr>
          <w:trHeight w:val="285"/>
        </w:trPr>
        <w:tc>
          <w:tcPr>
            <w:tcW w:w="3650" w:type="dxa"/>
            <w:vMerge w:val="restart"/>
            <w:tcBorders>
              <w:top w:val="nil"/>
              <w:left w:val="nil"/>
              <w:bottom w:val="single" w:sz="4" w:space="0" w:color="000000"/>
              <w:right w:val="nil"/>
            </w:tcBorders>
            <w:shd w:val="clear" w:color="auto" w:fill="auto"/>
            <w:noWrap/>
            <w:vAlign w:val="center"/>
            <w:hideMark/>
          </w:tcPr>
          <w:p w14:paraId="4FCB00C6" w14:textId="77777777" w:rsidR="00E64CED" w:rsidRPr="0055428F" w:rsidRDefault="00E64CED" w:rsidP="00F331D5">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Food Categories</w:t>
            </w:r>
          </w:p>
        </w:tc>
        <w:tc>
          <w:tcPr>
            <w:tcW w:w="4160" w:type="dxa"/>
            <w:gridSpan w:val="4"/>
            <w:tcBorders>
              <w:top w:val="single" w:sz="4" w:space="0" w:color="auto"/>
              <w:left w:val="nil"/>
              <w:bottom w:val="single" w:sz="4" w:space="0" w:color="auto"/>
              <w:right w:val="nil"/>
            </w:tcBorders>
            <w:shd w:val="clear" w:color="auto" w:fill="auto"/>
            <w:noWrap/>
            <w:vAlign w:val="center"/>
            <w:hideMark/>
          </w:tcPr>
          <w:p w14:paraId="39E98818" w14:textId="77777777" w:rsidR="00E64CED" w:rsidRPr="0055428F" w:rsidRDefault="00E64CED" w:rsidP="00F331D5">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Dietary fatty acid patterns</w:t>
            </w:r>
          </w:p>
        </w:tc>
      </w:tr>
      <w:tr w:rsidR="0055428F" w:rsidRPr="0055428F" w14:paraId="30C5E22F" w14:textId="77777777" w:rsidTr="00F331D5">
        <w:trPr>
          <w:trHeight w:val="285"/>
        </w:trPr>
        <w:tc>
          <w:tcPr>
            <w:tcW w:w="3650" w:type="dxa"/>
            <w:vMerge/>
            <w:tcBorders>
              <w:top w:val="nil"/>
              <w:left w:val="nil"/>
              <w:bottom w:val="single" w:sz="4" w:space="0" w:color="000000"/>
              <w:right w:val="nil"/>
            </w:tcBorders>
            <w:vAlign w:val="center"/>
            <w:hideMark/>
          </w:tcPr>
          <w:p w14:paraId="3772D829" w14:textId="77777777" w:rsidR="00E64CED" w:rsidRPr="0055428F" w:rsidRDefault="00E64CED" w:rsidP="00F331D5">
            <w:pPr>
              <w:spacing w:after="0" w:line="240" w:lineRule="auto"/>
              <w:rPr>
                <w:rFonts w:ascii="Times New Roman" w:eastAsia="Times New Roman" w:hAnsi="Times New Roman" w:cs="Times New Roman"/>
                <w:b/>
                <w:bCs/>
                <w:sz w:val="20"/>
                <w:szCs w:val="20"/>
              </w:rPr>
            </w:pPr>
          </w:p>
        </w:tc>
        <w:tc>
          <w:tcPr>
            <w:tcW w:w="1040" w:type="dxa"/>
            <w:tcBorders>
              <w:top w:val="nil"/>
              <w:left w:val="nil"/>
              <w:bottom w:val="single" w:sz="4" w:space="0" w:color="auto"/>
              <w:right w:val="nil"/>
            </w:tcBorders>
            <w:shd w:val="clear" w:color="auto" w:fill="auto"/>
            <w:hideMark/>
          </w:tcPr>
          <w:p w14:paraId="4BDB76BC" w14:textId="77777777" w:rsidR="00E64CED" w:rsidRPr="0055428F" w:rsidRDefault="00E64CED" w:rsidP="00F331D5">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Factor 1</w:t>
            </w:r>
          </w:p>
        </w:tc>
        <w:tc>
          <w:tcPr>
            <w:tcW w:w="1040" w:type="dxa"/>
            <w:tcBorders>
              <w:top w:val="nil"/>
              <w:left w:val="nil"/>
              <w:bottom w:val="single" w:sz="4" w:space="0" w:color="auto"/>
              <w:right w:val="nil"/>
            </w:tcBorders>
            <w:shd w:val="clear" w:color="auto" w:fill="auto"/>
            <w:hideMark/>
          </w:tcPr>
          <w:p w14:paraId="3D66DBF8" w14:textId="77777777" w:rsidR="00E64CED" w:rsidRPr="0055428F" w:rsidRDefault="00E64CED" w:rsidP="00F331D5">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Factor 2</w:t>
            </w:r>
          </w:p>
        </w:tc>
        <w:tc>
          <w:tcPr>
            <w:tcW w:w="1040" w:type="dxa"/>
            <w:tcBorders>
              <w:top w:val="nil"/>
              <w:left w:val="nil"/>
              <w:bottom w:val="single" w:sz="4" w:space="0" w:color="auto"/>
              <w:right w:val="nil"/>
            </w:tcBorders>
            <w:shd w:val="clear" w:color="auto" w:fill="auto"/>
            <w:hideMark/>
          </w:tcPr>
          <w:p w14:paraId="2E11927C" w14:textId="77777777" w:rsidR="00E64CED" w:rsidRPr="0055428F" w:rsidRDefault="00E64CED" w:rsidP="00F331D5">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Factor 3</w:t>
            </w:r>
          </w:p>
        </w:tc>
        <w:tc>
          <w:tcPr>
            <w:tcW w:w="1040" w:type="dxa"/>
            <w:tcBorders>
              <w:top w:val="nil"/>
              <w:left w:val="nil"/>
              <w:bottom w:val="single" w:sz="4" w:space="0" w:color="auto"/>
              <w:right w:val="nil"/>
            </w:tcBorders>
            <w:shd w:val="clear" w:color="auto" w:fill="auto"/>
            <w:hideMark/>
          </w:tcPr>
          <w:p w14:paraId="732D6D45" w14:textId="77777777" w:rsidR="00E64CED" w:rsidRPr="0055428F" w:rsidRDefault="00E64CED" w:rsidP="00F331D5">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Factor 4</w:t>
            </w:r>
          </w:p>
        </w:tc>
      </w:tr>
      <w:tr w:rsidR="0055428F" w:rsidRPr="0055428F" w14:paraId="7761B4D9" w14:textId="77777777" w:rsidTr="00F331D5">
        <w:trPr>
          <w:trHeight w:val="20"/>
        </w:trPr>
        <w:tc>
          <w:tcPr>
            <w:tcW w:w="3650" w:type="dxa"/>
            <w:tcBorders>
              <w:top w:val="nil"/>
              <w:left w:val="nil"/>
              <w:bottom w:val="nil"/>
              <w:right w:val="nil"/>
            </w:tcBorders>
            <w:shd w:val="clear" w:color="auto" w:fill="auto"/>
            <w:hideMark/>
          </w:tcPr>
          <w:p w14:paraId="3282F121" w14:textId="77777777" w:rsidR="003B6529" w:rsidRPr="0055428F" w:rsidRDefault="003B6529" w:rsidP="003B6529">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Meat, Poultry, &amp; Seafood</w:t>
            </w:r>
          </w:p>
        </w:tc>
        <w:tc>
          <w:tcPr>
            <w:tcW w:w="1040" w:type="dxa"/>
            <w:tcBorders>
              <w:top w:val="nil"/>
              <w:left w:val="nil"/>
              <w:bottom w:val="nil"/>
              <w:right w:val="nil"/>
            </w:tcBorders>
            <w:shd w:val="clear" w:color="auto" w:fill="auto"/>
            <w:hideMark/>
          </w:tcPr>
          <w:p w14:paraId="64694079" w14:textId="77777777" w:rsidR="003B6529" w:rsidRPr="0055428F" w:rsidRDefault="003B6529" w:rsidP="003B6529">
            <w:pPr>
              <w:spacing w:after="0" w:line="240" w:lineRule="auto"/>
              <w:jc w:val="center"/>
              <w:rPr>
                <w:rFonts w:ascii="Times New Roman" w:eastAsia="Times New Roman" w:hAnsi="Times New Roman" w:cs="Times New Roman"/>
                <w:sz w:val="18"/>
                <w:szCs w:val="18"/>
              </w:rPr>
            </w:pPr>
          </w:p>
        </w:tc>
        <w:tc>
          <w:tcPr>
            <w:tcW w:w="1040" w:type="dxa"/>
            <w:tcBorders>
              <w:top w:val="nil"/>
              <w:left w:val="nil"/>
              <w:bottom w:val="nil"/>
              <w:right w:val="nil"/>
            </w:tcBorders>
            <w:shd w:val="clear" w:color="auto" w:fill="auto"/>
            <w:hideMark/>
          </w:tcPr>
          <w:p w14:paraId="34DB58B8" w14:textId="77777777" w:rsidR="003B6529" w:rsidRPr="0055428F" w:rsidRDefault="003B6529" w:rsidP="003B6529">
            <w:pPr>
              <w:spacing w:after="0" w:line="240" w:lineRule="auto"/>
              <w:jc w:val="center"/>
              <w:rPr>
                <w:rFonts w:ascii="Times New Roman" w:eastAsia="Times New Roman" w:hAnsi="Times New Roman" w:cs="Times New Roman"/>
                <w:sz w:val="18"/>
                <w:szCs w:val="18"/>
              </w:rPr>
            </w:pPr>
          </w:p>
        </w:tc>
        <w:tc>
          <w:tcPr>
            <w:tcW w:w="1040" w:type="dxa"/>
            <w:tcBorders>
              <w:top w:val="nil"/>
              <w:left w:val="nil"/>
              <w:bottom w:val="nil"/>
              <w:right w:val="nil"/>
            </w:tcBorders>
            <w:shd w:val="clear" w:color="auto" w:fill="auto"/>
            <w:hideMark/>
          </w:tcPr>
          <w:p w14:paraId="5DE760DC" w14:textId="77777777" w:rsidR="003B6529" w:rsidRPr="0055428F" w:rsidRDefault="003B6529" w:rsidP="003B6529">
            <w:pPr>
              <w:spacing w:after="0" w:line="240" w:lineRule="auto"/>
              <w:jc w:val="center"/>
              <w:rPr>
                <w:rFonts w:ascii="Times New Roman" w:eastAsia="Times New Roman" w:hAnsi="Times New Roman" w:cs="Times New Roman"/>
                <w:sz w:val="18"/>
                <w:szCs w:val="18"/>
              </w:rPr>
            </w:pPr>
          </w:p>
        </w:tc>
        <w:tc>
          <w:tcPr>
            <w:tcW w:w="1040" w:type="dxa"/>
            <w:tcBorders>
              <w:top w:val="nil"/>
              <w:left w:val="nil"/>
              <w:bottom w:val="nil"/>
              <w:right w:val="nil"/>
            </w:tcBorders>
            <w:shd w:val="clear" w:color="auto" w:fill="auto"/>
            <w:hideMark/>
          </w:tcPr>
          <w:p w14:paraId="107BC5D8" w14:textId="77777777" w:rsidR="003B6529" w:rsidRPr="0055428F" w:rsidRDefault="003B6529" w:rsidP="003B6529">
            <w:pPr>
              <w:spacing w:after="0" w:line="240" w:lineRule="auto"/>
              <w:jc w:val="center"/>
              <w:rPr>
                <w:rFonts w:ascii="Times New Roman" w:eastAsia="Times New Roman" w:hAnsi="Times New Roman" w:cs="Times New Roman"/>
                <w:sz w:val="18"/>
                <w:szCs w:val="18"/>
              </w:rPr>
            </w:pPr>
          </w:p>
        </w:tc>
      </w:tr>
      <w:tr w:rsidR="0055428F" w:rsidRPr="0055428F" w14:paraId="1AC71E5E" w14:textId="77777777" w:rsidTr="00F331D5">
        <w:trPr>
          <w:trHeight w:val="20"/>
        </w:trPr>
        <w:tc>
          <w:tcPr>
            <w:tcW w:w="3650" w:type="dxa"/>
            <w:tcBorders>
              <w:top w:val="nil"/>
              <w:left w:val="nil"/>
              <w:bottom w:val="nil"/>
              <w:right w:val="nil"/>
            </w:tcBorders>
            <w:shd w:val="clear" w:color="auto" w:fill="auto"/>
            <w:hideMark/>
          </w:tcPr>
          <w:p w14:paraId="7A63F0AC"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Red, processed, organ meat</w:t>
            </w:r>
          </w:p>
        </w:tc>
        <w:tc>
          <w:tcPr>
            <w:tcW w:w="1040" w:type="dxa"/>
            <w:tcBorders>
              <w:top w:val="nil"/>
              <w:left w:val="nil"/>
              <w:bottom w:val="nil"/>
              <w:right w:val="nil"/>
            </w:tcBorders>
            <w:shd w:val="clear" w:color="auto" w:fill="auto"/>
            <w:hideMark/>
          </w:tcPr>
          <w:p w14:paraId="671502D3"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0.27**</w:t>
            </w:r>
          </w:p>
        </w:tc>
        <w:tc>
          <w:tcPr>
            <w:tcW w:w="1040" w:type="dxa"/>
            <w:tcBorders>
              <w:top w:val="nil"/>
              <w:left w:val="nil"/>
              <w:bottom w:val="nil"/>
              <w:right w:val="nil"/>
            </w:tcBorders>
            <w:shd w:val="clear" w:color="auto" w:fill="auto"/>
            <w:noWrap/>
            <w:hideMark/>
          </w:tcPr>
          <w:p w14:paraId="2C1A3ABC"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-0.11**</w:t>
            </w:r>
          </w:p>
        </w:tc>
        <w:tc>
          <w:tcPr>
            <w:tcW w:w="1040" w:type="dxa"/>
            <w:tcBorders>
              <w:top w:val="nil"/>
              <w:left w:val="nil"/>
              <w:bottom w:val="nil"/>
              <w:right w:val="nil"/>
            </w:tcBorders>
            <w:shd w:val="clear" w:color="auto" w:fill="auto"/>
            <w:noWrap/>
            <w:hideMark/>
          </w:tcPr>
          <w:p w14:paraId="054C0F39"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-0.09**</w:t>
            </w:r>
          </w:p>
        </w:tc>
        <w:tc>
          <w:tcPr>
            <w:tcW w:w="1040" w:type="dxa"/>
            <w:tcBorders>
              <w:top w:val="nil"/>
              <w:left w:val="nil"/>
              <w:bottom w:val="nil"/>
              <w:right w:val="nil"/>
            </w:tcBorders>
            <w:shd w:val="clear" w:color="auto" w:fill="auto"/>
            <w:noWrap/>
            <w:hideMark/>
          </w:tcPr>
          <w:p w14:paraId="51F0B7C7"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-0.11**</w:t>
            </w:r>
          </w:p>
        </w:tc>
      </w:tr>
      <w:tr w:rsidR="0055428F" w:rsidRPr="0055428F" w14:paraId="453FA87F" w14:textId="77777777" w:rsidTr="00F331D5">
        <w:trPr>
          <w:trHeight w:val="20"/>
        </w:trPr>
        <w:tc>
          <w:tcPr>
            <w:tcW w:w="3650" w:type="dxa"/>
            <w:tcBorders>
              <w:top w:val="nil"/>
              <w:left w:val="nil"/>
              <w:bottom w:val="nil"/>
              <w:right w:val="nil"/>
            </w:tcBorders>
            <w:shd w:val="clear" w:color="auto" w:fill="auto"/>
            <w:hideMark/>
          </w:tcPr>
          <w:p w14:paraId="63E4C427"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Poultry</w:t>
            </w:r>
          </w:p>
        </w:tc>
        <w:tc>
          <w:tcPr>
            <w:tcW w:w="1040" w:type="dxa"/>
            <w:tcBorders>
              <w:top w:val="nil"/>
              <w:left w:val="nil"/>
              <w:bottom w:val="nil"/>
              <w:right w:val="nil"/>
            </w:tcBorders>
            <w:shd w:val="clear" w:color="auto" w:fill="auto"/>
            <w:noWrap/>
            <w:hideMark/>
          </w:tcPr>
          <w:p w14:paraId="5A45FB5C"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-0.04*</w:t>
            </w:r>
          </w:p>
        </w:tc>
        <w:tc>
          <w:tcPr>
            <w:tcW w:w="1040" w:type="dxa"/>
            <w:tcBorders>
              <w:top w:val="nil"/>
              <w:left w:val="nil"/>
              <w:bottom w:val="nil"/>
              <w:right w:val="nil"/>
            </w:tcBorders>
            <w:shd w:val="clear" w:color="auto" w:fill="auto"/>
            <w:noWrap/>
            <w:hideMark/>
          </w:tcPr>
          <w:p w14:paraId="49C8E78A"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-0.09**</w:t>
            </w:r>
          </w:p>
        </w:tc>
        <w:tc>
          <w:tcPr>
            <w:tcW w:w="1040" w:type="dxa"/>
            <w:tcBorders>
              <w:top w:val="nil"/>
              <w:left w:val="nil"/>
              <w:bottom w:val="nil"/>
              <w:right w:val="nil"/>
            </w:tcBorders>
            <w:shd w:val="clear" w:color="auto" w:fill="auto"/>
            <w:hideMark/>
          </w:tcPr>
          <w:p w14:paraId="3B678149"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0.29**</w:t>
            </w:r>
          </w:p>
        </w:tc>
        <w:tc>
          <w:tcPr>
            <w:tcW w:w="1040" w:type="dxa"/>
            <w:tcBorders>
              <w:top w:val="nil"/>
              <w:left w:val="nil"/>
              <w:bottom w:val="nil"/>
              <w:right w:val="nil"/>
            </w:tcBorders>
            <w:shd w:val="clear" w:color="auto" w:fill="auto"/>
            <w:noWrap/>
            <w:hideMark/>
          </w:tcPr>
          <w:p w14:paraId="0CD7936E"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-0.09**</w:t>
            </w:r>
          </w:p>
        </w:tc>
      </w:tr>
      <w:tr w:rsidR="0055428F" w:rsidRPr="0055428F" w14:paraId="5FFC9E68" w14:textId="77777777" w:rsidTr="00F331D5">
        <w:trPr>
          <w:trHeight w:val="20"/>
        </w:trPr>
        <w:tc>
          <w:tcPr>
            <w:tcW w:w="3650" w:type="dxa"/>
            <w:tcBorders>
              <w:top w:val="nil"/>
              <w:left w:val="nil"/>
              <w:bottom w:val="nil"/>
              <w:right w:val="nil"/>
            </w:tcBorders>
            <w:shd w:val="clear" w:color="auto" w:fill="auto"/>
            <w:hideMark/>
          </w:tcPr>
          <w:p w14:paraId="362FD931"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Seafood</w:t>
            </w:r>
          </w:p>
        </w:tc>
        <w:tc>
          <w:tcPr>
            <w:tcW w:w="1040" w:type="dxa"/>
            <w:tcBorders>
              <w:top w:val="nil"/>
              <w:left w:val="nil"/>
              <w:bottom w:val="nil"/>
              <w:right w:val="nil"/>
            </w:tcBorders>
            <w:shd w:val="clear" w:color="auto" w:fill="auto"/>
            <w:noWrap/>
            <w:hideMark/>
          </w:tcPr>
          <w:p w14:paraId="64AC0A76"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-0.12**</w:t>
            </w:r>
          </w:p>
        </w:tc>
        <w:tc>
          <w:tcPr>
            <w:tcW w:w="1040" w:type="dxa"/>
            <w:tcBorders>
              <w:top w:val="nil"/>
              <w:left w:val="nil"/>
              <w:bottom w:val="nil"/>
              <w:right w:val="nil"/>
            </w:tcBorders>
            <w:shd w:val="clear" w:color="auto" w:fill="auto"/>
            <w:noWrap/>
            <w:hideMark/>
          </w:tcPr>
          <w:p w14:paraId="371A2CA8"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w:t>
            </w:r>
          </w:p>
        </w:tc>
        <w:tc>
          <w:tcPr>
            <w:tcW w:w="1040" w:type="dxa"/>
            <w:tcBorders>
              <w:top w:val="nil"/>
              <w:left w:val="nil"/>
              <w:bottom w:val="nil"/>
              <w:right w:val="nil"/>
            </w:tcBorders>
            <w:shd w:val="clear" w:color="auto" w:fill="auto"/>
            <w:hideMark/>
          </w:tcPr>
          <w:p w14:paraId="022FF011"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0.45**</w:t>
            </w:r>
          </w:p>
        </w:tc>
        <w:tc>
          <w:tcPr>
            <w:tcW w:w="1040" w:type="dxa"/>
            <w:tcBorders>
              <w:top w:val="nil"/>
              <w:left w:val="nil"/>
              <w:bottom w:val="nil"/>
              <w:right w:val="nil"/>
            </w:tcBorders>
            <w:shd w:val="clear" w:color="auto" w:fill="auto"/>
            <w:hideMark/>
          </w:tcPr>
          <w:p w14:paraId="04197726"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w:t>
            </w:r>
          </w:p>
        </w:tc>
      </w:tr>
      <w:tr w:rsidR="0055428F" w:rsidRPr="0055428F" w14:paraId="66C92887" w14:textId="77777777" w:rsidTr="00F331D5">
        <w:trPr>
          <w:trHeight w:val="20"/>
        </w:trPr>
        <w:tc>
          <w:tcPr>
            <w:tcW w:w="3650" w:type="dxa"/>
            <w:tcBorders>
              <w:top w:val="nil"/>
              <w:left w:val="nil"/>
              <w:bottom w:val="nil"/>
              <w:right w:val="nil"/>
            </w:tcBorders>
            <w:shd w:val="clear" w:color="auto" w:fill="auto"/>
            <w:hideMark/>
          </w:tcPr>
          <w:p w14:paraId="7955F60D"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Meat, poultry, fish recipes</w:t>
            </w:r>
          </w:p>
        </w:tc>
        <w:tc>
          <w:tcPr>
            <w:tcW w:w="1040" w:type="dxa"/>
            <w:tcBorders>
              <w:top w:val="nil"/>
              <w:left w:val="nil"/>
              <w:bottom w:val="nil"/>
              <w:right w:val="nil"/>
            </w:tcBorders>
            <w:shd w:val="clear" w:color="auto" w:fill="auto"/>
            <w:hideMark/>
          </w:tcPr>
          <w:p w14:paraId="71CD526C"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0.11**</w:t>
            </w:r>
          </w:p>
        </w:tc>
        <w:tc>
          <w:tcPr>
            <w:tcW w:w="1040" w:type="dxa"/>
            <w:tcBorders>
              <w:top w:val="nil"/>
              <w:left w:val="nil"/>
              <w:bottom w:val="nil"/>
              <w:right w:val="nil"/>
            </w:tcBorders>
            <w:shd w:val="clear" w:color="auto" w:fill="auto"/>
            <w:noWrap/>
            <w:hideMark/>
          </w:tcPr>
          <w:p w14:paraId="6CDFE341"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-0.11**</w:t>
            </w:r>
          </w:p>
        </w:tc>
        <w:tc>
          <w:tcPr>
            <w:tcW w:w="1040" w:type="dxa"/>
            <w:tcBorders>
              <w:top w:val="nil"/>
              <w:left w:val="nil"/>
              <w:bottom w:val="nil"/>
              <w:right w:val="nil"/>
            </w:tcBorders>
            <w:shd w:val="clear" w:color="auto" w:fill="auto"/>
            <w:noWrap/>
            <w:hideMark/>
          </w:tcPr>
          <w:p w14:paraId="641E35B6"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w:t>
            </w:r>
          </w:p>
        </w:tc>
        <w:tc>
          <w:tcPr>
            <w:tcW w:w="1040" w:type="dxa"/>
            <w:tcBorders>
              <w:top w:val="nil"/>
              <w:left w:val="nil"/>
              <w:bottom w:val="nil"/>
              <w:right w:val="nil"/>
            </w:tcBorders>
            <w:shd w:val="clear" w:color="auto" w:fill="auto"/>
            <w:hideMark/>
          </w:tcPr>
          <w:p w14:paraId="75FF861E"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w:t>
            </w:r>
          </w:p>
        </w:tc>
      </w:tr>
      <w:tr w:rsidR="0055428F" w:rsidRPr="0055428F" w14:paraId="7BC395EF" w14:textId="77777777" w:rsidTr="00F331D5">
        <w:trPr>
          <w:trHeight w:val="20"/>
        </w:trPr>
        <w:tc>
          <w:tcPr>
            <w:tcW w:w="3650" w:type="dxa"/>
            <w:tcBorders>
              <w:top w:val="nil"/>
              <w:left w:val="nil"/>
              <w:bottom w:val="nil"/>
              <w:right w:val="nil"/>
            </w:tcBorders>
            <w:shd w:val="clear" w:color="auto" w:fill="auto"/>
            <w:hideMark/>
          </w:tcPr>
          <w:p w14:paraId="4E24B828" w14:textId="77777777" w:rsidR="003B6529" w:rsidRPr="0055428F" w:rsidRDefault="003B6529" w:rsidP="003B6529">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Dairy &amp; Eggs</w:t>
            </w:r>
          </w:p>
        </w:tc>
        <w:tc>
          <w:tcPr>
            <w:tcW w:w="1040" w:type="dxa"/>
            <w:tcBorders>
              <w:top w:val="nil"/>
              <w:left w:val="nil"/>
              <w:bottom w:val="nil"/>
              <w:right w:val="nil"/>
            </w:tcBorders>
            <w:shd w:val="clear" w:color="auto" w:fill="auto"/>
            <w:hideMark/>
          </w:tcPr>
          <w:p w14:paraId="71B9ACB2"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hideMark/>
          </w:tcPr>
          <w:p w14:paraId="7B232484"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hideMark/>
          </w:tcPr>
          <w:p w14:paraId="0E3CE5E6"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hideMark/>
          </w:tcPr>
          <w:p w14:paraId="514C6B77"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r>
      <w:tr w:rsidR="0055428F" w:rsidRPr="0055428F" w14:paraId="2B650386" w14:textId="77777777" w:rsidTr="00F331D5">
        <w:trPr>
          <w:trHeight w:val="20"/>
        </w:trPr>
        <w:tc>
          <w:tcPr>
            <w:tcW w:w="3650" w:type="dxa"/>
            <w:tcBorders>
              <w:top w:val="nil"/>
              <w:left w:val="nil"/>
              <w:bottom w:val="nil"/>
              <w:right w:val="nil"/>
            </w:tcBorders>
            <w:shd w:val="clear" w:color="auto" w:fill="auto"/>
            <w:hideMark/>
          </w:tcPr>
          <w:p w14:paraId="195BECA2"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Milk, cheese, &amp; related products</w:t>
            </w:r>
          </w:p>
        </w:tc>
        <w:tc>
          <w:tcPr>
            <w:tcW w:w="1040" w:type="dxa"/>
            <w:tcBorders>
              <w:top w:val="nil"/>
              <w:left w:val="nil"/>
              <w:bottom w:val="nil"/>
              <w:right w:val="nil"/>
            </w:tcBorders>
            <w:shd w:val="clear" w:color="auto" w:fill="auto"/>
            <w:noWrap/>
            <w:hideMark/>
          </w:tcPr>
          <w:p w14:paraId="7691D199"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w:t>
            </w:r>
          </w:p>
        </w:tc>
        <w:tc>
          <w:tcPr>
            <w:tcW w:w="1040" w:type="dxa"/>
            <w:tcBorders>
              <w:top w:val="nil"/>
              <w:left w:val="nil"/>
              <w:bottom w:val="nil"/>
              <w:right w:val="nil"/>
            </w:tcBorders>
            <w:shd w:val="clear" w:color="auto" w:fill="auto"/>
            <w:hideMark/>
          </w:tcPr>
          <w:p w14:paraId="5322D71D"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0.39**</w:t>
            </w:r>
          </w:p>
        </w:tc>
        <w:tc>
          <w:tcPr>
            <w:tcW w:w="1040" w:type="dxa"/>
            <w:tcBorders>
              <w:top w:val="nil"/>
              <w:left w:val="nil"/>
              <w:bottom w:val="nil"/>
              <w:right w:val="nil"/>
            </w:tcBorders>
            <w:shd w:val="clear" w:color="auto" w:fill="auto"/>
            <w:noWrap/>
            <w:hideMark/>
          </w:tcPr>
          <w:p w14:paraId="7AA3492D"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-0.06**</w:t>
            </w:r>
          </w:p>
        </w:tc>
        <w:tc>
          <w:tcPr>
            <w:tcW w:w="1040" w:type="dxa"/>
            <w:tcBorders>
              <w:top w:val="nil"/>
              <w:left w:val="nil"/>
              <w:bottom w:val="nil"/>
              <w:right w:val="nil"/>
            </w:tcBorders>
            <w:shd w:val="clear" w:color="auto" w:fill="auto"/>
            <w:noWrap/>
            <w:hideMark/>
          </w:tcPr>
          <w:p w14:paraId="653B34CA"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w:t>
            </w:r>
            <w:r w:rsidR="001140F0" w:rsidRPr="0055428F">
              <w:rPr>
                <w:rFonts w:ascii="Times New Roman" w:hAnsi="Times New Roman" w:cs="Times New Roman"/>
                <w:sz w:val="20"/>
                <w:szCs w:val="20"/>
              </w:rPr>
              <w:t>0</w:t>
            </w:r>
            <w:r w:rsidRPr="0055428F">
              <w:rPr>
                <w:rFonts w:ascii="Times New Roman" w:hAnsi="Times New Roman" w:cs="Times New Roman"/>
                <w:sz w:val="20"/>
                <w:szCs w:val="20"/>
              </w:rPr>
              <w:t>**</w:t>
            </w:r>
          </w:p>
        </w:tc>
      </w:tr>
      <w:tr w:rsidR="0055428F" w:rsidRPr="0055428F" w14:paraId="0041894E" w14:textId="77777777" w:rsidTr="00F331D5">
        <w:trPr>
          <w:trHeight w:val="20"/>
        </w:trPr>
        <w:tc>
          <w:tcPr>
            <w:tcW w:w="3650" w:type="dxa"/>
            <w:tcBorders>
              <w:top w:val="nil"/>
              <w:left w:val="nil"/>
              <w:bottom w:val="nil"/>
              <w:right w:val="nil"/>
            </w:tcBorders>
            <w:shd w:val="clear" w:color="auto" w:fill="auto"/>
            <w:hideMark/>
          </w:tcPr>
          <w:p w14:paraId="5D44F2DC"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Milk &amp; cheese recipes</w:t>
            </w:r>
          </w:p>
        </w:tc>
        <w:tc>
          <w:tcPr>
            <w:tcW w:w="1040" w:type="dxa"/>
            <w:tcBorders>
              <w:top w:val="nil"/>
              <w:left w:val="nil"/>
              <w:bottom w:val="nil"/>
              <w:right w:val="nil"/>
            </w:tcBorders>
            <w:shd w:val="clear" w:color="auto" w:fill="auto"/>
            <w:hideMark/>
          </w:tcPr>
          <w:p w14:paraId="3925D131"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w:t>
            </w:r>
          </w:p>
        </w:tc>
        <w:tc>
          <w:tcPr>
            <w:tcW w:w="1040" w:type="dxa"/>
            <w:tcBorders>
              <w:top w:val="nil"/>
              <w:left w:val="nil"/>
              <w:bottom w:val="nil"/>
              <w:right w:val="nil"/>
            </w:tcBorders>
            <w:shd w:val="clear" w:color="auto" w:fill="auto"/>
            <w:hideMark/>
          </w:tcPr>
          <w:p w14:paraId="7AD71485"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w:t>
            </w:r>
          </w:p>
        </w:tc>
        <w:tc>
          <w:tcPr>
            <w:tcW w:w="1040" w:type="dxa"/>
            <w:tcBorders>
              <w:top w:val="nil"/>
              <w:left w:val="nil"/>
              <w:bottom w:val="nil"/>
              <w:right w:val="nil"/>
            </w:tcBorders>
            <w:shd w:val="clear" w:color="auto" w:fill="auto"/>
            <w:hideMark/>
          </w:tcPr>
          <w:p w14:paraId="283B3CB6"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w:t>
            </w:r>
          </w:p>
        </w:tc>
        <w:tc>
          <w:tcPr>
            <w:tcW w:w="1040" w:type="dxa"/>
            <w:tcBorders>
              <w:top w:val="nil"/>
              <w:left w:val="nil"/>
              <w:bottom w:val="nil"/>
              <w:right w:val="nil"/>
            </w:tcBorders>
            <w:shd w:val="clear" w:color="auto" w:fill="auto"/>
            <w:noWrap/>
            <w:hideMark/>
          </w:tcPr>
          <w:p w14:paraId="0394D87B"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w:t>
            </w:r>
          </w:p>
        </w:tc>
      </w:tr>
      <w:tr w:rsidR="0055428F" w:rsidRPr="0055428F" w14:paraId="0EC8AA6E" w14:textId="77777777" w:rsidTr="00F331D5">
        <w:trPr>
          <w:trHeight w:val="20"/>
        </w:trPr>
        <w:tc>
          <w:tcPr>
            <w:tcW w:w="3650" w:type="dxa"/>
            <w:tcBorders>
              <w:top w:val="nil"/>
              <w:left w:val="nil"/>
              <w:bottom w:val="nil"/>
              <w:right w:val="nil"/>
            </w:tcBorders>
            <w:shd w:val="clear" w:color="auto" w:fill="auto"/>
            <w:hideMark/>
          </w:tcPr>
          <w:p w14:paraId="6D3D25AA"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Eggs &amp; recipes</w:t>
            </w:r>
          </w:p>
        </w:tc>
        <w:tc>
          <w:tcPr>
            <w:tcW w:w="1040" w:type="dxa"/>
            <w:tcBorders>
              <w:top w:val="nil"/>
              <w:left w:val="nil"/>
              <w:bottom w:val="nil"/>
              <w:right w:val="nil"/>
            </w:tcBorders>
            <w:shd w:val="clear" w:color="auto" w:fill="auto"/>
            <w:hideMark/>
          </w:tcPr>
          <w:p w14:paraId="5DDACAAA"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0.13**</w:t>
            </w:r>
          </w:p>
        </w:tc>
        <w:tc>
          <w:tcPr>
            <w:tcW w:w="1040" w:type="dxa"/>
            <w:tcBorders>
              <w:top w:val="nil"/>
              <w:left w:val="nil"/>
              <w:bottom w:val="nil"/>
              <w:right w:val="nil"/>
            </w:tcBorders>
            <w:shd w:val="clear" w:color="auto" w:fill="auto"/>
            <w:noWrap/>
            <w:hideMark/>
          </w:tcPr>
          <w:p w14:paraId="2D9DD72B"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-0.04**</w:t>
            </w:r>
          </w:p>
        </w:tc>
        <w:tc>
          <w:tcPr>
            <w:tcW w:w="1040" w:type="dxa"/>
            <w:tcBorders>
              <w:top w:val="nil"/>
              <w:left w:val="nil"/>
              <w:bottom w:val="nil"/>
              <w:right w:val="nil"/>
            </w:tcBorders>
            <w:shd w:val="clear" w:color="auto" w:fill="auto"/>
            <w:hideMark/>
          </w:tcPr>
          <w:p w14:paraId="1B544652"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0.12**</w:t>
            </w:r>
          </w:p>
        </w:tc>
        <w:tc>
          <w:tcPr>
            <w:tcW w:w="1040" w:type="dxa"/>
            <w:tcBorders>
              <w:top w:val="nil"/>
              <w:left w:val="nil"/>
              <w:bottom w:val="nil"/>
              <w:right w:val="nil"/>
            </w:tcBorders>
            <w:shd w:val="clear" w:color="auto" w:fill="auto"/>
            <w:hideMark/>
          </w:tcPr>
          <w:p w14:paraId="0B1A6606"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w:t>
            </w:r>
          </w:p>
        </w:tc>
      </w:tr>
      <w:tr w:rsidR="0055428F" w:rsidRPr="0055428F" w14:paraId="69EBAD70" w14:textId="77777777" w:rsidTr="00F331D5">
        <w:trPr>
          <w:trHeight w:val="20"/>
        </w:trPr>
        <w:tc>
          <w:tcPr>
            <w:tcW w:w="3650" w:type="dxa"/>
            <w:tcBorders>
              <w:top w:val="nil"/>
              <w:left w:val="nil"/>
              <w:bottom w:val="nil"/>
              <w:right w:val="nil"/>
            </w:tcBorders>
            <w:shd w:val="clear" w:color="auto" w:fill="auto"/>
            <w:hideMark/>
          </w:tcPr>
          <w:p w14:paraId="433F04EB" w14:textId="77777777" w:rsidR="003B6529" w:rsidRPr="0055428F" w:rsidRDefault="003B6529" w:rsidP="003B6529">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Fats &amp; Oils</w:t>
            </w:r>
          </w:p>
        </w:tc>
        <w:tc>
          <w:tcPr>
            <w:tcW w:w="1040" w:type="dxa"/>
            <w:tcBorders>
              <w:top w:val="nil"/>
              <w:left w:val="nil"/>
              <w:bottom w:val="nil"/>
              <w:right w:val="nil"/>
            </w:tcBorders>
            <w:shd w:val="clear" w:color="auto" w:fill="auto"/>
            <w:hideMark/>
          </w:tcPr>
          <w:p w14:paraId="63AC85BC"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hideMark/>
          </w:tcPr>
          <w:p w14:paraId="6C935962"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hideMark/>
          </w:tcPr>
          <w:p w14:paraId="6BD8E781"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hideMark/>
          </w:tcPr>
          <w:p w14:paraId="7B363712"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r>
      <w:tr w:rsidR="0055428F" w:rsidRPr="0055428F" w14:paraId="08CAA218" w14:textId="77777777" w:rsidTr="00F331D5">
        <w:trPr>
          <w:trHeight w:val="20"/>
        </w:trPr>
        <w:tc>
          <w:tcPr>
            <w:tcW w:w="3650" w:type="dxa"/>
            <w:tcBorders>
              <w:top w:val="nil"/>
              <w:left w:val="nil"/>
              <w:bottom w:val="nil"/>
              <w:right w:val="nil"/>
            </w:tcBorders>
            <w:shd w:val="clear" w:color="auto" w:fill="auto"/>
            <w:hideMark/>
          </w:tcPr>
          <w:p w14:paraId="1169A44A"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Animal fat</w:t>
            </w:r>
          </w:p>
        </w:tc>
        <w:tc>
          <w:tcPr>
            <w:tcW w:w="1040" w:type="dxa"/>
            <w:tcBorders>
              <w:top w:val="nil"/>
              <w:left w:val="nil"/>
              <w:bottom w:val="nil"/>
              <w:right w:val="nil"/>
            </w:tcBorders>
            <w:shd w:val="clear" w:color="auto" w:fill="auto"/>
            <w:hideMark/>
          </w:tcPr>
          <w:p w14:paraId="1CD0755D"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w:t>
            </w:r>
          </w:p>
        </w:tc>
        <w:tc>
          <w:tcPr>
            <w:tcW w:w="1040" w:type="dxa"/>
            <w:tcBorders>
              <w:top w:val="nil"/>
              <w:left w:val="nil"/>
              <w:bottom w:val="nil"/>
              <w:right w:val="nil"/>
            </w:tcBorders>
            <w:shd w:val="clear" w:color="auto" w:fill="auto"/>
            <w:hideMark/>
          </w:tcPr>
          <w:p w14:paraId="04333965"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0.18**</w:t>
            </w:r>
          </w:p>
        </w:tc>
        <w:tc>
          <w:tcPr>
            <w:tcW w:w="1040" w:type="dxa"/>
            <w:tcBorders>
              <w:top w:val="nil"/>
              <w:left w:val="nil"/>
              <w:bottom w:val="nil"/>
              <w:right w:val="nil"/>
            </w:tcBorders>
            <w:shd w:val="clear" w:color="auto" w:fill="auto"/>
            <w:hideMark/>
          </w:tcPr>
          <w:p w14:paraId="3C2D8B8B"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w:t>
            </w:r>
          </w:p>
        </w:tc>
        <w:tc>
          <w:tcPr>
            <w:tcW w:w="1040" w:type="dxa"/>
            <w:tcBorders>
              <w:top w:val="nil"/>
              <w:left w:val="nil"/>
              <w:bottom w:val="nil"/>
              <w:right w:val="nil"/>
            </w:tcBorders>
            <w:shd w:val="clear" w:color="auto" w:fill="auto"/>
            <w:noWrap/>
            <w:hideMark/>
          </w:tcPr>
          <w:p w14:paraId="3A4F21A6"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w:t>
            </w:r>
          </w:p>
        </w:tc>
      </w:tr>
      <w:tr w:rsidR="0055428F" w:rsidRPr="0055428F" w14:paraId="44E4CF33" w14:textId="77777777" w:rsidTr="00F331D5">
        <w:trPr>
          <w:trHeight w:val="20"/>
        </w:trPr>
        <w:tc>
          <w:tcPr>
            <w:tcW w:w="3650" w:type="dxa"/>
            <w:tcBorders>
              <w:top w:val="nil"/>
              <w:left w:val="nil"/>
              <w:bottom w:val="nil"/>
              <w:right w:val="nil"/>
            </w:tcBorders>
            <w:shd w:val="clear" w:color="auto" w:fill="auto"/>
            <w:hideMark/>
          </w:tcPr>
          <w:p w14:paraId="60B91C74"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Margarine &amp; shortening</w:t>
            </w:r>
          </w:p>
        </w:tc>
        <w:tc>
          <w:tcPr>
            <w:tcW w:w="1040" w:type="dxa"/>
            <w:tcBorders>
              <w:top w:val="nil"/>
              <w:left w:val="nil"/>
              <w:bottom w:val="nil"/>
              <w:right w:val="nil"/>
            </w:tcBorders>
            <w:shd w:val="clear" w:color="auto" w:fill="auto"/>
            <w:hideMark/>
          </w:tcPr>
          <w:p w14:paraId="38856EA6"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w:t>
            </w:r>
          </w:p>
        </w:tc>
        <w:tc>
          <w:tcPr>
            <w:tcW w:w="1040" w:type="dxa"/>
            <w:tcBorders>
              <w:top w:val="nil"/>
              <w:left w:val="nil"/>
              <w:bottom w:val="nil"/>
              <w:right w:val="nil"/>
            </w:tcBorders>
            <w:shd w:val="clear" w:color="auto" w:fill="auto"/>
            <w:noWrap/>
            <w:hideMark/>
          </w:tcPr>
          <w:p w14:paraId="71F2AE58"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w:t>
            </w:r>
          </w:p>
        </w:tc>
        <w:tc>
          <w:tcPr>
            <w:tcW w:w="1040" w:type="dxa"/>
            <w:tcBorders>
              <w:top w:val="nil"/>
              <w:left w:val="nil"/>
              <w:bottom w:val="nil"/>
              <w:right w:val="nil"/>
            </w:tcBorders>
            <w:shd w:val="clear" w:color="auto" w:fill="auto"/>
            <w:noWrap/>
            <w:hideMark/>
          </w:tcPr>
          <w:p w14:paraId="06175039"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-0.06**</w:t>
            </w:r>
          </w:p>
        </w:tc>
        <w:tc>
          <w:tcPr>
            <w:tcW w:w="1040" w:type="dxa"/>
            <w:tcBorders>
              <w:top w:val="nil"/>
              <w:left w:val="nil"/>
              <w:bottom w:val="nil"/>
              <w:right w:val="nil"/>
            </w:tcBorders>
            <w:shd w:val="clear" w:color="auto" w:fill="auto"/>
            <w:hideMark/>
          </w:tcPr>
          <w:p w14:paraId="476D3DB3"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0.11**</w:t>
            </w:r>
          </w:p>
        </w:tc>
      </w:tr>
      <w:tr w:rsidR="0055428F" w:rsidRPr="0055428F" w14:paraId="7C58C6F0" w14:textId="77777777" w:rsidTr="00F331D5">
        <w:trPr>
          <w:trHeight w:val="20"/>
        </w:trPr>
        <w:tc>
          <w:tcPr>
            <w:tcW w:w="3650" w:type="dxa"/>
            <w:tcBorders>
              <w:top w:val="nil"/>
              <w:left w:val="nil"/>
              <w:bottom w:val="nil"/>
              <w:right w:val="nil"/>
            </w:tcBorders>
            <w:shd w:val="clear" w:color="auto" w:fill="auto"/>
            <w:hideMark/>
          </w:tcPr>
          <w:p w14:paraId="18EDA2D5"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Oil</w:t>
            </w:r>
          </w:p>
        </w:tc>
        <w:tc>
          <w:tcPr>
            <w:tcW w:w="1040" w:type="dxa"/>
            <w:tcBorders>
              <w:top w:val="nil"/>
              <w:left w:val="nil"/>
              <w:bottom w:val="nil"/>
              <w:right w:val="nil"/>
            </w:tcBorders>
            <w:shd w:val="clear" w:color="auto" w:fill="auto"/>
            <w:noWrap/>
            <w:hideMark/>
          </w:tcPr>
          <w:p w14:paraId="6F8C8DE8"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-0.05**</w:t>
            </w:r>
          </w:p>
        </w:tc>
        <w:tc>
          <w:tcPr>
            <w:tcW w:w="1040" w:type="dxa"/>
            <w:tcBorders>
              <w:top w:val="nil"/>
              <w:left w:val="nil"/>
              <w:bottom w:val="nil"/>
              <w:right w:val="nil"/>
            </w:tcBorders>
            <w:shd w:val="clear" w:color="auto" w:fill="auto"/>
            <w:noWrap/>
            <w:hideMark/>
          </w:tcPr>
          <w:p w14:paraId="7E2CF6E3"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w:t>
            </w:r>
          </w:p>
        </w:tc>
        <w:tc>
          <w:tcPr>
            <w:tcW w:w="1040" w:type="dxa"/>
            <w:tcBorders>
              <w:top w:val="nil"/>
              <w:left w:val="nil"/>
              <w:bottom w:val="nil"/>
              <w:right w:val="nil"/>
            </w:tcBorders>
            <w:shd w:val="clear" w:color="auto" w:fill="auto"/>
            <w:noWrap/>
            <w:hideMark/>
          </w:tcPr>
          <w:p w14:paraId="1E085B2D"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w:t>
            </w:r>
          </w:p>
        </w:tc>
        <w:tc>
          <w:tcPr>
            <w:tcW w:w="1040" w:type="dxa"/>
            <w:tcBorders>
              <w:top w:val="nil"/>
              <w:left w:val="nil"/>
              <w:bottom w:val="nil"/>
              <w:right w:val="nil"/>
            </w:tcBorders>
            <w:shd w:val="clear" w:color="auto" w:fill="auto"/>
            <w:hideMark/>
          </w:tcPr>
          <w:p w14:paraId="419E98CD"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0.14**</w:t>
            </w:r>
          </w:p>
        </w:tc>
      </w:tr>
      <w:tr w:rsidR="0055428F" w:rsidRPr="0055428F" w14:paraId="37B72AAE" w14:textId="77777777" w:rsidTr="00F331D5">
        <w:trPr>
          <w:trHeight w:val="20"/>
        </w:trPr>
        <w:tc>
          <w:tcPr>
            <w:tcW w:w="3650" w:type="dxa"/>
            <w:tcBorders>
              <w:top w:val="nil"/>
              <w:left w:val="nil"/>
              <w:bottom w:val="nil"/>
              <w:right w:val="nil"/>
            </w:tcBorders>
            <w:shd w:val="clear" w:color="auto" w:fill="auto"/>
            <w:hideMark/>
          </w:tcPr>
          <w:p w14:paraId="74D4D68D"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Salad dressing</w:t>
            </w:r>
          </w:p>
        </w:tc>
        <w:tc>
          <w:tcPr>
            <w:tcW w:w="1040" w:type="dxa"/>
            <w:tcBorders>
              <w:top w:val="nil"/>
              <w:left w:val="nil"/>
              <w:bottom w:val="nil"/>
              <w:right w:val="nil"/>
            </w:tcBorders>
            <w:shd w:val="clear" w:color="auto" w:fill="auto"/>
            <w:hideMark/>
          </w:tcPr>
          <w:p w14:paraId="2437D8AF"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w:t>
            </w:r>
          </w:p>
        </w:tc>
        <w:tc>
          <w:tcPr>
            <w:tcW w:w="1040" w:type="dxa"/>
            <w:tcBorders>
              <w:top w:val="nil"/>
              <w:left w:val="nil"/>
              <w:bottom w:val="nil"/>
              <w:right w:val="nil"/>
            </w:tcBorders>
            <w:shd w:val="clear" w:color="auto" w:fill="auto"/>
            <w:hideMark/>
          </w:tcPr>
          <w:p w14:paraId="0D8075FD"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w:t>
            </w:r>
          </w:p>
        </w:tc>
        <w:tc>
          <w:tcPr>
            <w:tcW w:w="1040" w:type="dxa"/>
            <w:tcBorders>
              <w:top w:val="nil"/>
              <w:left w:val="nil"/>
              <w:bottom w:val="nil"/>
              <w:right w:val="nil"/>
            </w:tcBorders>
            <w:shd w:val="clear" w:color="auto" w:fill="auto"/>
            <w:hideMark/>
          </w:tcPr>
          <w:p w14:paraId="143B182B"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w:t>
            </w:r>
          </w:p>
        </w:tc>
        <w:tc>
          <w:tcPr>
            <w:tcW w:w="1040" w:type="dxa"/>
            <w:tcBorders>
              <w:top w:val="nil"/>
              <w:left w:val="nil"/>
              <w:bottom w:val="nil"/>
              <w:right w:val="nil"/>
            </w:tcBorders>
            <w:shd w:val="clear" w:color="auto" w:fill="auto"/>
            <w:hideMark/>
          </w:tcPr>
          <w:p w14:paraId="3A1AF85F"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0.17**</w:t>
            </w:r>
          </w:p>
        </w:tc>
      </w:tr>
      <w:tr w:rsidR="0055428F" w:rsidRPr="0055428F" w14:paraId="3028E78B" w14:textId="77777777" w:rsidTr="00F331D5">
        <w:trPr>
          <w:trHeight w:val="20"/>
        </w:trPr>
        <w:tc>
          <w:tcPr>
            <w:tcW w:w="3650" w:type="dxa"/>
            <w:tcBorders>
              <w:top w:val="nil"/>
              <w:left w:val="nil"/>
              <w:bottom w:val="nil"/>
              <w:right w:val="nil"/>
            </w:tcBorders>
            <w:shd w:val="clear" w:color="auto" w:fill="auto"/>
            <w:hideMark/>
          </w:tcPr>
          <w:p w14:paraId="08ED2AB5"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Nuts &amp; nut butters</w:t>
            </w:r>
          </w:p>
        </w:tc>
        <w:tc>
          <w:tcPr>
            <w:tcW w:w="1040" w:type="dxa"/>
            <w:tcBorders>
              <w:top w:val="nil"/>
              <w:left w:val="nil"/>
              <w:bottom w:val="nil"/>
              <w:right w:val="nil"/>
            </w:tcBorders>
            <w:shd w:val="clear" w:color="auto" w:fill="auto"/>
            <w:noWrap/>
            <w:hideMark/>
          </w:tcPr>
          <w:p w14:paraId="0D8C1EE6"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-0.07**</w:t>
            </w:r>
          </w:p>
        </w:tc>
        <w:tc>
          <w:tcPr>
            <w:tcW w:w="1040" w:type="dxa"/>
            <w:tcBorders>
              <w:top w:val="nil"/>
              <w:left w:val="nil"/>
              <w:bottom w:val="nil"/>
              <w:right w:val="nil"/>
            </w:tcBorders>
            <w:shd w:val="clear" w:color="auto" w:fill="auto"/>
            <w:noWrap/>
            <w:hideMark/>
          </w:tcPr>
          <w:p w14:paraId="538A196C"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w:t>
            </w:r>
          </w:p>
        </w:tc>
        <w:tc>
          <w:tcPr>
            <w:tcW w:w="1040" w:type="dxa"/>
            <w:tcBorders>
              <w:top w:val="nil"/>
              <w:left w:val="nil"/>
              <w:bottom w:val="nil"/>
              <w:right w:val="nil"/>
            </w:tcBorders>
            <w:shd w:val="clear" w:color="auto" w:fill="auto"/>
            <w:hideMark/>
          </w:tcPr>
          <w:p w14:paraId="73FE2317"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w:t>
            </w:r>
          </w:p>
        </w:tc>
        <w:tc>
          <w:tcPr>
            <w:tcW w:w="1040" w:type="dxa"/>
            <w:tcBorders>
              <w:top w:val="nil"/>
              <w:left w:val="nil"/>
              <w:bottom w:val="nil"/>
              <w:right w:val="nil"/>
            </w:tcBorders>
            <w:shd w:val="clear" w:color="auto" w:fill="auto"/>
            <w:hideMark/>
          </w:tcPr>
          <w:p w14:paraId="779527E8"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0.14**</w:t>
            </w:r>
          </w:p>
        </w:tc>
      </w:tr>
      <w:tr w:rsidR="0055428F" w:rsidRPr="0055428F" w14:paraId="2FA1DDF7" w14:textId="77777777" w:rsidTr="00F331D5">
        <w:trPr>
          <w:trHeight w:val="20"/>
        </w:trPr>
        <w:tc>
          <w:tcPr>
            <w:tcW w:w="3650" w:type="dxa"/>
            <w:tcBorders>
              <w:top w:val="nil"/>
              <w:left w:val="nil"/>
              <w:bottom w:val="nil"/>
              <w:right w:val="nil"/>
            </w:tcBorders>
            <w:shd w:val="clear" w:color="auto" w:fill="auto"/>
            <w:hideMark/>
          </w:tcPr>
          <w:p w14:paraId="2C478781" w14:textId="77777777" w:rsidR="003B6529" w:rsidRPr="0055428F" w:rsidRDefault="003B6529" w:rsidP="003B6529">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Fruits &amp; Vegetables</w:t>
            </w:r>
          </w:p>
        </w:tc>
        <w:tc>
          <w:tcPr>
            <w:tcW w:w="1040" w:type="dxa"/>
            <w:tcBorders>
              <w:top w:val="nil"/>
              <w:left w:val="nil"/>
              <w:bottom w:val="nil"/>
              <w:right w:val="nil"/>
            </w:tcBorders>
            <w:shd w:val="clear" w:color="auto" w:fill="auto"/>
            <w:noWrap/>
            <w:hideMark/>
          </w:tcPr>
          <w:p w14:paraId="4F2628B1"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hideMark/>
          </w:tcPr>
          <w:p w14:paraId="05F3FD6C"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hideMark/>
          </w:tcPr>
          <w:p w14:paraId="7C4DDA05"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hideMark/>
          </w:tcPr>
          <w:p w14:paraId="51B1DE16"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r>
      <w:tr w:rsidR="0055428F" w:rsidRPr="0055428F" w14:paraId="46CFF5A1" w14:textId="77777777" w:rsidTr="00F331D5">
        <w:trPr>
          <w:trHeight w:val="20"/>
        </w:trPr>
        <w:tc>
          <w:tcPr>
            <w:tcW w:w="3650" w:type="dxa"/>
            <w:tcBorders>
              <w:top w:val="nil"/>
              <w:left w:val="nil"/>
              <w:bottom w:val="nil"/>
              <w:right w:val="nil"/>
            </w:tcBorders>
            <w:shd w:val="clear" w:color="auto" w:fill="auto"/>
            <w:hideMark/>
          </w:tcPr>
          <w:p w14:paraId="6FCD1CC0"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Fruits &amp; products/recipes</w:t>
            </w:r>
          </w:p>
        </w:tc>
        <w:tc>
          <w:tcPr>
            <w:tcW w:w="1040" w:type="dxa"/>
            <w:tcBorders>
              <w:top w:val="nil"/>
              <w:left w:val="nil"/>
              <w:bottom w:val="nil"/>
              <w:right w:val="nil"/>
            </w:tcBorders>
            <w:shd w:val="clear" w:color="auto" w:fill="auto"/>
            <w:noWrap/>
            <w:hideMark/>
          </w:tcPr>
          <w:p w14:paraId="2AD4F1A7"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-0.21**</w:t>
            </w:r>
          </w:p>
        </w:tc>
        <w:tc>
          <w:tcPr>
            <w:tcW w:w="1040" w:type="dxa"/>
            <w:tcBorders>
              <w:top w:val="nil"/>
              <w:left w:val="nil"/>
              <w:bottom w:val="nil"/>
              <w:right w:val="nil"/>
            </w:tcBorders>
            <w:shd w:val="clear" w:color="auto" w:fill="auto"/>
            <w:noWrap/>
            <w:hideMark/>
          </w:tcPr>
          <w:p w14:paraId="46476FE8"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-0.09**</w:t>
            </w:r>
          </w:p>
        </w:tc>
        <w:tc>
          <w:tcPr>
            <w:tcW w:w="1040" w:type="dxa"/>
            <w:tcBorders>
              <w:top w:val="nil"/>
              <w:left w:val="nil"/>
              <w:bottom w:val="nil"/>
              <w:right w:val="nil"/>
            </w:tcBorders>
            <w:shd w:val="clear" w:color="auto" w:fill="auto"/>
            <w:hideMark/>
          </w:tcPr>
          <w:p w14:paraId="3D9CE1C3"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0.04*</w:t>
            </w:r>
          </w:p>
        </w:tc>
        <w:tc>
          <w:tcPr>
            <w:tcW w:w="1040" w:type="dxa"/>
            <w:tcBorders>
              <w:top w:val="nil"/>
              <w:left w:val="nil"/>
              <w:bottom w:val="nil"/>
              <w:right w:val="nil"/>
            </w:tcBorders>
            <w:shd w:val="clear" w:color="auto" w:fill="auto"/>
            <w:noWrap/>
            <w:hideMark/>
          </w:tcPr>
          <w:p w14:paraId="468DBE72"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-0.19**</w:t>
            </w:r>
          </w:p>
        </w:tc>
      </w:tr>
      <w:tr w:rsidR="0055428F" w:rsidRPr="0055428F" w14:paraId="2B938C5E" w14:textId="77777777" w:rsidTr="00F331D5">
        <w:trPr>
          <w:trHeight w:val="20"/>
        </w:trPr>
        <w:tc>
          <w:tcPr>
            <w:tcW w:w="3650" w:type="dxa"/>
            <w:tcBorders>
              <w:top w:val="nil"/>
              <w:left w:val="nil"/>
              <w:bottom w:val="nil"/>
              <w:right w:val="nil"/>
            </w:tcBorders>
            <w:shd w:val="clear" w:color="auto" w:fill="auto"/>
            <w:hideMark/>
          </w:tcPr>
          <w:p w14:paraId="330EEFA4"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Vegetables &amp; recipes</w:t>
            </w:r>
          </w:p>
        </w:tc>
        <w:tc>
          <w:tcPr>
            <w:tcW w:w="1040" w:type="dxa"/>
            <w:tcBorders>
              <w:top w:val="nil"/>
              <w:left w:val="nil"/>
              <w:bottom w:val="nil"/>
              <w:right w:val="nil"/>
            </w:tcBorders>
            <w:shd w:val="clear" w:color="auto" w:fill="auto"/>
            <w:noWrap/>
            <w:hideMark/>
          </w:tcPr>
          <w:p w14:paraId="5F0C2B5C"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-0.16**</w:t>
            </w:r>
          </w:p>
        </w:tc>
        <w:tc>
          <w:tcPr>
            <w:tcW w:w="1040" w:type="dxa"/>
            <w:tcBorders>
              <w:top w:val="nil"/>
              <w:left w:val="nil"/>
              <w:bottom w:val="nil"/>
              <w:right w:val="nil"/>
            </w:tcBorders>
            <w:shd w:val="clear" w:color="auto" w:fill="auto"/>
            <w:noWrap/>
            <w:hideMark/>
          </w:tcPr>
          <w:p w14:paraId="70E85EE1"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-0.09**</w:t>
            </w:r>
          </w:p>
        </w:tc>
        <w:tc>
          <w:tcPr>
            <w:tcW w:w="1040" w:type="dxa"/>
            <w:tcBorders>
              <w:top w:val="nil"/>
              <w:left w:val="nil"/>
              <w:bottom w:val="nil"/>
              <w:right w:val="nil"/>
            </w:tcBorders>
            <w:shd w:val="clear" w:color="auto" w:fill="auto"/>
            <w:hideMark/>
          </w:tcPr>
          <w:p w14:paraId="1D8CE49D"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0.05**</w:t>
            </w:r>
          </w:p>
        </w:tc>
        <w:tc>
          <w:tcPr>
            <w:tcW w:w="1040" w:type="dxa"/>
            <w:tcBorders>
              <w:top w:val="nil"/>
              <w:left w:val="nil"/>
              <w:bottom w:val="nil"/>
              <w:right w:val="nil"/>
            </w:tcBorders>
            <w:shd w:val="clear" w:color="auto" w:fill="auto"/>
            <w:hideMark/>
          </w:tcPr>
          <w:p w14:paraId="412B0CB6"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0.06**</w:t>
            </w:r>
          </w:p>
        </w:tc>
      </w:tr>
      <w:tr w:rsidR="0055428F" w:rsidRPr="0055428F" w14:paraId="2EFA9500" w14:textId="77777777" w:rsidTr="00F331D5">
        <w:trPr>
          <w:trHeight w:val="20"/>
        </w:trPr>
        <w:tc>
          <w:tcPr>
            <w:tcW w:w="3650" w:type="dxa"/>
            <w:tcBorders>
              <w:top w:val="nil"/>
              <w:left w:val="nil"/>
              <w:bottom w:val="nil"/>
              <w:right w:val="nil"/>
            </w:tcBorders>
            <w:shd w:val="clear" w:color="auto" w:fill="auto"/>
            <w:hideMark/>
          </w:tcPr>
          <w:p w14:paraId="567CBB5A" w14:textId="77777777" w:rsidR="003B6529" w:rsidRPr="0055428F" w:rsidRDefault="003B6529" w:rsidP="003B6529">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Grains</w:t>
            </w:r>
          </w:p>
        </w:tc>
        <w:tc>
          <w:tcPr>
            <w:tcW w:w="1040" w:type="dxa"/>
            <w:tcBorders>
              <w:top w:val="nil"/>
              <w:left w:val="nil"/>
              <w:bottom w:val="nil"/>
              <w:right w:val="nil"/>
            </w:tcBorders>
            <w:shd w:val="clear" w:color="auto" w:fill="auto"/>
            <w:noWrap/>
            <w:hideMark/>
          </w:tcPr>
          <w:p w14:paraId="0A2C574C"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hideMark/>
          </w:tcPr>
          <w:p w14:paraId="621DABCA"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hideMark/>
          </w:tcPr>
          <w:p w14:paraId="27545287"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hideMark/>
          </w:tcPr>
          <w:p w14:paraId="68EEDF54"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r>
      <w:tr w:rsidR="0055428F" w:rsidRPr="0055428F" w14:paraId="11AE417D" w14:textId="77777777" w:rsidTr="00F331D5">
        <w:trPr>
          <w:trHeight w:val="20"/>
        </w:trPr>
        <w:tc>
          <w:tcPr>
            <w:tcW w:w="3650" w:type="dxa"/>
            <w:tcBorders>
              <w:top w:val="nil"/>
              <w:left w:val="nil"/>
              <w:bottom w:val="nil"/>
              <w:right w:val="nil"/>
            </w:tcBorders>
            <w:shd w:val="clear" w:color="auto" w:fill="auto"/>
            <w:hideMark/>
          </w:tcPr>
          <w:p w14:paraId="5E32E1A9"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Breads, &amp; related products</w:t>
            </w:r>
          </w:p>
        </w:tc>
        <w:tc>
          <w:tcPr>
            <w:tcW w:w="1040" w:type="dxa"/>
            <w:tcBorders>
              <w:top w:val="nil"/>
              <w:left w:val="nil"/>
              <w:bottom w:val="nil"/>
              <w:right w:val="nil"/>
            </w:tcBorders>
            <w:shd w:val="clear" w:color="auto" w:fill="auto"/>
            <w:hideMark/>
          </w:tcPr>
          <w:p w14:paraId="6108073B"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w:t>
            </w:r>
          </w:p>
        </w:tc>
        <w:tc>
          <w:tcPr>
            <w:tcW w:w="1040" w:type="dxa"/>
            <w:tcBorders>
              <w:top w:val="nil"/>
              <w:left w:val="nil"/>
              <w:bottom w:val="nil"/>
              <w:right w:val="nil"/>
            </w:tcBorders>
            <w:shd w:val="clear" w:color="auto" w:fill="auto"/>
            <w:noWrap/>
            <w:hideMark/>
          </w:tcPr>
          <w:p w14:paraId="0C0A3F6C"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-0.06**</w:t>
            </w:r>
          </w:p>
        </w:tc>
        <w:tc>
          <w:tcPr>
            <w:tcW w:w="1040" w:type="dxa"/>
            <w:tcBorders>
              <w:top w:val="nil"/>
              <w:left w:val="nil"/>
              <w:bottom w:val="nil"/>
              <w:right w:val="nil"/>
            </w:tcBorders>
            <w:shd w:val="clear" w:color="auto" w:fill="auto"/>
            <w:noWrap/>
            <w:hideMark/>
          </w:tcPr>
          <w:p w14:paraId="002FD5AD"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-0.07**</w:t>
            </w:r>
          </w:p>
        </w:tc>
        <w:tc>
          <w:tcPr>
            <w:tcW w:w="1040" w:type="dxa"/>
            <w:tcBorders>
              <w:top w:val="nil"/>
              <w:left w:val="nil"/>
              <w:bottom w:val="nil"/>
              <w:right w:val="nil"/>
            </w:tcBorders>
            <w:shd w:val="clear" w:color="auto" w:fill="auto"/>
            <w:noWrap/>
            <w:hideMark/>
          </w:tcPr>
          <w:p w14:paraId="4624ED3E"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-0.18**</w:t>
            </w:r>
          </w:p>
        </w:tc>
      </w:tr>
      <w:tr w:rsidR="0055428F" w:rsidRPr="0055428F" w14:paraId="332B0CDC" w14:textId="77777777" w:rsidTr="00F331D5">
        <w:trPr>
          <w:trHeight w:val="20"/>
        </w:trPr>
        <w:tc>
          <w:tcPr>
            <w:tcW w:w="3650" w:type="dxa"/>
            <w:tcBorders>
              <w:top w:val="nil"/>
              <w:left w:val="nil"/>
              <w:bottom w:val="nil"/>
              <w:right w:val="nil"/>
            </w:tcBorders>
            <w:shd w:val="clear" w:color="auto" w:fill="auto"/>
            <w:hideMark/>
          </w:tcPr>
          <w:p w14:paraId="651311BA"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Sweet baked foods &amp; related products</w:t>
            </w:r>
          </w:p>
        </w:tc>
        <w:tc>
          <w:tcPr>
            <w:tcW w:w="1040" w:type="dxa"/>
            <w:tcBorders>
              <w:top w:val="nil"/>
              <w:left w:val="nil"/>
              <w:bottom w:val="nil"/>
              <w:right w:val="nil"/>
            </w:tcBorders>
            <w:shd w:val="clear" w:color="auto" w:fill="auto"/>
            <w:hideMark/>
          </w:tcPr>
          <w:p w14:paraId="279C0B0D"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w:t>
            </w:r>
          </w:p>
        </w:tc>
        <w:tc>
          <w:tcPr>
            <w:tcW w:w="1040" w:type="dxa"/>
            <w:tcBorders>
              <w:top w:val="nil"/>
              <w:left w:val="nil"/>
              <w:bottom w:val="nil"/>
              <w:right w:val="nil"/>
            </w:tcBorders>
            <w:shd w:val="clear" w:color="auto" w:fill="auto"/>
            <w:hideMark/>
          </w:tcPr>
          <w:p w14:paraId="2860BC94"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0.04*</w:t>
            </w:r>
          </w:p>
        </w:tc>
        <w:tc>
          <w:tcPr>
            <w:tcW w:w="1040" w:type="dxa"/>
            <w:tcBorders>
              <w:top w:val="nil"/>
              <w:left w:val="nil"/>
              <w:bottom w:val="nil"/>
              <w:right w:val="nil"/>
            </w:tcBorders>
            <w:shd w:val="clear" w:color="auto" w:fill="auto"/>
            <w:noWrap/>
            <w:hideMark/>
          </w:tcPr>
          <w:p w14:paraId="222F3EDA"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-0.04*</w:t>
            </w:r>
          </w:p>
        </w:tc>
        <w:tc>
          <w:tcPr>
            <w:tcW w:w="1040" w:type="dxa"/>
            <w:tcBorders>
              <w:top w:val="nil"/>
              <w:left w:val="nil"/>
              <w:bottom w:val="nil"/>
              <w:right w:val="nil"/>
            </w:tcBorders>
            <w:shd w:val="clear" w:color="auto" w:fill="auto"/>
            <w:noWrap/>
            <w:hideMark/>
          </w:tcPr>
          <w:p w14:paraId="098AF6CF"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w:t>
            </w:r>
          </w:p>
        </w:tc>
      </w:tr>
      <w:tr w:rsidR="0055428F" w:rsidRPr="0055428F" w14:paraId="55B77AE8" w14:textId="77777777" w:rsidTr="00F331D5">
        <w:trPr>
          <w:trHeight w:val="20"/>
        </w:trPr>
        <w:tc>
          <w:tcPr>
            <w:tcW w:w="3650" w:type="dxa"/>
            <w:tcBorders>
              <w:top w:val="nil"/>
              <w:left w:val="nil"/>
              <w:bottom w:val="nil"/>
              <w:right w:val="nil"/>
            </w:tcBorders>
            <w:shd w:val="clear" w:color="auto" w:fill="auto"/>
            <w:hideMark/>
          </w:tcPr>
          <w:p w14:paraId="15992D77"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Cold &amp; cooked cereals</w:t>
            </w:r>
          </w:p>
        </w:tc>
        <w:tc>
          <w:tcPr>
            <w:tcW w:w="1040" w:type="dxa"/>
            <w:tcBorders>
              <w:top w:val="nil"/>
              <w:left w:val="nil"/>
              <w:bottom w:val="nil"/>
              <w:right w:val="nil"/>
            </w:tcBorders>
            <w:shd w:val="clear" w:color="auto" w:fill="auto"/>
            <w:noWrap/>
            <w:hideMark/>
          </w:tcPr>
          <w:p w14:paraId="3071E408"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-0.13**</w:t>
            </w:r>
          </w:p>
        </w:tc>
        <w:tc>
          <w:tcPr>
            <w:tcW w:w="1040" w:type="dxa"/>
            <w:tcBorders>
              <w:top w:val="nil"/>
              <w:left w:val="nil"/>
              <w:bottom w:val="nil"/>
              <w:right w:val="nil"/>
            </w:tcBorders>
            <w:shd w:val="clear" w:color="auto" w:fill="auto"/>
            <w:hideMark/>
          </w:tcPr>
          <w:p w14:paraId="1C45CA6B"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0.07**</w:t>
            </w:r>
          </w:p>
        </w:tc>
        <w:tc>
          <w:tcPr>
            <w:tcW w:w="1040" w:type="dxa"/>
            <w:tcBorders>
              <w:top w:val="nil"/>
              <w:left w:val="nil"/>
              <w:bottom w:val="nil"/>
              <w:right w:val="nil"/>
            </w:tcBorders>
            <w:shd w:val="clear" w:color="auto" w:fill="auto"/>
            <w:hideMark/>
          </w:tcPr>
          <w:p w14:paraId="3C733799"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w:t>
            </w:r>
          </w:p>
        </w:tc>
        <w:tc>
          <w:tcPr>
            <w:tcW w:w="1040" w:type="dxa"/>
            <w:tcBorders>
              <w:top w:val="nil"/>
              <w:left w:val="nil"/>
              <w:bottom w:val="nil"/>
              <w:right w:val="nil"/>
            </w:tcBorders>
            <w:shd w:val="clear" w:color="auto" w:fill="auto"/>
            <w:noWrap/>
            <w:hideMark/>
          </w:tcPr>
          <w:p w14:paraId="2B28C26C"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-0.07**</w:t>
            </w:r>
          </w:p>
        </w:tc>
      </w:tr>
      <w:tr w:rsidR="0055428F" w:rsidRPr="0055428F" w14:paraId="7A477443" w14:textId="77777777" w:rsidTr="00F331D5">
        <w:trPr>
          <w:trHeight w:val="20"/>
        </w:trPr>
        <w:tc>
          <w:tcPr>
            <w:tcW w:w="3650" w:type="dxa"/>
            <w:tcBorders>
              <w:top w:val="nil"/>
              <w:left w:val="nil"/>
              <w:bottom w:val="nil"/>
              <w:right w:val="nil"/>
            </w:tcBorders>
            <w:shd w:val="clear" w:color="auto" w:fill="auto"/>
            <w:hideMark/>
          </w:tcPr>
          <w:p w14:paraId="7AF2EFAB"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Grains &amp; flour</w:t>
            </w:r>
          </w:p>
        </w:tc>
        <w:tc>
          <w:tcPr>
            <w:tcW w:w="1040" w:type="dxa"/>
            <w:tcBorders>
              <w:top w:val="nil"/>
              <w:left w:val="nil"/>
              <w:bottom w:val="nil"/>
              <w:right w:val="nil"/>
            </w:tcBorders>
            <w:shd w:val="clear" w:color="auto" w:fill="auto"/>
            <w:noWrap/>
            <w:hideMark/>
          </w:tcPr>
          <w:p w14:paraId="54E167B5"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-0.04*</w:t>
            </w:r>
          </w:p>
        </w:tc>
        <w:tc>
          <w:tcPr>
            <w:tcW w:w="1040" w:type="dxa"/>
            <w:tcBorders>
              <w:top w:val="nil"/>
              <w:left w:val="nil"/>
              <w:bottom w:val="nil"/>
              <w:right w:val="nil"/>
            </w:tcBorders>
            <w:shd w:val="clear" w:color="auto" w:fill="auto"/>
            <w:hideMark/>
          </w:tcPr>
          <w:p w14:paraId="66547CDE"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w:t>
            </w:r>
          </w:p>
        </w:tc>
        <w:tc>
          <w:tcPr>
            <w:tcW w:w="1040" w:type="dxa"/>
            <w:tcBorders>
              <w:top w:val="nil"/>
              <w:left w:val="nil"/>
              <w:bottom w:val="nil"/>
              <w:right w:val="nil"/>
            </w:tcBorders>
            <w:shd w:val="clear" w:color="auto" w:fill="auto"/>
            <w:hideMark/>
          </w:tcPr>
          <w:p w14:paraId="524742FD"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w:t>
            </w:r>
          </w:p>
        </w:tc>
        <w:tc>
          <w:tcPr>
            <w:tcW w:w="1040" w:type="dxa"/>
            <w:tcBorders>
              <w:top w:val="nil"/>
              <w:left w:val="nil"/>
              <w:bottom w:val="nil"/>
              <w:right w:val="nil"/>
            </w:tcBorders>
            <w:shd w:val="clear" w:color="auto" w:fill="auto"/>
            <w:hideMark/>
          </w:tcPr>
          <w:p w14:paraId="12E1C4CC"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w:t>
            </w:r>
          </w:p>
        </w:tc>
      </w:tr>
      <w:tr w:rsidR="0055428F" w:rsidRPr="0055428F" w14:paraId="4665544C" w14:textId="77777777" w:rsidTr="00F331D5">
        <w:trPr>
          <w:trHeight w:val="20"/>
        </w:trPr>
        <w:tc>
          <w:tcPr>
            <w:tcW w:w="3650" w:type="dxa"/>
            <w:tcBorders>
              <w:top w:val="nil"/>
              <w:left w:val="nil"/>
              <w:bottom w:val="nil"/>
              <w:right w:val="nil"/>
            </w:tcBorders>
            <w:shd w:val="clear" w:color="auto" w:fill="auto"/>
            <w:hideMark/>
          </w:tcPr>
          <w:p w14:paraId="22442A59"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Pasta &amp; rice (includes recipes)</w:t>
            </w:r>
          </w:p>
        </w:tc>
        <w:tc>
          <w:tcPr>
            <w:tcW w:w="1040" w:type="dxa"/>
            <w:tcBorders>
              <w:top w:val="nil"/>
              <w:left w:val="nil"/>
              <w:bottom w:val="nil"/>
              <w:right w:val="nil"/>
            </w:tcBorders>
            <w:shd w:val="clear" w:color="auto" w:fill="auto"/>
            <w:noWrap/>
            <w:hideMark/>
          </w:tcPr>
          <w:p w14:paraId="2C19637D"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-0.22**</w:t>
            </w:r>
          </w:p>
        </w:tc>
        <w:tc>
          <w:tcPr>
            <w:tcW w:w="1040" w:type="dxa"/>
            <w:tcBorders>
              <w:top w:val="nil"/>
              <w:left w:val="nil"/>
              <w:bottom w:val="nil"/>
              <w:right w:val="nil"/>
            </w:tcBorders>
            <w:shd w:val="clear" w:color="auto" w:fill="auto"/>
            <w:noWrap/>
            <w:hideMark/>
          </w:tcPr>
          <w:p w14:paraId="650A6D01"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-0.09**</w:t>
            </w:r>
          </w:p>
        </w:tc>
        <w:tc>
          <w:tcPr>
            <w:tcW w:w="1040" w:type="dxa"/>
            <w:tcBorders>
              <w:top w:val="nil"/>
              <w:left w:val="nil"/>
              <w:bottom w:val="nil"/>
              <w:right w:val="nil"/>
            </w:tcBorders>
            <w:shd w:val="clear" w:color="auto" w:fill="auto"/>
            <w:noWrap/>
            <w:hideMark/>
          </w:tcPr>
          <w:p w14:paraId="5C049AD9"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w:t>
            </w:r>
          </w:p>
        </w:tc>
        <w:tc>
          <w:tcPr>
            <w:tcW w:w="1040" w:type="dxa"/>
            <w:tcBorders>
              <w:top w:val="nil"/>
              <w:left w:val="nil"/>
              <w:bottom w:val="nil"/>
              <w:right w:val="nil"/>
            </w:tcBorders>
            <w:shd w:val="clear" w:color="auto" w:fill="auto"/>
            <w:hideMark/>
          </w:tcPr>
          <w:p w14:paraId="37B56EB8"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0.10**</w:t>
            </w:r>
          </w:p>
        </w:tc>
      </w:tr>
      <w:tr w:rsidR="0055428F" w:rsidRPr="0055428F" w14:paraId="55459D8D" w14:textId="77777777" w:rsidTr="00F331D5">
        <w:trPr>
          <w:trHeight w:val="20"/>
        </w:trPr>
        <w:tc>
          <w:tcPr>
            <w:tcW w:w="3650" w:type="dxa"/>
            <w:tcBorders>
              <w:top w:val="nil"/>
              <w:left w:val="nil"/>
              <w:bottom w:val="nil"/>
              <w:right w:val="nil"/>
            </w:tcBorders>
            <w:shd w:val="clear" w:color="auto" w:fill="auto"/>
            <w:hideMark/>
          </w:tcPr>
          <w:p w14:paraId="385FBE14"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Snack foods &amp; bars</w:t>
            </w:r>
          </w:p>
        </w:tc>
        <w:tc>
          <w:tcPr>
            <w:tcW w:w="1040" w:type="dxa"/>
            <w:tcBorders>
              <w:top w:val="nil"/>
              <w:left w:val="nil"/>
              <w:bottom w:val="nil"/>
              <w:right w:val="nil"/>
            </w:tcBorders>
            <w:shd w:val="clear" w:color="auto" w:fill="auto"/>
            <w:hideMark/>
          </w:tcPr>
          <w:p w14:paraId="4C0BD045"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w:t>
            </w:r>
          </w:p>
        </w:tc>
        <w:tc>
          <w:tcPr>
            <w:tcW w:w="1040" w:type="dxa"/>
            <w:tcBorders>
              <w:top w:val="nil"/>
              <w:left w:val="nil"/>
              <w:bottom w:val="nil"/>
              <w:right w:val="nil"/>
            </w:tcBorders>
            <w:shd w:val="clear" w:color="auto" w:fill="auto"/>
            <w:hideMark/>
          </w:tcPr>
          <w:p w14:paraId="7C41BA15"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0.05**</w:t>
            </w:r>
          </w:p>
        </w:tc>
        <w:tc>
          <w:tcPr>
            <w:tcW w:w="1040" w:type="dxa"/>
            <w:tcBorders>
              <w:top w:val="nil"/>
              <w:left w:val="nil"/>
              <w:bottom w:val="nil"/>
              <w:right w:val="nil"/>
            </w:tcBorders>
            <w:shd w:val="clear" w:color="auto" w:fill="auto"/>
            <w:noWrap/>
            <w:hideMark/>
          </w:tcPr>
          <w:p w14:paraId="008CC1BA"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-0.04*</w:t>
            </w:r>
          </w:p>
        </w:tc>
        <w:tc>
          <w:tcPr>
            <w:tcW w:w="1040" w:type="dxa"/>
            <w:tcBorders>
              <w:top w:val="nil"/>
              <w:left w:val="nil"/>
              <w:bottom w:val="nil"/>
              <w:right w:val="nil"/>
            </w:tcBorders>
            <w:shd w:val="clear" w:color="auto" w:fill="auto"/>
            <w:hideMark/>
          </w:tcPr>
          <w:p w14:paraId="32F0A70E"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0.10**</w:t>
            </w:r>
          </w:p>
        </w:tc>
      </w:tr>
      <w:tr w:rsidR="0055428F" w:rsidRPr="0055428F" w14:paraId="6B91377B" w14:textId="77777777" w:rsidTr="00F331D5">
        <w:trPr>
          <w:trHeight w:val="20"/>
        </w:trPr>
        <w:tc>
          <w:tcPr>
            <w:tcW w:w="3650" w:type="dxa"/>
            <w:tcBorders>
              <w:top w:val="nil"/>
              <w:left w:val="nil"/>
              <w:bottom w:val="nil"/>
              <w:right w:val="nil"/>
            </w:tcBorders>
            <w:shd w:val="clear" w:color="auto" w:fill="auto"/>
            <w:hideMark/>
          </w:tcPr>
          <w:p w14:paraId="6ABA0AEA"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Miscellaneous grain recipe</w:t>
            </w:r>
            <w:r w:rsidR="00E1027B" w:rsidRPr="0055428F">
              <w:rPr>
                <w:rFonts w:ascii="Times New Roman" w:eastAsia="Times New Roman" w:hAnsi="Times New Roman" w:cs="Times New Roman"/>
                <w:sz w:val="20"/>
                <w:szCs w:val="20"/>
              </w:rPr>
              <w:t>s</w:t>
            </w:r>
            <w:r w:rsidR="004E103D" w:rsidRPr="0055428F">
              <w:rPr>
                <w:rFonts w:ascii="Times New Roman" w:eastAsia="Times New Roman" w:hAnsi="Times New Roman" w:cs="Times New Roman"/>
                <w:sz w:val="20"/>
                <w:szCs w:val="20"/>
              </w:rPr>
              <w:t xml:space="preserve"> without meat, poultry, or fish</w:t>
            </w:r>
          </w:p>
        </w:tc>
        <w:tc>
          <w:tcPr>
            <w:tcW w:w="1040" w:type="dxa"/>
            <w:tcBorders>
              <w:top w:val="nil"/>
              <w:left w:val="nil"/>
              <w:bottom w:val="nil"/>
              <w:right w:val="nil"/>
            </w:tcBorders>
            <w:shd w:val="clear" w:color="auto" w:fill="auto"/>
            <w:hideMark/>
          </w:tcPr>
          <w:p w14:paraId="7E41AFAF"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0.07**</w:t>
            </w:r>
          </w:p>
        </w:tc>
        <w:tc>
          <w:tcPr>
            <w:tcW w:w="1040" w:type="dxa"/>
            <w:tcBorders>
              <w:top w:val="nil"/>
              <w:left w:val="nil"/>
              <w:bottom w:val="nil"/>
              <w:right w:val="nil"/>
            </w:tcBorders>
            <w:shd w:val="clear" w:color="auto" w:fill="auto"/>
            <w:hideMark/>
          </w:tcPr>
          <w:p w14:paraId="38FDD65E"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0.11**</w:t>
            </w:r>
          </w:p>
        </w:tc>
        <w:tc>
          <w:tcPr>
            <w:tcW w:w="1040" w:type="dxa"/>
            <w:tcBorders>
              <w:top w:val="nil"/>
              <w:left w:val="nil"/>
              <w:bottom w:val="nil"/>
              <w:right w:val="nil"/>
            </w:tcBorders>
            <w:shd w:val="clear" w:color="auto" w:fill="auto"/>
            <w:noWrap/>
            <w:hideMark/>
          </w:tcPr>
          <w:p w14:paraId="7D15AF7C"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-0.05**</w:t>
            </w:r>
          </w:p>
        </w:tc>
        <w:tc>
          <w:tcPr>
            <w:tcW w:w="1040" w:type="dxa"/>
            <w:tcBorders>
              <w:top w:val="nil"/>
              <w:left w:val="nil"/>
              <w:bottom w:val="nil"/>
              <w:right w:val="nil"/>
            </w:tcBorders>
            <w:shd w:val="clear" w:color="auto" w:fill="auto"/>
            <w:noWrap/>
            <w:hideMark/>
          </w:tcPr>
          <w:p w14:paraId="43FA11FF"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-0.05**</w:t>
            </w:r>
          </w:p>
        </w:tc>
      </w:tr>
      <w:tr w:rsidR="0055428F" w:rsidRPr="0055428F" w14:paraId="6E1CCB8A" w14:textId="77777777" w:rsidTr="00F331D5">
        <w:trPr>
          <w:trHeight w:val="20"/>
        </w:trPr>
        <w:tc>
          <w:tcPr>
            <w:tcW w:w="3650" w:type="dxa"/>
            <w:tcBorders>
              <w:top w:val="nil"/>
              <w:left w:val="nil"/>
              <w:bottom w:val="nil"/>
              <w:right w:val="nil"/>
            </w:tcBorders>
            <w:shd w:val="clear" w:color="auto" w:fill="auto"/>
            <w:hideMark/>
          </w:tcPr>
          <w:p w14:paraId="3D0A4D57" w14:textId="77777777" w:rsidR="003B6529" w:rsidRPr="0055428F" w:rsidRDefault="003B6529" w:rsidP="003B6529">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Soups, Sauces, and Gravy</w:t>
            </w:r>
          </w:p>
        </w:tc>
        <w:tc>
          <w:tcPr>
            <w:tcW w:w="1040" w:type="dxa"/>
            <w:tcBorders>
              <w:top w:val="nil"/>
              <w:left w:val="nil"/>
              <w:bottom w:val="nil"/>
              <w:right w:val="nil"/>
            </w:tcBorders>
            <w:shd w:val="clear" w:color="auto" w:fill="auto"/>
            <w:hideMark/>
          </w:tcPr>
          <w:p w14:paraId="4F45CC8F"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hideMark/>
          </w:tcPr>
          <w:p w14:paraId="43C56E81"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hideMark/>
          </w:tcPr>
          <w:p w14:paraId="082D1B91"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hideMark/>
          </w:tcPr>
          <w:p w14:paraId="45872ED7"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r>
      <w:tr w:rsidR="0055428F" w:rsidRPr="0055428F" w14:paraId="28F6E508" w14:textId="77777777" w:rsidTr="00F331D5">
        <w:trPr>
          <w:trHeight w:val="20"/>
        </w:trPr>
        <w:tc>
          <w:tcPr>
            <w:tcW w:w="3650" w:type="dxa"/>
            <w:tcBorders>
              <w:top w:val="nil"/>
              <w:left w:val="nil"/>
              <w:bottom w:val="nil"/>
              <w:right w:val="nil"/>
            </w:tcBorders>
            <w:shd w:val="clear" w:color="auto" w:fill="auto"/>
            <w:hideMark/>
          </w:tcPr>
          <w:p w14:paraId="61B95A60"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Soups</w:t>
            </w:r>
          </w:p>
        </w:tc>
        <w:tc>
          <w:tcPr>
            <w:tcW w:w="1040" w:type="dxa"/>
            <w:tcBorders>
              <w:top w:val="nil"/>
              <w:left w:val="nil"/>
              <w:bottom w:val="nil"/>
              <w:right w:val="nil"/>
            </w:tcBorders>
            <w:shd w:val="clear" w:color="auto" w:fill="auto"/>
            <w:noWrap/>
            <w:hideMark/>
          </w:tcPr>
          <w:p w14:paraId="1ECD0EC9"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w:t>
            </w:r>
          </w:p>
        </w:tc>
        <w:tc>
          <w:tcPr>
            <w:tcW w:w="1040" w:type="dxa"/>
            <w:tcBorders>
              <w:top w:val="nil"/>
              <w:left w:val="nil"/>
              <w:bottom w:val="nil"/>
              <w:right w:val="nil"/>
            </w:tcBorders>
            <w:shd w:val="clear" w:color="auto" w:fill="auto"/>
            <w:noWrap/>
            <w:hideMark/>
          </w:tcPr>
          <w:p w14:paraId="3BBCFCCD"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-0.05**</w:t>
            </w:r>
          </w:p>
        </w:tc>
        <w:tc>
          <w:tcPr>
            <w:tcW w:w="1040" w:type="dxa"/>
            <w:tcBorders>
              <w:top w:val="nil"/>
              <w:left w:val="nil"/>
              <w:bottom w:val="nil"/>
              <w:right w:val="nil"/>
            </w:tcBorders>
            <w:shd w:val="clear" w:color="auto" w:fill="auto"/>
            <w:hideMark/>
          </w:tcPr>
          <w:p w14:paraId="5C3B1EC3"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0.04**</w:t>
            </w:r>
          </w:p>
        </w:tc>
        <w:tc>
          <w:tcPr>
            <w:tcW w:w="1040" w:type="dxa"/>
            <w:tcBorders>
              <w:top w:val="nil"/>
              <w:left w:val="nil"/>
              <w:bottom w:val="nil"/>
              <w:right w:val="nil"/>
            </w:tcBorders>
            <w:shd w:val="clear" w:color="auto" w:fill="auto"/>
            <w:noWrap/>
            <w:hideMark/>
          </w:tcPr>
          <w:p w14:paraId="6317F3F5"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-0.12**</w:t>
            </w:r>
          </w:p>
        </w:tc>
      </w:tr>
      <w:tr w:rsidR="0055428F" w:rsidRPr="0055428F" w14:paraId="1CC9B787" w14:textId="77777777" w:rsidTr="00F331D5">
        <w:trPr>
          <w:trHeight w:val="20"/>
        </w:trPr>
        <w:tc>
          <w:tcPr>
            <w:tcW w:w="3650" w:type="dxa"/>
            <w:tcBorders>
              <w:top w:val="nil"/>
              <w:left w:val="nil"/>
              <w:bottom w:val="nil"/>
              <w:right w:val="nil"/>
            </w:tcBorders>
            <w:shd w:val="clear" w:color="auto" w:fill="auto"/>
            <w:hideMark/>
          </w:tcPr>
          <w:p w14:paraId="22BD3462"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Gravy &amp; sauces</w:t>
            </w:r>
          </w:p>
        </w:tc>
        <w:tc>
          <w:tcPr>
            <w:tcW w:w="1040" w:type="dxa"/>
            <w:tcBorders>
              <w:top w:val="nil"/>
              <w:left w:val="nil"/>
              <w:bottom w:val="nil"/>
              <w:right w:val="nil"/>
            </w:tcBorders>
            <w:shd w:val="clear" w:color="auto" w:fill="auto"/>
            <w:hideMark/>
          </w:tcPr>
          <w:p w14:paraId="4F8F4A39"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0.06**</w:t>
            </w:r>
          </w:p>
        </w:tc>
        <w:tc>
          <w:tcPr>
            <w:tcW w:w="1040" w:type="dxa"/>
            <w:tcBorders>
              <w:top w:val="nil"/>
              <w:left w:val="nil"/>
              <w:bottom w:val="nil"/>
              <w:right w:val="nil"/>
            </w:tcBorders>
            <w:shd w:val="clear" w:color="auto" w:fill="auto"/>
            <w:noWrap/>
            <w:hideMark/>
          </w:tcPr>
          <w:p w14:paraId="471F5681"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w:t>
            </w:r>
          </w:p>
        </w:tc>
        <w:tc>
          <w:tcPr>
            <w:tcW w:w="1040" w:type="dxa"/>
            <w:tcBorders>
              <w:top w:val="nil"/>
              <w:left w:val="nil"/>
              <w:bottom w:val="nil"/>
              <w:right w:val="nil"/>
            </w:tcBorders>
            <w:shd w:val="clear" w:color="auto" w:fill="auto"/>
            <w:hideMark/>
          </w:tcPr>
          <w:p w14:paraId="18467EFD"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w:t>
            </w:r>
          </w:p>
        </w:tc>
        <w:tc>
          <w:tcPr>
            <w:tcW w:w="1040" w:type="dxa"/>
            <w:tcBorders>
              <w:top w:val="nil"/>
              <w:left w:val="nil"/>
              <w:bottom w:val="nil"/>
              <w:right w:val="nil"/>
            </w:tcBorders>
            <w:shd w:val="clear" w:color="auto" w:fill="auto"/>
            <w:noWrap/>
            <w:hideMark/>
          </w:tcPr>
          <w:p w14:paraId="63826781"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w:t>
            </w:r>
          </w:p>
        </w:tc>
      </w:tr>
      <w:tr w:rsidR="0055428F" w:rsidRPr="0055428F" w14:paraId="554151A5" w14:textId="77777777" w:rsidTr="00F331D5">
        <w:trPr>
          <w:trHeight w:val="20"/>
        </w:trPr>
        <w:tc>
          <w:tcPr>
            <w:tcW w:w="3650" w:type="dxa"/>
            <w:tcBorders>
              <w:top w:val="nil"/>
              <w:left w:val="nil"/>
              <w:bottom w:val="nil"/>
              <w:right w:val="nil"/>
            </w:tcBorders>
            <w:shd w:val="clear" w:color="auto" w:fill="auto"/>
            <w:hideMark/>
          </w:tcPr>
          <w:p w14:paraId="01926C98" w14:textId="77777777" w:rsidR="003B6529" w:rsidRPr="0055428F" w:rsidRDefault="003B6529" w:rsidP="003B6529">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Sweets</w:t>
            </w:r>
          </w:p>
        </w:tc>
        <w:tc>
          <w:tcPr>
            <w:tcW w:w="1040" w:type="dxa"/>
            <w:tcBorders>
              <w:top w:val="nil"/>
              <w:left w:val="nil"/>
              <w:bottom w:val="nil"/>
              <w:right w:val="nil"/>
            </w:tcBorders>
            <w:shd w:val="clear" w:color="auto" w:fill="auto"/>
            <w:hideMark/>
          </w:tcPr>
          <w:p w14:paraId="695CBFAF"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hideMark/>
          </w:tcPr>
          <w:p w14:paraId="26328CD2"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hideMark/>
          </w:tcPr>
          <w:p w14:paraId="7C5116F9"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hideMark/>
          </w:tcPr>
          <w:p w14:paraId="4DEB419F"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r>
      <w:tr w:rsidR="0055428F" w:rsidRPr="0055428F" w14:paraId="3773DFC0" w14:textId="77777777" w:rsidTr="00F331D5">
        <w:trPr>
          <w:trHeight w:val="20"/>
        </w:trPr>
        <w:tc>
          <w:tcPr>
            <w:tcW w:w="3650" w:type="dxa"/>
            <w:tcBorders>
              <w:top w:val="nil"/>
              <w:left w:val="nil"/>
              <w:bottom w:val="nil"/>
              <w:right w:val="nil"/>
            </w:tcBorders>
            <w:shd w:val="clear" w:color="auto" w:fill="auto"/>
            <w:hideMark/>
          </w:tcPr>
          <w:p w14:paraId="45E5FB76"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Desserts (exclude</w:t>
            </w:r>
            <w:r w:rsidR="00E1027B" w:rsidRPr="0055428F">
              <w:rPr>
                <w:rFonts w:ascii="Times New Roman" w:eastAsia="Times New Roman" w:hAnsi="Times New Roman" w:cs="Times New Roman"/>
                <w:sz w:val="20"/>
                <w:szCs w:val="20"/>
              </w:rPr>
              <w:t>s</w:t>
            </w:r>
            <w:r w:rsidRPr="0055428F">
              <w:rPr>
                <w:rFonts w:ascii="Times New Roman" w:eastAsia="Times New Roman" w:hAnsi="Times New Roman" w:cs="Times New Roman"/>
                <w:sz w:val="20"/>
                <w:szCs w:val="20"/>
              </w:rPr>
              <w:t xml:space="preserve"> dairy ice cream)</w:t>
            </w:r>
          </w:p>
        </w:tc>
        <w:tc>
          <w:tcPr>
            <w:tcW w:w="1040" w:type="dxa"/>
            <w:tcBorders>
              <w:top w:val="nil"/>
              <w:left w:val="nil"/>
              <w:bottom w:val="nil"/>
              <w:right w:val="nil"/>
            </w:tcBorders>
            <w:shd w:val="clear" w:color="auto" w:fill="auto"/>
            <w:hideMark/>
          </w:tcPr>
          <w:p w14:paraId="22ECB383"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0.04*</w:t>
            </w:r>
          </w:p>
        </w:tc>
        <w:tc>
          <w:tcPr>
            <w:tcW w:w="1040" w:type="dxa"/>
            <w:tcBorders>
              <w:top w:val="nil"/>
              <w:left w:val="nil"/>
              <w:bottom w:val="nil"/>
              <w:right w:val="nil"/>
            </w:tcBorders>
            <w:shd w:val="clear" w:color="auto" w:fill="auto"/>
            <w:hideMark/>
          </w:tcPr>
          <w:p w14:paraId="6DAF73AA"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0.08**</w:t>
            </w:r>
          </w:p>
        </w:tc>
        <w:tc>
          <w:tcPr>
            <w:tcW w:w="1040" w:type="dxa"/>
            <w:tcBorders>
              <w:top w:val="nil"/>
              <w:left w:val="nil"/>
              <w:bottom w:val="nil"/>
              <w:right w:val="nil"/>
            </w:tcBorders>
            <w:shd w:val="clear" w:color="auto" w:fill="auto"/>
            <w:noWrap/>
            <w:hideMark/>
          </w:tcPr>
          <w:p w14:paraId="7EF5411B"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w:t>
            </w:r>
          </w:p>
        </w:tc>
        <w:tc>
          <w:tcPr>
            <w:tcW w:w="1040" w:type="dxa"/>
            <w:tcBorders>
              <w:top w:val="nil"/>
              <w:left w:val="nil"/>
              <w:bottom w:val="nil"/>
              <w:right w:val="nil"/>
            </w:tcBorders>
            <w:shd w:val="clear" w:color="auto" w:fill="auto"/>
            <w:noWrap/>
            <w:hideMark/>
          </w:tcPr>
          <w:p w14:paraId="21CFAEDC"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-0.05**</w:t>
            </w:r>
          </w:p>
        </w:tc>
      </w:tr>
      <w:tr w:rsidR="0055428F" w:rsidRPr="0055428F" w14:paraId="0EC8B804" w14:textId="77777777" w:rsidTr="00F331D5">
        <w:trPr>
          <w:trHeight w:val="20"/>
        </w:trPr>
        <w:tc>
          <w:tcPr>
            <w:tcW w:w="3650" w:type="dxa"/>
            <w:tcBorders>
              <w:top w:val="nil"/>
              <w:left w:val="nil"/>
              <w:bottom w:val="nil"/>
              <w:right w:val="nil"/>
            </w:tcBorders>
            <w:shd w:val="clear" w:color="auto" w:fill="auto"/>
            <w:hideMark/>
          </w:tcPr>
          <w:p w14:paraId="735B9A92"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Candy and sugar</w:t>
            </w:r>
          </w:p>
        </w:tc>
        <w:tc>
          <w:tcPr>
            <w:tcW w:w="1040" w:type="dxa"/>
            <w:tcBorders>
              <w:top w:val="nil"/>
              <w:left w:val="nil"/>
              <w:bottom w:val="nil"/>
              <w:right w:val="nil"/>
            </w:tcBorders>
            <w:shd w:val="clear" w:color="auto" w:fill="auto"/>
            <w:noWrap/>
            <w:hideMark/>
          </w:tcPr>
          <w:p w14:paraId="1C45BA5E"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-0.06**</w:t>
            </w:r>
          </w:p>
        </w:tc>
        <w:tc>
          <w:tcPr>
            <w:tcW w:w="1040" w:type="dxa"/>
            <w:tcBorders>
              <w:top w:val="nil"/>
              <w:left w:val="nil"/>
              <w:bottom w:val="nil"/>
              <w:right w:val="nil"/>
            </w:tcBorders>
            <w:shd w:val="clear" w:color="auto" w:fill="auto"/>
            <w:hideMark/>
          </w:tcPr>
          <w:p w14:paraId="3A0B6E35"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0.07**</w:t>
            </w:r>
          </w:p>
        </w:tc>
        <w:tc>
          <w:tcPr>
            <w:tcW w:w="1040" w:type="dxa"/>
            <w:tcBorders>
              <w:top w:val="nil"/>
              <w:left w:val="nil"/>
              <w:bottom w:val="nil"/>
              <w:right w:val="nil"/>
            </w:tcBorders>
            <w:shd w:val="clear" w:color="auto" w:fill="auto"/>
            <w:noWrap/>
            <w:hideMark/>
          </w:tcPr>
          <w:p w14:paraId="638FBAB9"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-0.04*</w:t>
            </w:r>
          </w:p>
        </w:tc>
        <w:tc>
          <w:tcPr>
            <w:tcW w:w="1040" w:type="dxa"/>
            <w:tcBorders>
              <w:top w:val="nil"/>
              <w:left w:val="nil"/>
              <w:bottom w:val="nil"/>
              <w:right w:val="nil"/>
            </w:tcBorders>
            <w:shd w:val="clear" w:color="auto" w:fill="auto"/>
            <w:noWrap/>
            <w:hideMark/>
          </w:tcPr>
          <w:p w14:paraId="1BFB3263"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-0.08**</w:t>
            </w:r>
          </w:p>
        </w:tc>
      </w:tr>
      <w:tr w:rsidR="0055428F" w:rsidRPr="0055428F" w14:paraId="37259198" w14:textId="77777777" w:rsidTr="00F331D5">
        <w:trPr>
          <w:trHeight w:val="20"/>
        </w:trPr>
        <w:tc>
          <w:tcPr>
            <w:tcW w:w="3650" w:type="dxa"/>
            <w:tcBorders>
              <w:top w:val="nil"/>
              <w:left w:val="nil"/>
              <w:bottom w:val="nil"/>
              <w:right w:val="nil"/>
            </w:tcBorders>
            <w:shd w:val="clear" w:color="auto" w:fill="auto"/>
            <w:hideMark/>
          </w:tcPr>
          <w:p w14:paraId="45481FD5" w14:textId="77777777" w:rsidR="003B6529" w:rsidRPr="0055428F" w:rsidRDefault="003B6529" w:rsidP="003B6529">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Beverages</w:t>
            </w:r>
          </w:p>
        </w:tc>
        <w:tc>
          <w:tcPr>
            <w:tcW w:w="1040" w:type="dxa"/>
            <w:tcBorders>
              <w:top w:val="nil"/>
              <w:left w:val="nil"/>
              <w:bottom w:val="nil"/>
              <w:right w:val="nil"/>
            </w:tcBorders>
            <w:shd w:val="clear" w:color="auto" w:fill="auto"/>
            <w:noWrap/>
            <w:hideMark/>
          </w:tcPr>
          <w:p w14:paraId="7AFA18EC"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hideMark/>
          </w:tcPr>
          <w:p w14:paraId="679B212D"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hideMark/>
          </w:tcPr>
          <w:p w14:paraId="45549689"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hideMark/>
          </w:tcPr>
          <w:p w14:paraId="591FE1C8"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r>
      <w:tr w:rsidR="0055428F" w:rsidRPr="0055428F" w14:paraId="4A553FF9" w14:textId="77777777" w:rsidTr="00F331D5">
        <w:trPr>
          <w:trHeight w:val="20"/>
        </w:trPr>
        <w:tc>
          <w:tcPr>
            <w:tcW w:w="3650" w:type="dxa"/>
            <w:tcBorders>
              <w:top w:val="nil"/>
              <w:left w:val="nil"/>
              <w:bottom w:val="nil"/>
              <w:right w:val="nil"/>
            </w:tcBorders>
            <w:shd w:val="clear" w:color="auto" w:fill="auto"/>
            <w:hideMark/>
          </w:tcPr>
          <w:p w14:paraId="374F4930"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Alcohol</w:t>
            </w:r>
          </w:p>
        </w:tc>
        <w:tc>
          <w:tcPr>
            <w:tcW w:w="1040" w:type="dxa"/>
            <w:tcBorders>
              <w:top w:val="nil"/>
              <w:left w:val="nil"/>
              <w:bottom w:val="nil"/>
              <w:right w:val="nil"/>
            </w:tcBorders>
            <w:shd w:val="clear" w:color="auto" w:fill="auto"/>
            <w:noWrap/>
            <w:hideMark/>
          </w:tcPr>
          <w:p w14:paraId="77B78F86"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-0.05**</w:t>
            </w:r>
          </w:p>
        </w:tc>
        <w:tc>
          <w:tcPr>
            <w:tcW w:w="1040" w:type="dxa"/>
            <w:tcBorders>
              <w:top w:val="nil"/>
              <w:left w:val="nil"/>
              <w:bottom w:val="nil"/>
              <w:right w:val="nil"/>
            </w:tcBorders>
            <w:shd w:val="clear" w:color="auto" w:fill="auto"/>
            <w:noWrap/>
            <w:hideMark/>
          </w:tcPr>
          <w:p w14:paraId="580A06C2"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-0.08**</w:t>
            </w:r>
          </w:p>
        </w:tc>
        <w:tc>
          <w:tcPr>
            <w:tcW w:w="1040" w:type="dxa"/>
            <w:tcBorders>
              <w:top w:val="nil"/>
              <w:left w:val="nil"/>
              <w:bottom w:val="nil"/>
              <w:right w:val="nil"/>
            </w:tcBorders>
            <w:shd w:val="clear" w:color="auto" w:fill="auto"/>
            <w:hideMark/>
          </w:tcPr>
          <w:p w14:paraId="13B21CB7"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w:t>
            </w:r>
          </w:p>
        </w:tc>
        <w:tc>
          <w:tcPr>
            <w:tcW w:w="1040" w:type="dxa"/>
            <w:tcBorders>
              <w:top w:val="nil"/>
              <w:left w:val="nil"/>
              <w:bottom w:val="nil"/>
              <w:right w:val="nil"/>
            </w:tcBorders>
            <w:shd w:val="clear" w:color="auto" w:fill="auto"/>
            <w:noWrap/>
            <w:hideMark/>
          </w:tcPr>
          <w:p w14:paraId="330462F6"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-0.13**</w:t>
            </w:r>
          </w:p>
        </w:tc>
      </w:tr>
      <w:tr w:rsidR="0055428F" w:rsidRPr="0055428F" w14:paraId="180762E6" w14:textId="77777777" w:rsidTr="00F331D5">
        <w:trPr>
          <w:trHeight w:val="20"/>
        </w:trPr>
        <w:tc>
          <w:tcPr>
            <w:tcW w:w="3650" w:type="dxa"/>
            <w:tcBorders>
              <w:top w:val="nil"/>
              <w:left w:val="nil"/>
              <w:bottom w:val="nil"/>
              <w:right w:val="nil"/>
            </w:tcBorders>
            <w:shd w:val="clear" w:color="auto" w:fill="auto"/>
            <w:hideMark/>
          </w:tcPr>
          <w:p w14:paraId="43840DAC"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Regular &amp; diet soda</w:t>
            </w:r>
          </w:p>
        </w:tc>
        <w:tc>
          <w:tcPr>
            <w:tcW w:w="1040" w:type="dxa"/>
            <w:tcBorders>
              <w:top w:val="nil"/>
              <w:left w:val="nil"/>
              <w:bottom w:val="nil"/>
              <w:right w:val="nil"/>
            </w:tcBorders>
            <w:shd w:val="clear" w:color="auto" w:fill="auto"/>
            <w:hideMark/>
          </w:tcPr>
          <w:p w14:paraId="3C0D4DA3"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0.09**</w:t>
            </w:r>
          </w:p>
        </w:tc>
        <w:tc>
          <w:tcPr>
            <w:tcW w:w="1040" w:type="dxa"/>
            <w:tcBorders>
              <w:top w:val="nil"/>
              <w:left w:val="nil"/>
              <w:bottom w:val="nil"/>
              <w:right w:val="nil"/>
            </w:tcBorders>
            <w:shd w:val="clear" w:color="auto" w:fill="auto"/>
            <w:hideMark/>
          </w:tcPr>
          <w:p w14:paraId="65682AFF"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w:t>
            </w:r>
          </w:p>
        </w:tc>
        <w:tc>
          <w:tcPr>
            <w:tcW w:w="1040" w:type="dxa"/>
            <w:tcBorders>
              <w:top w:val="nil"/>
              <w:left w:val="nil"/>
              <w:bottom w:val="nil"/>
              <w:right w:val="nil"/>
            </w:tcBorders>
            <w:shd w:val="clear" w:color="auto" w:fill="auto"/>
            <w:noWrap/>
            <w:hideMark/>
          </w:tcPr>
          <w:p w14:paraId="68466F19"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-0.05**</w:t>
            </w:r>
          </w:p>
        </w:tc>
        <w:tc>
          <w:tcPr>
            <w:tcW w:w="1040" w:type="dxa"/>
            <w:tcBorders>
              <w:top w:val="nil"/>
              <w:left w:val="nil"/>
              <w:bottom w:val="nil"/>
              <w:right w:val="nil"/>
            </w:tcBorders>
            <w:shd w:val="clear" w:color="auto" w:fill="auto"/>
            <w:noWrap/>
            <w:hideMark/>
          </w:tcPr>
          <w:p w14:paraId="7120F296"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-0.12**</w:t>
            </w:r>
          </w:p>
        </w:tc>
      </w:tr>
      <w:tr w:rsidR="0055428F" w:rsidRPr="0055428F" w14:paraId="6229C71F" w14:textId="77777777" w:rsidTr="00F331D5">
        <w:trPr>
          <w:trHeight w:val="20"/>
        </w:trPr>
        <w:tc>
          <w:tcPr>
            <w:tcW w:w="3650" w:type="dxa"/>
            <w:tcBorders>
              <w:top w:val="nil"/>
              <w:left w:val="nil"/>
              <w:bottom w:val="nil"/>
              <w:right w:val="nil"/>
            </w:tcBorders>
            <w:shd w:val="clear" w:color="auto" w:fill="auto"/>
            <w:hideMark/>
          </w:tcPr>
          <w:p w14:paraId="6E69D583"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Coffee &amp; tea</w:t>
            </w:r>
          </w:p>
        </w:tc>
        <w:tc>
          <w:tcPr>
            <w:tcW w:w="1040" w:type="dxa"/>
            <w:tcBorders>
              <w:top w:val="nil"/>
              <w:left w:val="nil"/>
              <w:bottom w:val="nil"/>
              <w:right w:val="nil"/>
            </w:tcBorders>
            <w:shd w:val="clear" w:color="auto" w:fill="auto"/>
            <w:hideMark/>
          </w:tcPr>
          <w:p w14:paraId="6D30F920"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0.11**</w:t>
            </w:r>
          </w:p>
        </w:tc>
        <w:tc>
          <w:tcPr>
            <w:tcW w:w="1040" w:type="dxa"/>
            <w:tcBorders>
              <w:top w:val="nil"/>
              <w:left w:val="nil"/>
              <w:bottom w:val="nil"/>
              <w:right w:val="nil"/>
            </w:tcBorders>
            <w:shd w:val="clear" w:color="auto" w:fill="auto"/>
            <w:hideMark/>
          </w:tcPr>
          <w:p w14:paraId="0AD22841"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0.05**</w:t>
            </w:r>
          </w:p>
        </w:tc>
        <w:tc>
          <w:tcPr>
            <w:tcW w:w="1040" w:type="dxa"/>
            <w:tcBorders>
              <w:top w:val="nil"/>
              <w:left w:val="nil"/>
              <w:bottom w:val="nil"/>
              <w:right w:val="nil"/>
            </w:tcBorders>
            <w:shd w:val="clear" w:color="auto" w:fill="auto"/>
            <w:hideMark/>
          </w:tcPr>
          <w:p w14:paraId="3B5F012F"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0.09**</w:t>
            </w:r>
          </w:p>
        </w:tc>
        <w:tc>
          <w:tcPr>
            <w:tcW w:w="1040" w:type="dxa"/>
            <w:tcBorders>
              <w:top w:val="nil"/>
              <w:left w:val="nil"/>
              <w:bottom w:val="nil"/>
              <w:right w:val="nil"/>
            </w:tcBorders>
            <w:shd w:val="clear" w:color="auto" w:fill="auto"/>
            <w:noWrap/>
            <w:hideMark/>
          </w:tcPr>
          <w:p w14:paraId="46BD2B0F"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-0.04*</w:t>
            </w:r>
          </w:p>
        </w:tc>
      </w:tr>
      <w:tr w:rsidR="0055428F" w:rsidRPr="0055428F" w14:paraId="01B38027" w14:textId="77777777" w:rsidTr="00F331D5">
        <w:trPr>
          <w:trHeight w:val="20"/>
        </w:trPr>
        <w:tc>
          <w:tcPr>
            <w:tcW w:w="3650" w:type="dxa"/>
            <w:tcBorders>
              <w:top w:val="nil"/>
              <w:left w:val="nil"/>
              <w:bottom w:val="nil"/>
              <w:right w:val="nil"/>
            </w:tcBorders>
            <w:shd w:val="clear" w:color="auto" w:fill="auto"/>
            <w:hideMark/>
          </w:tcPr>
          <w:p w14:paraId="77C8E6F2" w14:textId="77777777" w:rsidR="003B6529" w:rsidRPr="0055428F" w:rsidRDefault="003B6529" w:rsidP="003B6529">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Other</w:t>
            </w:r>
          </w:p>
        </w:tc>
        <w:tc>
          <w:tcPr>
            <w:tcW w:w="1040" w:type="dxa"/>
            <w:tcBorders>
              <w:top w:val="nil"/>
              <w:left w:val="nil"/>
              <w:bottom w:val="nil"/>
              <w:right w:val="nil"/>
            </w:tcBorders>
            <w:shd w:val="clear" w:color="auto" w:fill="auto"/>
            <w:hideMark/>
          </w:tcPr>
          <w:p w14:paraId="7150C753"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hideMark/>
          </w:tcPr>
          <w:p w14:paraId="42FBAD45"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hideMark/>
          </w:tcPr>
          <w:p w14:paraId="4C32FC1E"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hideMark/>
          </w:tcPr>
          <w:p w14:paraId="5AFEF2BF"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p>
        </w:tc>
      </w:tr>
      <w:tr w:rsidR="0055428F" w:rsidRPr="0055428F" w14:paraId="65E6C2C7" w14:textId="77777777" w:rsidTr="00F331D5">
        <w:trPr>
          <w:trHeight w:val="20"/>
        </w:trPr>
        <w:tc>
          <w:tcPr>
            <w:tcW w:w="3650" w:type="dxa"/>
            <w:tcBorders>
              <w:top w:val="nil"/>
              <w:left w:val="nil"/>
              <w:bottom w:val="nil"/>
              <w:right w:val="nil"/>
            </w:tcBorders>
            <w:shd w:val="clear" w:color="auto" w:fill="auto"/>
            <w:hideMark/>
          </w:tcPr>
          <w:p w14:paraId="5E4807D2"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Milk substitutes</w:t>
            </w:r>
          </w:p>
        </w:tc>
        <w:tc>
          <w:tcPr>
            <w:tcW w:w="1040" w:type="dxa"/>
            <w:tcBorders>
              <w:top w:val="nil"/>
              <w:left w:val="nil"/>
              <w:bottom w:val="nil"/>
              <w:right w:val="nil"/>
            </w:tcBorders>
            <w:shd w:val="clear" w:color="auto" w:fill="auto"/>
            <w:noWrap/>
            <w:hideMark/>
          </w:tcPr>
          <w:p w14:paraId="0C60F137"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-0.07**</w:t>
            </w:r>
          </w:p>
        </w:tc>
        <w:tc>
          <w:tcPr>
            <w:tcW w:w="1040" w:type="dxa"/>
            <w:tcBorders>
              <w:top w:val="nil"/>
              <w:left w:val="nil"/>
              <w:bottom w:val="nil"/>
              <w:right w:val="nil"/>
            </w:tcBorders>
            <w:shd w:val="clear" w:color="auto" w:fill="auto"/>
            <w:noWrap/>
            <w:hideMark/>
          </w:tcPr>
          <w:p w14:paraId="7E128100"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-0.08**</w:t>
            </w:r>
          </w:p>
        </w:tc>
        <w:tc>
          <w:tcPr>
            <w:tcW w:w="1040" w:type="dxa"/>
            <w:tcBorders>
              <w:top w:val="nil"/>
              <w:left w:val="nil"/>
              <w:bottom w:val="nil"/>
              <w:right w:val="nil"/>
            </w:tcBorders>
            <w:shd w:val="clear" w:color="auto" w:fill="auto"/>
            <w:hideMark/>
          </w:tcPr>
          <w:p w14:paraId="26EBDBC8"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w:t>
            </w:r>
          </w:p>
        </w:tc>
        <w:tc>
          <w:tcPr>
            <w:tcW w:w="1040" w:type="dxa"/>
            <w:tcBorders>
              <w:top w:val="nil"/>
              <w:left w:val="nil"/>
              <w:bottom w:val="nil"/>
              <w:right w:val="nil"/>
            </w:tcBorders>
            <w:shd w:val="clear" w:color="auto" w:fill="auto"/>
            <w:hideMark/>
          </w:tcPr>
          <w:p w14:paraId="415B4805"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w:t>
            </w:r>
          </w:p>
        </w:tc>
      </w:tr>
      <w:tr w:rsidR="0055428F" w:rsidRPr="0055428F" w14:paraId="3D7A1DDC" w14:textId="77777777" w:rsidTr="00F331D5">
        <w:trPr>
          <w:trHeight w:val="20"/>
        </w:trPr>
        <w:tc>
          <w:tcPr>
            <w:tcW w:w="3650" w:type="dxa"/>
            <w:tcBorders>
              <w:top w:val="nil"/>
              <w:left w:val="nil"/>
              <w:bottom w:val="nil"/>
              <w:right w:val="nil"/>
            </w:tcBorders>
            <w:shd w:val="clear" w:color="auto" w:fill="auto"/>
            <w:hideMark/>
          </w:tcPr>
          <w:p w14:paraId="60CB39C3"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Condiments &amp; spices</w:t>
            </w:r>
          </w:p>
        </w:tc>
        <w:tc>
          <w:tcPr>
            <w:tcW w:w="1040" w:type="dxa"/>
            <w:tcBorders>
              <w:top w:val="nil"/>
              <w:left w:val="nil"/>
              <w:bottom w:val="nil"/>
              <w:right w:val="nil"/>
            </w:tcBorders>
            <w:shd w:val="clear" w:color="auto" w:fill="auto"/>
            <w:hideMark/>
          </w:tcPr>
          <w:p w14:paraId="6F73D623"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w:t>
            </w:r>
          </w:p>
        </w:tc>
        <w:tc>
          <w:tcPr>
            <w:tcW w:w="1040" w:type="dxa"/>
            <w:tcBorders>
              <w:top w:val="nil"/>
              <w:left w:val="nil"/>
              <w:bottom w:val="nil"/>
              <w:right w:val="nil"/>
            </w:tcBorders>
            <w:shd w:val="clear" w:color="auto" w:fill="auto"/>
            <w:hideMark/>
          </w:tcPr>
          <w:p w14:paraId="49EAF6EC"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w:t>
            </w:r>
          </w:p>
        </w:tc>
        <w:tc>
          <w:tcPr>
            <w:tcW w:w="1040" w:type="dxa"/>
            <w:tcBorders>
              <w:top w:val="nil"/>
              <w:left w:val="nil"/>
              <w:bottom w:val="nil"/>
              <w:right w:val="nil"/>
            </w:tcBorders>
            <w:shd w:val="clear" w:color="auto" w:fill="auto"/>
            <w:hideMark/>
          </w:tcPr>
          <w:p w14:paraId="560F9F77"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w:t>
            </w:r>
          </w:p>
        </w:tc>
        <w:tc>
          <w:tcPr>
            <w:tcW w:w="1040" w:type="dxa"/>
            <w:tcBorders>
              <w:top w:val="nil"/>
              <w:left w:val="nil"/>
              <w:bottom w:val="nil"/>
              <w:right w:val="nil"/>
            </w:tcBorders>
            <w:shd w:val="clear" w:color="auto" w:fill="auto"/>
            <w:hideMark/>
          </w:tcPr>
          <w:p w14:paraId="30656901"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w:t>
            </w:r>
          </w:p>
        </w:tc>
      </w:tr>
      <w:tr w:rsidR="0055428F" w:rsidRPr="0055428F" w14:paraId="110D5B31" w14:textId="77777777" w:rsidTr="00F331D5">
        <w:trPr>
          <w:trHeight w:val="20"/>
        </w:trPr>
        <w:tc>
          <w:tcPr>
            <w:tcW w:w="3650" w:type="dxa"/>
            <w:tcBorders>
              <w:top w:val="nil"/>
              <w:left w:val="nil"/>
              <w:bottom w:val="nil"/>
              <w:right w:val="nil"/>
            </w:tcBorders>
            <w:shd w:val="clear" w:color="auto" w:fill="auto"/>
            <w:hideMark/>
          </w:tcPr>
          <w:p w14:paraId="10D85A3D"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Supplements &amp; meal replacements</w:t>
            </w:r>
          </w:p>
        </w:tc>
        <w:tc>
          <w:tcPr>
            <w:tcW w:w="1040" w:type="dxa"/>
            <w:tcBorders>
              <w:top w:val="nil"/>
              <w:left w:val="nil"/>
              <w:bottom w:val="nil"/>
              <w:right w:val="nil"/>
            </w:tcBorders>
            <w:shd w:val="clear" w:color="auto" w:fill="auto"/>
            <w:noWrap/>
            <w:hideMark/>
          </w:tcPr>
          <w:p w14:paraId="570A9D6A"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w:t>
            </w:r>
          </w:p>
        </w:tc>
        <w:tc>
          <w:tcPr>
            <w:tcW w:w="1040" w:type="dxa"/>
            <w:tcBorders>
              <w:top w:val="nil"/>
              <w:left w:val="nil"/>
              <w:bottom w:val="nil"/>
              <w:right w:val="nil"/>
            </w:tcBorders>
            <w:shd w:val="clear" w:color="auto" w:fill="auto"/>
            <w:noWrap/>
            <w:hideMark/>
          </w:tcPr>
          <w:p w14:paraId="4D45E1BF"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w:t>
            </w:r>
          </w:p>
        </w:tc>
        <w:tc>
          <w:tcPr>
            <w:tcW w:w="1040" w:type="dxa"/>
            <w:tcBorders>
              <w:top w:val="nil"/>
              <w:left w:val="nil"/>
              <w:bottom w:val="nil"/>
              <w:right w:val="nil"/>
            </w:tcBorders>
            <w:shd w:val="clear" w:color="auto" w:fill="auto"/>
            <w:hideMark/>
          </w:tcPr>
          <w:p w14:paraId="0CF227FE"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w:t>
            </w:r>
          </w:p>
        </w:tc>
        <w:tc>
          <w:tcPr>
            <w:tcW w:w="1040" w:type="dxa"/>
            <w:tcBorders>
              <w:top w:val="nil"/>
              <w:left w:val="nil"/>
              <w:bottom w:val="nil"/>
              <w:right w:val="nil"/>
            </w:tcBorders>
            <w:shd w:val="clear" w:color="auto" w:fill="auto"/>
            <w:hideMark/>
          </w:tcPr>
          <w:p w14:paraId="40F4F950"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w:t>
            </w:r>
          </w:p>
        </w:tc>
      </w:tr>
      <w:tr w:rsidR="0055428F" w:rsidRPr="0055428F" w14:paraId="3B574150" w14:textId="77777777" w:rsidTr="00F331D5">
        <w:trPr>
          <w:trHeight w:val="20"/>
        </w:trPr>
        <w:tc>
          <w:tcPr>
            <w:tcW w:w="3650" w:type="dxa"/>
            <w:tcBorders>
              <w:top w:val="nil"/>
              <w:left w:val="nil"/>
              <w:bottom w:val="single" w:sz="4" w:space="0" w:color="auto"/>
              <w:right w:val="nil"/>
            </w:tcBorders>
            <w:shd w:val="clear" w:color="auto" w:fill="auto"/>
            <w:hideMark/>
          </w:tcPr>
          <w:p w14:paraId="48701435" w14:textId="77777777" w:rsidR="003B6529" w:rsidRPr="0055428F" w:rsidRDefault="003B6529" w:rsidP="003B6529">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Commercial entrees</w:t>
            </w:r>
          </w:p>
        </w:tc>
        <w:tc>
          <w:tcPr>
            <w:tcW w:w="1040" w:type="dxa"/>
            <w:tcBorders>
              <w:top w:val="nil"/>
              <w:left w:val="nil"/>
              <w:bottom w:val="single" w:sz="4" w:space="0" w:color="auto"/>
              <w:right w:val="nil"/>
            </w:tcBorders>
            <w:shd w:val="clear" w:color="auto" w:fill="auto"/>
            <w:hideMark/>
          </w:tcPr>
          <w:p w14:paraId="0EC411F2"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w:t>
            </w:r>
          </w:p>
        </w:tc>
        <w:tc>
          <w:tcPr>
            <w:tcW w:w="1040" w:type="dxa"/>
            <w:tcBorders>
              <w:top w:val="nil"/>
              <w:left w:val="nil"/>
              <w:bottom w:val="single" w:sz="4" w:space="0" w:color="auto"/>
              <w:right w:val="nil"/>
            </w:tcBorders>
            <w:shd w:val="clear" w:color="auto" w:fill="auto"/>
            <w:hideMark/>
          </w:tcPr>
          <w:p w14:paraId="12F1187B"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w:t>
            </w:r>
          </w:p>
        </w:tc>
        <w:tc>
          <w:tcPr>
            <w:tcW w:w="1040" w:type="dxa"/>
            <w:tcBorders>
              <w:top w:val="nil"/>
              <w:left w:val="nil"/>
              <w:bottom w:val="single" w:sz="4" w:space="0" w:color="auto"/>
              <w:right w:val="nil"/>
            </w:tcBorders>
            <w:shd w:val="clear" w:color="auto" w:fill="auto"/>
            <w:noWrap/>
            <w:hideMark/>
          </w:tcPr>
          <w:p w14:paraId="4644D690"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w:t>
            </w:r>
          </w:p>
        </w:tc>
        <w:tc>
          <w:tcPr>
            <w:tcW w:w="1040" w:type="dxa"/>
            <w:tcBorders>
              <w:top w:val="nil"/>
              <w:left w:val="nil"/>
              <w:bottom w:val="single" w:sz="4" w:space="0" w:color="auto"/>
              <w:right w:val="nil"/>
            </w:tcBorders>
            <w:shd w:val="clear" w:color="auto" w:fill="auto"/>
            <w:hideMark/>
          </w:tcPr>
          <w:p w14:paraId="59E82EC6" w14:textId="77777777" w:rsidR="003B6529" w:rsidRPr="0055428F" w:rsidRDefault="003B6529" w:rsidP="001140F0">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w:t>
            </w:r>
          </w:p>
        </w:tc>
      </w:tr>
      <w:tr w:rsidR="00313ACA" w:rsidRPr="0055428F" w14:paraId="19017D75" w14:textId="77777777" w:rsidTr="00F331D5">
        <w:trPr>
          <w:trHeight w:val="20"/>
        </w:trPr>
        <w:tc>
          <w:tcPr>
            <w:tcW w:w="7810" w:type="dxa"/>
            <w:gridSpan w:val="5"/>
            <w:tcBorders>
              <w:top w:val="single" w:sz="4" w:space="0" w:color="auto"/>
              <w:left w:val="nil"/>
              <w:bottom w:val="nil"/>
              <w:right w:val="nil"/>
            </w:tcBorders>
            <w:shd w:val="clear" w:color="auto" w:fill="auto"/>
            <w:hideMark/>
          </w:tcPr>
          <w:p w14:paraId="1D717CAC" w14:textId="77777777" w:rsidR="00E64CED" w:rsidRPr="0055428F" w:rsidRDefault="00E64CED" w:rsidP="00F331D5">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rPr>
              <w:t xml:space="preserve">Values are </w:t>
            </w:r>
            <w:r w:rsidR="009249BE" w:rsidRPr="0055428F">
              <w:rPr>
                <w:rFonts w:ascii="Times New Roman" w:eastAsia="Times New Roman" w:hAnsi="Times New Roman" w:cs="Times New Roman"/>
                <w:sz w:val="20"/>
                <w:szCs w:val="20"/>
              </w:rPr>
              <w:t xml:space="preserve">partial </w:t>
            </w:r>
            <w:r w:rsidRPr="0055428F">
              <w:rPr>
                <w:rFonts w:ascii="Times New Roman" w:eastAsia="Times New Roman" w:hAnsi="Times New Roman" w:cs="Times New Roman"/>
                <w:sz w:val="20"/>
                <w:szCs w:val="20"/>
              </w:rPr>
              <w:t xml:space="preserve">spearman correlation coefficients adjusted for age, sex, and total energy. Food category </w:t>
            </w:r>
            <w:r w:rsidR="009B25D1" w:rsidRPr="0055428F">
              <w:rPr>
                <w:rFonts w:ascii="Times New Roman" w:eastAsia="Times New Roman" w:hAnsi="Times New Roman" w:cs="Times New Roman"/>
                <w:sz w:val="20"/>
                <w:szCs w:val="20"/>
              </w:rPr>
              <w:t>intakes</w:t>
            </w:r>
            <w:r w:rsidRPr="0055428F">
              <w:rPr>
                <w:rFonts w:ascii="Times New Roman" w:eastAsia="Times New Roman" w:hAnsi="Times New Roman" w:cs="Times New Roman"/>
                <w:sz w:val="20"/>
                <w:szCs w:val="20"/>
              </w:rPr>
              <w:t xml:space="preserve"> were estimated using the mean of two 24-hr recalls</w:t>
            </w:r>
            <w:r w:rsidR="009249BE" w:rsidRPr="0055428F">
              <w:rPr>
                <w:rFonts w:ascii="Times New Roman" w:eastAsia="Times New Roman" w:hAnsi="Times New Roman" w:cs="Times New Roman"/>
                <w:sz w:val="20"/>
                <w:szCs w:val="20"/>
              </w:rPr>
              <w:t xml:space="preserve"> among </w:t>
            </w:r>
            <w:r w:rsidR="009B25D1" w:rsidRPr="0055428F">
              <w:rPr>
                <w:rFonts w:ascii="Times New Roman" w:eastAsia="Times New Roman" w:hAnsi="Times New Roman" w:cs="Times New Roman"/>
                <w:sz w:val="20"/>
                <w:szCs w:val="20"/>
              </w:rPr>
              <w:t>participants</w:t>
            </w:r>
            <w:r w:rsidR="009249BE" w:rsidRPr="0055428F">
              <w:rPr>
                <w:rFonts w:ascii="Times New Roman" w:eastAsia="Times New Roman" w:hAnsi="Times New Roman" w:cs="Times New Roman"/>
                <w:sz w:val="20"/>
                <w:szCs w:val="20"/>
              </w:rPr>
              <w:t xml:space="preserve"> with valid</w:t>
            </w:r>
            <w:r w:rsidR="009B25D1" w:rsidRPr="0055428F">
              <w:rPr>
                <w:rFonts w:ascii="Times New Roman" w:eastAsia="Times New Roman" w:hAnsi="Times New Roman" w:cs="Times New Roman"/>
                <w:sz w:val="20"/>
                <w:szCs w:val="20"/>
              </w:rPr>
              <w:t xml:space="preserve"> data</w:t>
            </w:r>
            <w:r w:rsidR="009249BE" w:rsidRPr="0055428F">
              <w:rPr>
                <w:rFonts w:ascii="Times New Roman" w:eastAsia="Times New Roman" w:hAnsi="Times New Roman" w:cs="Times New Roman"/>
                <w:sz w:val="20"/>
                <w:szCs w:val="20"/>
              </w:rPr>
              <w:t xml:space="preserve"> (n=8,435)</w:t>
            </w:r>
            <w:r w:rsidRPr="0055428F">
              <w:rPr>
                <w:rFonts w:ascii="Times New Roman" w:eastAsia="Times New Roman" w:hAnsi="Times New Roman" w:cs="Times New Roman"/>
                <w:sz w:val="20"/>
                <w:szCs w:val="20"/>
              </w:rPr>
              <w:t>. *</w:t>
            </w:r>
            <w:r w:rsidRPr="0055428F">
              <w:rPr>
                <w:rFonts w:ascii="Times New Roman" w:eastAsia="Times New Roman" w:hAnsi="Times New Roman" w:cs="Times New Roman"/>
                <w:i/>
                <w:iCs/>
                <w:sz w:val="20"/>
                <w:szCs w:val="20"/>
              </w:rPr>
              <w:t>P</w:t>
            </w:r>
            <w:r w:rsidRPr="0055428F">
              <w:rPr>
                <w:rFonts w:ascii="Times New Roman" w:eastAsia="Times New Roman" w:hAnsi="Times New Roman" w:cs="Times New Roman"/>
                <w:sz w:val="20"/>
                <w:szCs w:val="20"/>
              </w:rPr>
              <w:t>&lt;0.05, **</w:t>
            </w:r>
            <w:r w:rsidRPr="0055428F">
              <w:rPr>
                <w:rFonts w:ascii="Times New Roman" w:eastAsia="Times New Roman" w:hAnsi="Times New Roman" w:cs="Times New Roman"/>
                <w:i/>
                <w:iCs/>
                <w:sz w:val="20"/>
                <w:szCs w:val="20"/>
              </w:rPr>
              <w:t>P</w:t>
            </w:r>
            <w:r w:rsidRPr="0055428F">
              <w:rPr>
                <w:rFonts w:ascii="Times New Roman" w:eastAsia="Times New Roman" w:hAnsi="Times New Roman" w:cs="Times New Roman"/>
                <w:sz w:val="20"/>
                <w:szCs w:val="20"/>
              </w:rPr>
              <w:t>&lt;0.0001</w:t>
            </w:r>
          </w:p>
          <w:p w14:paraId="25C88776" w14:textId="77777777" w:rsidR="00E1027B" w:rsidRPr="0055428F" w:rsidRDefault="00E1027B" w:rsidP="00F331D5">
            <w:pPr>
              <w:spacing w:after="0" w:line="240" w:lineRule="auto"/>
              <w:rPr>
                <w:rFonts w:ascii="Times New Roman" w:eastAsia="Times New Roman" w:hAnsi="Times New Roman" w:cs="Times New Roman"/>
                <w:sz w:val="20"/>
                <w:szCs w:val="20"/>
              </w:rPr>
            </w:pPr>
          </w:p>
        </w:tc>
      </w:tr>
    </w:tbl>
    <w:p w14:paraId="69369ED5" w14:textId="01979FE2" w:rsidR="00FD362E" w:rsidRPr="0055428F" w:rsidRDefault="00FD362E" w:rsidP="006A0D34">
      <w:pPr>
        <w:rPr>
          <w:rFonts w:ascii="Times New Roman" w:hAnsi="Times New Roman" w:cs="Times New Roman"/>
        </w:rPr>
      </w:pPr>
    </w:p>
    <w:p w14:paraId="30DD5EEB" w14:textId="77777777" w:rsidR="00FD362E" w:rsidRPr="0055428F" w:rsidRDefault="00FD362E">
      <w:pPr>
        <w:rPr>
          <w:rFonts w:ascii="Times New Roman" w:hAnsi="Times New Roman" w:cs="Times New Roman"/>
        </w:rPr>
      </w:pPr>
      <w:r w:rsidRPr="0055428F">
        <w:rPr>
          <w:rFonts w:ascii="Times New Roman" w:hAnsi="Times New Roman" w:cs="Times New Roman"/>
        </w:rPr>
        <w:br w:type="page"/>
      </w:r>
    </w:p>
    <w:p w14:paraId="2A07A026" w14:textId="77777777" w:rsidR="00E64CED" w:rsidRPr="0055428F" w:rsidRDefault="00E64CED" w:rsidP="006A0D34">
      <w:pPr>
        <w:rPr>
          <w:rFonts w:ascii="Times New Roman" w:hAnsi="Times New Roman" w:cs="Times New Roman"/>
        </w:rPr>
        <w:sectPr w:rsidR="00E64CED" w:rsidRPr="0055428F" w:rsidSect="00741E1C">
          <w:footerReference w:type="default" r:id="rId8"/>
          <w:pgSz w:w="12240" w:h="15840"/>
          <w:pgMar w:top="1440" w:right="1440" w:bottom="1440" w:left="1440" w:header="720" w:footer="720" w:gutter="0"/>
          <w:cols w:space="720"/>
          <w:docGrid w:linePitch="360"/>
        </w:sectPr>
      </w:pPr>
    </w:p>
    <w:tbl>
      <w:tblPr>
        <w:tblW w:w="11325" w:type="dxa"/>
        <w:jc w:val="center"/>
        <w:tblBorders>
          <w:top w:val="single" w:sz="6" w:space="0" w:color="C1C1C1"/>
          <w:left w:val="single" w:sz="6" w:space="0" w:color="C1C1C1"/>
          <w:bottom w:val="single" w:sz="2" w:space="0" w:color="C1C1C1"/>
          <w:right w:val="single" w:sz="2" w:space="0" w:color="C1C1C1"/>
        </w:tblBorders>
        <w:tblCellMar>
          <w:top w:w="60" w:type="dxa"/>
          <w:left w:w="60" w:type="dxa"/>
          <w:bottom w:w="60" w:type="dxa"/>
          <w:right w:w="60" w:type="dxa"/>
        </w:tblCellMar>
        <w:tblLook w:val="04A0" w:firstRow="1" w:lastRow="0" w:firstColumn="1" w:lastColumn="0" w:noHBand="0" w:noVBand="1"/>
        <w:tblDescription w:val="Procedure Print: Data Set WORK.Y7"/>
      </w:tblPr>
      <w:tblGrid>
        <w:gridCol w:w="2967"/>
        <w:gridCol w:w="1288"/>
        <w:gridCol w:w="1358"/>
        <w:gridCol w:w="1463"/>
        <w:gridCol w:w="1568"/>
        <w:gridCol w:w="1393"/>
        <w:gridCol w:w="1288"/>
      </w:tblGrid>
      <w:tr w:rsidR="0055428F" w:rsidRPr="0055428F" w14:paraId="3B176084" w14:textId="77777777" w:rsidTr="002C3F55">
        <w:trPr>
          <w:trHeight w:val="126"/>
          <w:tblHeader/>
          <w:jc w:val="center"/>
        </w:trPr>
        <w:tc>
          <w:tcPr>
            <w:tcW w:w="11325" w:type="dxa"/>
            <w:gridSpan w:val="7"/>
            <w:tcBorders>
              <w:top w:val="nil"/>
              <w:left w:val="nil"/>
              <w:bottom w:val="single" w:sz="4" w:space="0" w:color="auto"/>
              <w:right w:val="nil"/>
            </w:tcBorders>
          </w:tcPr>
          <w:p w14:paraId="25D6C384" w14:textId="545A8F41" w:rsidR="00AC5CE1" w:rsidRPr="0055428F" w:rsidRDefault="00AC5CE1" w:rsidP="00FD362E">
            <w:pPr>
              <w:spacing w:after="0" w:line="240" w:lineRule="auto"/>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lastRenderedPageBreak/>
              <w:t xml:space="preserve">Supplementary Table 2. </w:t>
            </w:r>
            <w:r w:rsidR="00DC59B3" w:rsidRPr="0055428F">
              <w:rPr>
                <w:rFonts w:ascii="Times New Roman" w:eastAsia="Times New Roman" w:hAnsi="Times New Roman" w:cs="Times New Roman"/>
                <w:b/>
                <w:bCs/>
                <w:sz w:val="20"/>
                <w:szCs w:val="20"/>
              </w:rPr>
              <w:t>Distribution of c</w:t>
            </w:r>
            <w:r w:rsidRPr="0055428F">
              <w:rPr>
                <w:rFonts w:ascii="Times New Roman" w:eastAsia="Times New Roman" w:hAnsi="Times New Roman" w:cs="Times New Roman"/>
                <w:b/>
                <w:bCs/>
                <w:sz w:val="20"/>
                <w:szCs w:val="20"/>
              </w:rPr>
              <w:t>ognitive test scores</w:t>
            </w:r>
          </w:p>
        </w:tc>
      </w:tr>
      <w:tr w:rsidR="0055428F" w:rsidRPr="0055428F" w14:paraId="736705DF" w14:textId="77777777" w:rsidTr="002C3F55">
        <w:trPr>
          <w:trHeight w:val="119"/>
          <w:tblHeader/>
          <w:jc w:val="center"/>
        </w:trPr>
        <w:tc>
          <w:tcPr>
            <w:tcW w:w="2833" w:type="dxa"/>
            <w:vMerge w:val="restart"/>
            <w:tcBorders>
              <w:top w:val="single" w:sz="4" w:space="0" w:color="auto"/>
              <w:left w:val="nil"/>
              <w:right w:val="nil"/>
            </w:tcBorders>
            <w:vAlign w:val="center"/>
          </w:tcPr>
          <w:p w14:paraId="0ADE7F53" w14:textId="77777777" w:rsidR="002C3F55" w:rsidRPr="0055428F" w:rsidRDefault="002C3F55" w:rsidP="00FD362E">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Cognitive test</w:t>
            </w:r>
          </w:p>
        </w:tc>
        <w:tc>
          <w:tcPr>
            <w:tcW w:w="0" w:type="auto"/>
            <w:vMerge w:val="restart"/>
            <w:tcBorders>
              <w:top w:val="single" w:sz="4" w:space="0" w:color="auto"/>
              <w:left w:val="nil"/>
              <w:right w:val="nil"/>
            </w:tcBorders>
            <w:vAlign w:val="center"/>
          </w:tcPr>
          <w:p w14:paraId="14C73EB0" w14:textId="766EF100" w:rsidR="002C3F55" w:rsidRPr="0055428F" w:rsidRDefault="002C3F55" w:rsidP="00FD362E">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Mean</w:t>
            </w:r>
            <w:r w:rsidRPr="0055428F">
              <w:rPr>
                <w:rFonts w:ascii="inherit" w:hAnsi="inherit" w:cs="Arial"/>
                <w:vertAlign w:val="superscript"/>
              </w:rPr>
              <w:t>†</w:t>
            </w:r>
          </w:p>
        </w:tc>
        <w:tc>
          <w:tcPr>
            <w:tcW w:w="0" w:type="auto"/>
            <w:gridSpan w:val="5"/>
            <w:tcBorders>
              <w:top w:val="single" w:sz="4" w:space="0" w:color="auto"/>
              <w:left w:val="nil"/>
              <w:bottom w:val="single" w:sz="4" w:space="0" w:color="auto"/>
              <w:right w:val="nil"/>
            </w:tcBorders>
            <w:vAlign w:val="center"/>
          </w:tcPr>
          <w:p w14:paraId="3ABCADDF" w14:textId="7265AC3A" w:rsidR="002C3F55" w:rsidRPr="0055428F" w:rsidRDefault="002C3F55" w:rsidP="00FD362E">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Percentiles</w:t>
            </w:r>
            <w:r w:rsidRPr="0055428F">
              <w:rPr>
                <w:rFonts w:ascii="inherit" w:hAnsi="inherit" w:cs="Arial"/>
                <w:vertAlign w:val="superscript"/>
              </w:rPr>
              <w:t>†</w:t>
            </w:r>
          </w:p>
        </w:tc>
      </w:tr>
      <w:tr w:rsidR="0055428F" w:rsidRPr="0055428F" w14:paraId="4E0FEAC0" w14:textId="77777777" w:rsidTr="002C3F55">
        <w:trPr>
          <w:trHeight w:val="20"/>
          <w:tblHeader/>
          <w:jc w:val="center"/>
        </w:trPr>
        <w:tc>
          <w:tcPr>
            <w:tcW w:w="2833" w:type="dxa"/>
            <w:vMerge/>
            <w:tcBorders>
              <w:top w:val="single" w:sz="4" w:space="0" w:color="auto"/>
              <w:left w:val="nil"/>
              <w:bottom w:val="single" w:sz="4" w:space="0" w:color="auto"/>
              <w:right w:val="nil"/>
            </w:tcBorders>
            <w:vAlign w:val="center"/>
            <w:hideMark/>
          </w:tcPr>
          <w:p w14:paraId="52592F40" w14:textId="77777777" w:rsidR="002C3F55" w:rsidRPr="0055428F" w:rsidRDefault="002C3F55" w:rsidP="00FD362E">
            <w:pPr>
              <w:spacing w:after="0" w:line="240" w:lineRule="auto"/>
              <w:jc w:val="center"/>
              <w:rPr>
                <w:rFonts w:ascii="Times New Roman" w:eastAsia="Times New Roman" w:hAnsi="Times New Roman" w:cs="Times New Roman"/>
                <w:b/>
                <w:bCs/>
                <w:sz w:val="20"/>
                <w:szCs w:val="20"/>
              </w:rPr>
            </w:pPr>
          </w:p>
        </w:tc>
        <w:tc>
          <w:tcPr>
            <w:tcW w:w="0" w:type="auto"/>
            <w:vMerge/>
            <w:tcBorders>
              <w:top w:val="single" w:sz="4" w:space="0" w:color="auto"/>
              <w:left w:val="nil"/>
              <w:bottom w:val="single" w:sz="4" w:space="0" w:color="auto"/>
              <w:right w:val="nil"/>
            </w:tcBorders>
            <w:vAlign w:val="center"/>
            <w:hideMark/>
          </w:tcPr>
          <w:p w14:paraId="4276922D" w14:textId="25F9B222" w:rsidR="002C3F55" w:rsidRPr="0055428F" w:rsidRDefault="002C3F55" w:rsidP="00FD362E">
            <w:pPr>
              <w:spacing w:after="0" w:line="240" w:lineRule="auto"/>
              <w:jc w:val="center"/>
              <w:rPr>
                <w:rFonts w:ascii="Times New Roman" w:eastAsia="Times New Roman" w:hAnsi="Times New Roman" w:cs="Times New Roman"/>
                <w:b/>
                <w:bCs/>
                <w:sz w:val="20"/>
                <w:szCs w:val="20"/>
              </w:rPr>
            </w:pPr>
          </w:p>
        </w:tc>
        <w:tc>
          <w:tcPr>
            <w:tcW w:w="0" w:type="auto"/>
            <w:tcBorders>
              <w:top w:val="single" w:sz="4" w:space="0" w:color="auto"/>
              <w:left w:val="nil"/>
              <w:bottom w:val="single" w:sz="4" w:space="0" w:color="auto"/>
              <w:right w:val="nil"/>
            </w:tcBorders>
            <w:vAlign w:val="center"/>
            <w:hideMark/>
          </w:tcPr>
          <w:p w14:paraId="59D29FB6" w14:textId="77777777" w:rsidR="002C3F55" w:rsidRPr="0055428F" w:rsidRDefault="002C3F55" w:rsidP="00FD362E">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5</w:t>
            </w:r>
            <w:r w:rsidRPr="0055428F">
              <w:rPr>
                <w:rFonts w:ascii="Times New Roman" w:eastAsia="Times New Roman" w:hAnsi="Times New Roman" w:cs="Times New Roman"/>
                <w:b/>
                <w:bCs/>
                <w:sz w:val="20"/>
                <w:szCs w:val="20"/>
                <w:vertAlign w:val="superscript"/>
              </w:rPr>
              <w:t>th</w:t>
            </w:r>
          </w:p>
        </w:tc>
        <w:tc>
          <w:tcPr>
            <w:tcW w:w="0" w:type="auto"/>
            <w:tcBorders>
              <w:top w:val="single" w:sz="4" w:space="0" w:color="auto"/>
              <w:left w:val="nil"/>
              <w:bottom w:val="single" w:sz="4" w:space="0" w:color="auto"/>
              <w:right w:val="nil"/>
            </w:tcBorders>
            <w:vAlign w:val="center"/>
            <w:hideMark/>
          </w:tcPr>
          <w:p w14:paraId="00460162" w14:textId="77777777" w:rsidR="002C3F55" w:rsidRPr="0055428F" w:rsidRDefault="002C3F55" w:rsidP="00FD362E">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25</w:t>
            </w:r>
            <w:r w:rsidRPr="0055428F">
              <w:rPr>
                <w:rFonts w:ascii="Times New Roman" w:eastAsia="Times New Roman" w:hAnsi="Times New Roman" w:cs="Times New Roman"/>
                <w:b/>
                <w:bCs/>
                <w:sz w:val="20"/>
                <w:szCs w:val="20"/>
                <w:vertAlign w:val="superscript"/>
              </w:rPr>
              <w:t>th</w:t>
            </w:r>
          </w:p>
        </w:tc>
        <w:tc>
          <w:tcPr>
            <w:tcW w:w="0" w:type="auto"/>
            <w:tcBorders>
              <w:top w:val="single" w:sz="4" w:space="0" w:color="auto"/>
              <w:left w:val="nil"/>
              <w:bottom w:val="single" w:sz="4" w:space="0" w:color="auto"/>
              <w:right w:val="nil"/>
            </w:tcBorders>
            <w:vAlign w:val="center"/>
            <w:hideMark/>
          </w:tcPr>
          <w:p w14:paraId="18AFAE2C" w14:textId="77777777" w:rsidR="002C3F55" w:rsidRPr="0055428F" w:rsidRDefault="002C3F55" w:rsidP="00FD362E">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50</w:t>
            </w:r>
            <w:r w:rsidRPr="0055428F">
              <w:rPr>
                <w:rFonts w:ascii="Times New Roman" w:eastAsia="Times New Roman" w:hAnsi="Times New Roman" w:cs="Times New Roman"/>
                <w:b/>
                <w:bCs/>
                <w:sz w:val="20"/>
                <w:szCs w:val="20"/>
                <w:vertAlign w:val="superscript"/>
              </w:rPr>
              <w:t>th</w:t>
            </w:r>
          </w:p>
        </w:tc>
        <w:tc>
          <w:tcPr>
            <w:tcW w:w="0" w:type="auto"/>
            <w:tcBorders>
              <w:top w:val="single" w:sz="4" w:space="0" w:color="auto"/>
              <w:left w:val="nil"/>
              <w:bottom w:val="single" w:sz="4" w:space="0" w:color="auto"/>
              <w:right w:val="nil"/>
            </w:tcBorders>
            <w:vAlign w:val="center"/>
            <w:hideMark/>
          </w:tcPr>
          <w:p w14:paraId="26B98FDA" w14:textId="77777777" w:rsidR="002C3F55" w:rsidRPr="0055428F" w:rsidRDefault="002C3F55" w:rsidP="00FD362E">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75</w:t>
            </w:r>
            <w:r w:rsidRPr="0055428F">
              <w:rPr>
                <w:rFonts w:ascii="Times New Roman" w:eastAsia="Times New Roman" w:hAnsi="Times New Roman" w:cs="Times New Roman"/>
                <w:b/>
                <w:bCs/>
                <w:sz w:val="20"/>
                <w:szCs w:val="20"/>
                <w:vertAlign w:val="superscript"/>
              </w:rPr>
              <w:t>th</w:t>
            </w:r>
          </w:p>
        </w:tc>
        <w:tc>
          <w:tcPr>
            <w:tcW w:w="0" w:type="auto"/>
            <w:tcBorders>
              <w:top w:val="single" w:sz="4" w:space="0" w:color="auto"/>
              <w:left w:val="nil"/>
              <w:bottom w:val="single" w:sz="4" w:space="0" w:color="auto"/>
              <w:right w:val="nil"/>
            </w:tcBorders>
            <w:vAlign w:val="center"/>
            <w:hideMark/>
          </w:tcPr>
          <w:p w14:paraId="37D05314" w14:textId="77777777" w:rsidR="002C3F55" w:rsidRPr="0055428F" w:rsidRDefault="002C3F55" w:rsidP="00FD362E">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95</w:t>
            </w:r>
            <w:r w:rsidRPr="0055428F">
              <w:rPr>
                <w:rFonts w:ascii="Times New Roman" w:eastAsia="Times New Roman" w:hAnsi="Times New Roman" w:cs="Times New Roman"/>
                <w:b/>
                <w:bCs/>
                <w:sz w:val="20"/>
                <w:szCs w:val="20"/>
                <w:vertAlign w:val="superscript"/>
              </w:rPr>
              <w:t>th</w:t>
            </w:r>
          </w:p>
        </w:tc>
      </w:tr>
      <w:tr w:rsidR="0055428F" w:rsidRPr="0055428F" w14:paraId="389B4152" w14:textId="77777777" w:rsidTr="002C3F55">
        <w:trPr>
          <w:trHeight w:val="260"/>
          <w:jc w:val="center"/>
        </w:trPr>
        <w:tc>
          <w:tcPr>
            <w:tcW w:w="2833" w:type="dxa"/>
            <w:tcBorders>
              <w:top w:val="single" w:sz="4" w:space="0" w:color="auto"/>
              <w:left w:val="nil"/>
              <w:bottom w:val="nil"/>
              <w:right w:val="nil"/>
            </w:tcBorders>
            <w:vAlign w:val="center"/>
          </w:tcPr>
          <w:p w14:paraId="53ADA256" w14:textId="58E74148" w:rsidR="002C3F55" w:rsidRPr="0055428F" w:rsidRDefault="002C3F55" w:rsidP="00DC59B3">
            <w:pPr>
              <w:spacing w:after="0" w:line="240" w:lineRule="auto"/>
              <w:rPr>
                <w:rFonts w:ascii="Times New Roman" w:hAnsi="Times New Roman" w:cs="Times New Roman"/>
                <w:sz w:val="20"/>
                <w:szCs w:val="20"/>
              </w:rPr>
            </w:pPr>
            <w:r w:rsidRPr="0055428F">
              <w:rPr>
                <w:rFonts w:ascii="Times New Roman" w:eastAsia="Times New Roman" w:hAnsi="Times New Roman" w:cs="Times New Roman"/>
                <w:sz w:val="20"/>
                <w:szCs w:val="20"/>
              </w:rPr>
              <w:t>Global Cognitive Function Score</w:t>
            </w:r>
            <w:r w:rsidRPr="0055428F">
              <w:rPr>
                <w:rFonts w:ascii="inherit" w:hAnsi="inherit" w:cs="Arial"/>
                <w:vertAlign w:val="superscript"/>
              </w:rPr>
              <w:t>‡</w:t>
            </w:r>
          </w:p>
        </w:tc>
        <w:tc>
          <w:tcPr>
            <w:tcW w:w="0" w:type="auto"/>
            <w:tcBorders>
              <w:top w:val="single" w:sz="4" w:space="0" w:color="auto"/>
              <w:left w:val="nil"/>
              <w:bottom w:val="nil"/>
              <w:right w:val="nil"/>
            </w:tcBorders>
          </w:tcPr>
          <w:p w14:paraId="4739AE3C" w14:textId="1E9D6929"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0.029 ± 0.018</w:t>
            </w:r>
          </w:p>
        </w:tc>
        <w:tc>
          <w:tcPr>
            <w:tcW w:w="0" w:type="auto"/>
            <w:tcBorders>
              <w:top w:val="single" w:sz="4" w:space="0" w:color="auto"/>
              <w:left w:val="nil"/>
              <w:bottom w:val="nil"/>
              <w:right w:val="nil"/>
            </w:tcBorders>
          </w:tcPr>
          <w:p w14:paraId="0ADE0A58" w14:textId="3C70D9E9"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-1.31 ± 0.0262</w:t>
            </w:r>
          </w:p>
        </w:tc>
        <w:tc>
          <w:tcPr>
            <w:tcW w:w="0" w:type="auto"/>
            <w:tcBorders>
              <w:top w:val="single" w:sz="4" w:space="0" w:color="auto"/>
              <w:left w:val="nil"/>
              <w:bottom w:val="nil"/>
              <w:right w:val="nil"/>
            </w:tcBorders>
          </w:tcPr>
          <w:p w14:paraId="033F7D95" w14:textId="406C242F"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-0.554 ± 0.0216</w:t>
            </w:r>
          </w:p>
        </w:tc>
        <w:tc>
          <w:tcPr>
            <w:tcW w:w="0" w:type="auto"/>
            <w:tcBorders>
              <w:top w:val="single" w:sz="4" w:space="0" w:color="auto"/>
              <w:left w:val="nil"/>
              <w:bottom w:val="nil"/>
              <w:right w:val="nil"/>
            </w:tcBorders>
          </w:tcPr>
          <w:p w14:paraId="35C165AB" w14:textId="29821FED"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-0.0357 ± 0.0209</w:t>
            </w:r>
          </w:p>
        </w:tc>
        <w:tc>
          <w:tcPr>
            <w:tcW w:w="0" w:type="auto"/>
            <w:tcBorders>
              <w:top w:val="single" w:sz="4" w:space="0" w:color="auto"/>
              <w:left w:val="nil"/>
              <w:bottom w:val="nil"/>
              <w:right w:val="nil"/>
            </w:tcBorders>
          </w:tcPr>
          <w:p w14:paraId="57660EDD" w14:textId="7230ADC5"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0.523 ± 0.0223</w:t>
            </w:r>
          </w:p>
        </w:tc>
        <w:tc>
          <w:tcPr>
            <w:tcW w:w="0" w:type="auto"/>
            <w:tcBorders>
              <w:top w:val="single" w:sz="4" w:space="0" w:color="auto"/>
              <w:left w:val="nil"/>
              <w:bottom w:val="nil"/>
              <w:right w:val="nil"/>
            </w:tcBorders>
          </w:tcPr>
          <w:p w14:paraId="0155188B" w14:textId="74B3064B"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1.26 ± 0.0307</w:t>
            </w:r>
          </w:p>
        </w:tc>
      </w:tr>
      <w:tr w:rsidR="0055428F" w:rsidRPr="0055428F" w14:paraId="31E1542A" w14:textId="77777777" w:rsidTr="002C3F55">
        <w:trPr>
          <w:trHeight w:val="260"/>
          <w:jc w:val="center"/>
        </w:trPr>
        <w:tc>
          <w:tcPr>
            <w:tcW w:w="2833" w:type="dxa"/>
            <w:tcBorders>
              <w:top w:val="nil"/>
              <w:left w:val="nil"/>
              <w:bottom w:val="nil"/>
              <w:right w:val="nil"/>
            </w:tcBorders>
            <w:vAlign w:val="center"/>
            <w:hideMark/>
          </w:tcPr>
          <w:p w14:paraId="3725C2CE" w14:textId="0565AD62" w:rsidR="002C3F55" w:rsidRPr="0055428F" w:rsidRDefault="002C3F55" w:rsidP="00DC59B3">
            <w:pPr>
              <w:spacing w:after="0" w:line="240" w:lineRule="auto"/>
              <w:rPr>
                <w:rFonts w:ascii="Times New Roman" w:eastAsia="Times New Roman" w:hAnsi="Times New Roman" w:cs="Times New Roman"/>
                <w:sz w:val="20"/>
                <w:szCs w:val="20"/>
              </w:rPr>
            </w:pPr>
            <w:r w:rsidRPr="0055428F">
              <w:rPr>
                <w:rFonts w:ascii="Times New Roman" w:hAnsi="Times New Roman" w:cs="Times New Roman"/>
                <w:sz w:val="20"/>
                <w:szCs w:val="20"/>
              </w:rPr>
              <w:t>Word Fluency Test</w:t>
            </w:r>
          </w:p>
        </w:tc>
        <w:tc>
          <w:tcPr>
            <w:tcW w:w="0" w:type="auto"/>
            <w:tcBorders>
              <w:top w:val="nil"/>
              <w:left w:val="nil"/>
              <w:bottom w:val="nil"/>
              <w:right w:val="nil"/>
            </w:tcBorders>
            <w:hideMark/>
          </w:tcPr>
          <w:p w14:paraId="3EAF19E0" w14:textId="56C29F0B"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18.5 ± 0.15</w:t>
            </w:r>
          </w:p>
        </w:tc>
        <w:tc>
          <w:tcPr>
            <w:tcW w:w="0" w:type="auto"/>
            <w:tcBorders>
              <w:top w:val="nil"/>
              <w:left w:val="nil"/>
              <w:bottom w:val="nil"/>
              <w:right w:val="nil"/>
            </w:tcBorders>
            <w:hideMark/>
          </w:tcPr>
          <w:p w14:paraId="5E807353" w14:textId="7AA480C4"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6.91 ± 0.272</w:t>
            </w:r>
          </w:p>
        </w:tc>
        <w:tc>
          <w:tcPr>
            <w:tcW w:w="0" w:type="auto"/>
            <w:tcBorders>
              <w:top w:val="nil"/>
              <w:left w:val="nil"/>
              <w:bottom w:val="nil"/>
              <w:right w:val="nil"/>
            </w:tcBorders>
            <w:hideMark/>
          </w:tcPr>
          <w:p w14:paraId="00D525E7" w14:textId="011B2C58"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12.8 ± 0.171</w:t>
            </w:r>
          </w:p>
        </w:tc>
        <w:tc>
          <w:tcPr>
            <w:tcW w:w="0" w:type="auto"/>
            <w:tcBorders>
              <w:top w:val="nil"/>
              <w:left w:val="nil"/>
              <w:bottom w:val="nil"/>
              <w:right w:val="nil"/>
            </w:tcBorders>
            <w:hideMark/>
          </w:tcPr>
          <w:p w14:paraId="0C1BADDE" w14:textId="0B28DFB0"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17.5 ± 0.173</w:t>
            </w:r>
          </w:p>
        </w:tc>
        <w:tc>
          <w:tcPr>
            <w:tcW w:w="0" w:type="auto"/>
            <w:tcBorders>
              <w:top w:val="nil"/>
              <w:left w:val="nil"/>
              <w:bottom w:val="nil"/>
              <w:right w:val="nil"/>
            </w:tcBorders>
            <w:hideMark/>
          </w:tcPr>
          <w:p w14:paraId="1CE9D1CD" w14:textId="1729931E"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22.8 ± 0.222</w:t>
            </w:r>
          </w:p>
        </w:tc>
        <w:tc>
          <w:tcPr>
            <w:tcW w:w="0" w:type="auto"/>
            <w:tcBorders>
              <w:top w:val="nil"/>
              <w:left w:val="nil"/>
              <w:bottom w:val="nil"/>
              <w:right w:val="nil"/>
            </w:tcBorders>
            <w:hideMark/>
          </w:tcPr>
          <w:p w14:paraId="512274A2" w14:textId="0BCC6B3B"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30.4 ± 0.327</w:t>
            </w:r>
          </w:p>
        </w:tc>
      </w:tr>
      <w:tr w:rsidR="0055428F" w:rsidRPr="0055428F" w14:paraId="709FB679" w14:textId="77777777" w:rsidTr="002C3F55">
        <w:trPr>
          <w:trHeight w:val="260"/>
          <w:jc w:val="center"/>
        </w:trPr>
        <w:tc>
          <w:tcPr>
            <w:tcW w:w="2833" w:type="dxa"/>
            <w:tcBorders>
              <w:top w:val="nil"/>
              <w:left w:val="nil"/>
              <w:bottom w:val="nil"/>
              <w:right w:val="nil"/>
            </w:tcBorders>
            <w:vAlign w:val="center"/>
            <w:hideMark/>
          </w:tcPr>
          <w:p w14:paraId="2C66A13B" w14:textId="487987AE" w:rsidR="002C3F55" w:rsidRPr="0055428F" w:rsidRDefault="002C3F55" w:rsidP="00DC59B3">
            <w:pPr>
              <w:spacing w:after="0" w:line="240" w:lineRule="auto"/>
              <w:rPr>
                <w:rFonts w:ascii="Times New Roman" w:eastAsia="Times New Roman" w:hAnsi="Times New Roman" w:cs="Times New Roman"/>
                <w:sz w:val="20"/>
                <w:szCs w:val="20"/>
              </w:rPr>
            </w:pPr>
            <w:r w:rsidRPr="0055428F">
              <w:rPr>
                <w:rFonts w:ascii="Times New Roman" w:hAnsi="Times New Roman" w:cs="Times New Roman"/>
                <w:sz w:val="20"/>
                <w:szCs w:val="20"/>
              </w:rPr>
              <w:t>Digit Symbol Substitution Test</w:t>
            </w:r>
          </w:p>
        </w:tc>
        <w:tc>
          <w:tcPr>
            <w:tcW w:w="0" w:type="auto"/>
            <w:tcBorders>
              <w:top w:val="nil"/>
              <w:left w:val="nil"/>
              <w:bottom w:val="nil"/>
              <w:right w:val="nil"/>
            </w:tcBorders>
            <w:hideMark/>
          </w:tcPr>
          <w:p w14:paraId="78442354" w14:textId="089079FC"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34.1 ± 0.312</w:t>
            </w:r>
          </w:p>
        </w:tc>
        <w:tc>
          <w:tcPr>
            <w:tcW w:w="0" w:type="auto"/>
            <w:tcBorders>
              <w:top w:val="nil"/>
              <w:left w:val="nil"/>
              <w:bottom w:val="nil"/>
              <w:right w:val="nil"/>
            </w:tcBorders>
            <w:hideMark/>
          </w:tcPr>
          <w:p w14:paraId="690C57FB" w14:textId="7DE5708E"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13.2 ± 0.41</w:t>
            </w:r>
          </w:p>
        </w:tc>
        <w:tc>
          <w:tcPr>
            <w:tcW w:w="0" w:type="auto"/>
            <w:tcBorders>
              <w:top w:val="nil"/>
              <w:left w:val="nil"/>
              <w:bottom w:val="nil"/>
              <w:right w:val="nil"/>
            </w:tcBorders>
            <w:hideMark/>
          </w:tcPr>
          <w:p w14:paraId="19982BCD" w14:textId="58C1A05B"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24.1 ± 0.372</w:t>
            </w:r>
          </w:p>
        </w:tc>
        <w:tc>
          <w:tcPr>
            <w:tcW w:w="0" w:type="auto"/>
            <w:tcBorders>
              <w:top w:val="nil"/>
              <w:left w:val="nil"/>
              <w:bottom w:val="nil"/>
              <w:right w:val="nil"/>
            </w:tcBorders>
            <w:hideMark/>
          </w:tcPr>
          <w:p w14:paraId="7DD5155C" w14:textId="6548D621"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33.1 ± 0.378</w:t>
            </w:r>
          </w:p>
        </w:tc>
        <w:tc>
          <w:tcPr>
            <w:tcW w:w="0" w:type="auto"/>
            <w:tcBorders>
              <w:top w:val="nil"/>
              <w:left w:val="nil"/>
              <w:bottom w:val="nil"/>
              <w:right w:val="nil"/>
            </w:tcBorders>
            <w:hideMark/>
          </w:tcPr>
          <w:p w14:paraId="72A16BF8" w14:textId="0F34CAAD"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42.5 ± 0.309</w:t>
            </w:r>
          </w:p>
        </w:tc>
        <w:tc>
          <w:tcPr>
            <w:tcW w:w="0" w:type="auto"/>
            <w:tcBorders>
              <w:top w:val="nil"/>
              <w:left w:val="nil"/>
              <w:bottom w:val="nil"/>
              <w:right w:val="nil"/>
            </w:tcBorders>
            <w:hideMark/>
          </w:tcPr>
          <w:p w14:paraId="35B80B8B" w14:textId="550B4997"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56.5 ± 0.497</w:t>
            </w:r>
          </w:p>
        </w:tc>
      </w:tr>
      <w:tr w:rsidR="0055428F" w:rsidRPr="0055428F" w14:paraId="45E2DAD8" w14:textId="77777777" w:rsidTr="002C3F55">
        <w:trPr>
          <w:trHeight w:val="260"/>
          <w:jc w:val="center"/>
        </w:trPr>
        <w:tc>
          <w:tcPr>
            <w:tcW w:w="2833" w:type="dxa"/>
            <w:tcBorders>
              <w:top w:val="nil"/>
              <w:left w:val="nil"/>
              <w:bottom w:val="nil"/>
              <w:right w:val="nil"/>
            </w:tcBorders>
            <w:vAlign w:val="center"/>
            <w:hideMark/>
          </w:tcPr>
          <w:p w14:paraId="3A283E23" w14:textId="77777777" w:rsidR="002C3F55" w:rsidRPr="0055428F" w:rsidRDefault="002C3F55" w:rsidP="00DC59B3">
            <w:pPr>
              <w:spacing w:after="0" w:line="240" w:lineRule="auto"/>
              <w:rPr>
                <w:rFonts w:ascii="Times New Roman" w:eastAsia="Times New Roman" w:hAnsi="Times New Roman" w:cs="Times New Roman"/>
                <w:sz w:val="20"/>
                <w:szCs w:val="20"/>
              </w:rPr>
            </w:pPr>
            <w:r w:rsidRPr="0055428F">
              <w:rPr>
                <w:rFonts w:ascii="Times New Roman" w:hAnsi="Times New Roman" w:cs="Times New Roman"/>
                <w:sz w:val="20"/>
                <w:szCs w:val="20"/>
              </w:rPr>
              <w:t>B-SEVLT-Sum</w:t>
            </w:r>
          </w:p>
        </w:tc>
        <w:tc>
          <w:tcPr>
            <w:tcW w:w="0" w:type="auto"/>
            <w:tcBorders>
              <w:top w:val="nil"/>
              <w:left w:val="nil"/>
              <w:bottom w:val="nil"/>
              <w:right w:val="nil"/>
            </w:tcBorders>
            <w:hideMark/>
          </w:tcPr>
          <w:p w14:paraId="34E49A0F" w14:textId="21419157"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22.6 ± 0.114</w:t>
            </w:r>
          </w:p>
        </w:tc>
        <w:tc>
          <w:tcPr>
            <w:tcW w:w="0" w:type="auto"/>
            <w:tcBorders>
              <w:top w:val="nil"/>
              <w:left w:val="nil"/>
              <w:bottom w:val="nil"/>
              <w:right w:val="nil"/>
            </w:tcBorders>
            <w:hideMark/>
          </w:tcPr>
          <w:p w14:paraId="40F70705" w14:textId="0792446A"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12.8 ± 0.2</w:t>
            </w:r>
          </w:p>
        </w:tc>
        <w:tc>
          <w:tcPr>
            <w:tcW w:w="0" w:type="auto"/>
            <w:tcBorders>
              <w:top w:val="nil"/>
              <w:left w:val="nil"/>
              <w:bottom w:val="nil"/>
              <w:right w:val="nil"/>
            </w:tcBorders>
            <w:hideMark/>
          </w:tcPr>
          <w:p w14:paraId="5FD50EED" w14:textId="5BBE45BA"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18.1 ± 0.152</w:t>
            </w:r>
          </w:p>
        </w:tc>
        <w:tc>
          <w:tcPr>
            <w:tcW w:w="0" w:type="auto"/>
            <w:tcBorders>
              <w:top w:val="nil"/>
              <w:left w:val="nil"/>
              <w:bottom w:val="nil"/>
              <w:right w:val="nil"/>
            </w:tcBorders>
            <w:hideMark/>
          </w:tcPr>
          <w:p w14:paraId="0BAA7836" w14:textId="03DAAB7B"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22 ± 0.145</w:t>
            </w:r>
          </w:p>
        </w:tc>
        <w:tc>
          <w:tcPr>
            <w:tcW w:w="0" w:type="auto"/>
            <w:tcBorders>
              <w:top w:val="nil"/>
              <w:left w:val="nil"/>
              <w:bottom w:val="nil"/>
              <w:right w:val="nil"/>
            </w:tcBorders>
            <w:hideMark/>
          </w:tcPr>
          <w:p w14:paraId="25D2687D" w14:textId="1F3B40A1"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26 ± 0.134</w:t>
            </w:r>
          </w:p>
        </w:tc>
        <w:tc>
          <w:tcPr>
            <w:tcW w:w="0" w:type="auto"/>
            <w:tcBorders>
              <w:top w:val="nil"/>
              <w:left w:val="nil"/>
              <w:bottom w:val="nil"/>
              <w:right w:val="nil"/>
            </w:tcBorders>
            <w:hideMark/>
          </w:tcPr>
          <w:p w14:paraId="13FF5815" w14:textId="777DC4CA"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31.3 ± 0.187</w:t>
            </w:r>
          </w:p>
        </w:tc>
      </w:tr>
      <w:tr w:rsidR="0055428F" w:rsidRPr="0055428F" w14:paraId="18AEC046" w14:textId="77777777" w:rsidTr="002C3F55">
        <w:trPr>
          <w:trHeight w:val="260"/>
          <w:jc w:val="center"/>
        </w:trPr>
        <w:tc>
          <w:tcPr>
            <w:tcW w:w="2833" w:type="dxa"/>
            <w:tcBorders>
              <w:top w:val="nil"/>
              <w:left w:val="nil"/>
              <w:bottom w:val="nil"/>
              <w:right w:val="nil"/>
            </w:tcBorders>
            <w:vAlign w:val="center"/>
            <w:hideMark/>
          </w:tcPr>
          <w:p w14:paraId="2AF279AB" w14:textId="77777777" w:rsidR="002C3F55" w:rsidRPr="0055428F" w:rsidRDefault="002C3F55" w:rsidP="00DC59B3">
            <w:pPr>
              <w:spacing w:after="0" w:line="240" w:lineRule="auto"/>
              <w:rPr>
                <w:rFonts w:ascii="Times New Roman" w:eastAsia="Times New Roman" w:hAnsi="Times New Roman" w:cs="Times New Roman"/>
                <w:sz w:val="20"/>
                <w:szCs w:val="20"/>
              </w:rPr>
            </w:pPr>
            <w:r w:rsidRPr="0055428F">
              <w:rPr>
                <w:rFonts w:ascii="Times New Roman" w:hAnsi="Times New Roman" w:cs="Times New Roman"/>
                <w:sz w:val="20"/>
                <w:szCs w:val="20"/>
              </w:rPr>
              <w:t>B-SEVLT-Recall</w:t>
            </w:r>
          </w:p>
        </w:tc>
        <w:tc>
          <w:tcPr>
            <w:tcW w:w="0" w:type="auto"/>
            <w:tcBorders>
              <w:top w:val="nil"/>
              <w:left w:val="nil"/>
              <w:bottom w:val="nil"/>
              <w:right w:val="nil"/>
            </w:tcBorders>
            <w:hideMark/>
          </w:tcPr>
          <w:p w14:paraId="33326FDC" w14:textId="7BC2997C"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8.15 ± 0.0547</w:t>
            </w:r>
          </w:p>
        </w:tc>
        <w:tc>
          <w:tcPr>
            <w:tcW w:w="0" w:type="auto"/>
            <w:tcBorders>
              <w:top w:val="nil"/>
              <w:left w:val="nil"/>
              <w:bottom w:val="nil"/>
              <w:right w:val="nil"/>
            </w:tcBorders>
            <w:hideMark/>
          </w:tcPr>
          <w:p w14:paraId="30FA237D" w14:textId="3A7B277F"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2.62 ± 0.208</w:t>
            </w:r>
          </w:p>
        </w:tc>
        <w:tc>
          <w:tcPr>
            <w:tcW w:w="0" w:type="auto"/>
            <w:tcBorders>
              <w:top w:val="nil"/>
              <w:left w:val="nil"/>
              <w:bottom w:val="nil"/>
              <w:right w:val="nil"/>
            </w:tcBorders>
            <w:hideMark/>
          </w:tcPr>
          <w:p w14:paraId="073040B7" w14:textId="1D624A42"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5.85 ± 0.0751</w:t>
            </w:r>
          </w:p>
        </w:tc>
        <w:tc>
          <w:tcPr>
            <w:tcW w:w="0" w:type="auto"/>
            <w:tcBorders>
              <w:top w:val="nil"/>
              <w:left w:val="nil"/>
              <w:bottom w:val="nil"/>
              <w:right w:val="nil"/>
            </w:tcBorders>
            <w:hideMark/>
          </w:tcPr>
          <w:p w14:paraId="612F58D6" w14:textId="27965147"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7.76 ± 0.0678</w:t>
            </w:r>
          </w:p>
        </w:tc>
        <w:tc>
          <w:tcPr>
            <w:tcW w:w="0" w:type="auto"/>
            <w:tcBorders>
              <w:top w:val="nil"/>
              <w:left w:val="nil"/>
              <w:bottom w:val="nil"/>
              <w:right w:val="nil"/>
            </w:tcBorders>
            <w:hideMark/>
          </w:tcPr>
          <w:p w14:paraId="706FF7F6" w14:textId="69D23FC4"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9.67 ± 0.07</w:t>
            </w:r>
          </w:p>
        </w:tc>
        <w:tc>
          <w:tcPr>
            <w:tcW w:w="0" w:type="auto"/>
            <w:tcBorders>
              <w:top w:val="nil"/>
              <w:left w:val="nil"/>
              <w:bottom w:val="nil"/>
              <w:right w:val="nil"/>
            </w:tcBorders>
            <w:hideMark/>
          </w:tcPr>
          <w:p w14:paraId="128879A1" w14:textId="12C4265F" w:rsidR="002C3F55" w:rsidRPr="0055428F" w:rsidRDefault="002C3F55" w:rsidP="00DA59AA">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12.1 ± 0.0882</w:t>
            </w:r>
          </w:p>
        </w:tc>
      </w:tr>
      <w:tr w:rsidR="0055428F" w:rsidRPr="0055428F" w14:paraId="0CCFB67E" w14:textId="77777777" w:rsidTr="002C3F55">
        <w:trPr>
          <w:trHeight w:val="117"/>
          <w:jc w:val="center"/>
        </w:trPr>
        <w:tc>
          <w:tcPr>
            <w:tcW w:w="11325" w:type="dxa"/>
            <w:gridSpan w:val="7"/>
            <w:tcBorders>
              <w:top w:val="single" w:sz="4" w:space="0" w:color="auto"/>
              <w:left w:val="nil"/>
              <w:bottom w:val="nil"/>
              <w:right w:val="nil"/>
            </w:tcBorders>
          </w:tcPr>
          <w:p w14:paraId="53A5A358" w14:textId="77777777" w:rsidR="00AC5CE1" w:rsidRPr="0055428F" w:rsidRDefault="002C3F55" w:rsidP="00FD362E">
            <w:pPr>
              <w:spacing w:after="0" w:line="240" w:lineRule="auto"/>
              <w:rPr>
                <w:rFonts w:ascii="Times New Roman" w:eastAsia="Times New Roman" w:hAnsi="Times New Roman" w:cs="Times New Roman"/>
                <w:sz w:val="20"/>
                <w:szCs w:val="20"/>
              </w:rPr>
            </w:pPr>
            <w:r w:rsidRPr="0055428F">
              <w:rPr>
                <w:rFonts w:ascii="inherit" w:hAnsi="inherit" w:cs="Arial"/>
                <w:vertAlign w:val="superscript"/>
              </w:rPr>
              <w:t>†</w:t>
            </w:r>
            <w:r w:rsidR="00AC5CE1" w:rsidRPr="0055428F">
              <w:rPr>
                <w:rFonts w:ascii="Times New Roman" w:eastAsia="Times New Roman" w:hAnsi="Times New Roman" w:cs="Times New Roman"/>
                <w:sz w:val="20"/>
                <w:szCs w:val="20"/>
              </w:rPr>
              <w:t>Values are mean ± SE or percentile ± SE and estimated using proc</w:t>
            </w:r>
            <w:r w:rsidR="009075F1" w:rsidRPr="0055428F">
              <w:rPr>
                <w:rFonts w:ascii="Times New Roman" w:eastAsia="Times New Roman" w:hAnsi="Times New Roman" w:cs="Times New Roman"/>
                <w:sz w:val="20"/>
                <w:szCs w:val="20"/>
              </w:rPr>
              <w:t xml:space="preserve"> </w:t>
            </w:r>
            <w:r w:rsidR="00AC5CE1" w:rsidRPr="0055428F">
              <w:rPr>
                <w:rFonts w:ascii="Times New Roman" w:eastAsia="Times New Roman" w:hAnsi="Times New Roman" w:cs="Times New Roman"/>
                <w:sz w:val="20"/>
                <w:szCs w:val="20"/>
              </w:rPr>
              <w:t>survey means</w:t>
            </w:r>
            <w:r w:rsidR="009075F1" w:rsidRPr="0055428F">
              <w:rPr>
                <w:rFonts w:ascii="Times New Roman" w:eastAsia="Times New Roman" w:hAnsi="Times New Roman" w:cs="Times New Roman"/>
                <w:sz w:val="20"/>
                <w:szCs w:val="20"/>
              </w:rPr>
              <w:t xml:space="preserve"> in SAS.</w:t>
            </w:r>
          </w:p>
          <w:p w14:paraId="03130C68" w14:textId="33C9BA44" w:rsidR="002C3F55" w:rsidRPr="0055428F" w:rsidRDefault="002C3F55" w:rsidP="00FD362E">
            <w:pPr>
              <w:spacing w:after="0" w:line="240" w:lineRule="auto"/>
              <w:rPr>
                <w:rFonts w:ascii="Times New Roman" w:eastAsia="Times New Roman" w:hAnsi="Times New Roman" w:cs="Times New Roman"/>
                <w:sz w:val="20"/>
                <w:szCs w:val="20"/>
              </w:rPr>
            </w:pPr>
            <w:r w:rsidRPr="0055428F">
              <w:rPr>
                <w:rFonts w:ascii="inherit" w:hAnsi="inherit" w:cs="Arial"/>
                <w:vertAlign w:val="superscript"/>
              </w:rPr>
              <w:t>‡</w:t>
            </w:r>
            <w:r w:rsidRPr="0055428F">
              <w:rPr>
                <w:rFonts w:ascii="Times New Roman" w:eastAsia="Times New Roman" w:hAnsi="Times New Roman" w:cs="Times New Roman"/>
                <w:sz w:val="20"/>
                <w:szCs w:val="20"/>
              </w:rPr>
              <w:t xml:space="preserve">Global cognitive function was calculated as the average z-score of the individuals tests (word fluency, digit symbol substitution, B-SEVLT-Sum, B-SEVLT-Recall) </w:t>
            </w:r>
          </w:p>
        </w:tc>
      </w:tr>
    </w:tbl>
    <w:p w14:paraId="2D7D4F2E" w14:textId="1798C8E9" w:rsidR="00FD362E" w:rsidRPr="0055428F" w:rsidRDefault="00FD362E">
      <w:r w:rsidRPr="0055428F">
        <w:t xml:space="preserve"> </w:t>
      </w:r>
      <w:r w:rsidRPr="0055428F">
        <w:br w:type="page"/>
      </w:r>
    </w:p>
    <w:tbl>
      <w:tblPr>
        <w:tblW w:w="13950" w:type="dxa"/>
        <w:tblInd w:w="-630" w:type="dxa"/>
        <w:tblLayout w:type="fixed"/>
        <w:tblLook w:val="04A0" w:firstRow="1" w:lastRow="0" w:firstColumn="1" w:lastColumn="0" w:noHBand="0" w:noVBand="1"/>
      </w:tblPr>
      <w:tblGrid>
        <w:gridCol w:w="1710"/>
        <w:gridCol w:w="1754"/>
        <w:gridCol w:w="1486"/>
        <w:gridCol w:w="1620"/>
        <w:gridCol w:w="1800"/>
        <w:gridCol w:w="1710"/>
        <w:gridCol w:w="990"/>
        <w:gridCol w:w="1530"/>
        <w:gridCol w:w="1350"/>
      </w:tblGrid>
      <w:tr w:rsidR="0055428F" w:rsidRPr="0055428F" w14:paraId="4591DBF3" w14:textId="77777777" w:rsidTr="00D41F81">
        <w:trPr>
          <w:trHeight w:val="419"/>
        </w:trPr>
        <w:tc>
          <w:tcPr>
            <w:tcW w:w="13950" w:type="dxa"/>
            <w:gridSpan w:val="9"/>
            <w:tcBorders>
              <w:left w:val="nil"/>
              <w:bottom w:val="single" w:sz="4" w:space="0" w:color="auto"/>
              <w:right w:val="nil"/>
            </w:tcBorders>
            <w:shd w:val="clear" w:color="auto" w:fill="auto"/>
            <w:vAlign w:val="center"/>
          </w:tcPr>
          <w:p w14:paraId="754079E9" w14:textId="2A090C87" w:rsidR="00DA72C6" w:rsidRPr="0055428F" w:rsidRDefault="00A618A4" w:rsidP="00433E77">
            <w:pPr>
              <w:spacing w:after="0" w:line="240" w:lineRule="auto"/>
              <w:rPr>
                <w:rFonts w:ascii="Times New Roman" w:eastAsia="Times New Roman" w:hAnsi="Times New Roman" w:cs="Times New Roman"/>
                <w:b/>
                <w:bCs/>
                <w:sz w:val="20"/>
                <w:szCs w:val="20"/>
              </w:rPr>
            </w:pPr>
            <w:r w:rsidRPr="0055428F">
              <w:rPr>
                <w:rFonts w:ascii="Times New Roman" w:hAnsi="Times New Roman" w:cs="Times New Roman"/>
              </w:rPr>
              <w:lastRenderedPageBreak/>
              <w:br w:type="page"/>
            </w:r>
            <w:r w:rsidR="00DA72C6" w:rsidRPr="0055428F">
              <w:rPr>
                <w:rFonts w:ascii="Times New Roman" w:eastAsia="Times New Roman" w:hAnsi="Times New Roman" w:cs="Times New Roman"/>
                <w:b/>
                <w:bCs/>
                <w:sz w:val="20"/>
                <w:szCs w:val="20"/>
              </w:rPr>
              <w:t xml:space="preserve">Supplementary Table </w:t>
            </w:r>
            <w:r w:rsidR="00FD362E" w:rsidRPr="0055428F">
              <w:rPr>
                <w:rFonts w:ascii="Times New Roman" w:eastAsia="Times New Roman" w:hAnsi="Times New Roman" w:cs="Times New Roman"/>
                <w:b/>
                <w:bCs/>
                <w:sz w:val="20"/>
                <w:szCs w:val="20"/>
              </w:rPr>
              <w:t>3</w:t>
            </w:r>
            <w:r w:rsidR="00DA72C6" w:rsidRPr="0055428F">
              <w:rPr>
                <w:rFonts w:ascii="Times New Roman" w:eastAsia="Times New Roman" w:hAnsi="Times New Roman" w:cs="Times New Roman"/>
                <w:b/>
                <w:bCs/>
                <w:sz w:val="20"/>
                <w:szCs w:val="20"/>
              </w:rPr>
              <w:t>. Associations between dietary fatty acid patterns and global cognitive function score excluding those with CVD (n=8,393)</w:t>
            </w:r>
          </w:p>
        </w:tc>
      </w:tr>
      <w:tr w:rsidR="0055428F" w:rsidRPr="0055428F" w14:paraId="7E97AB75" w14:textId="77777777" w:rsidTr="00D41F81">
        <w:trPr>
          <w:trHeight w:val="419"/>
        </w:trPr>
        <w:tc>
          <w:tcPr>
            <w:tcW w:w="1710" w:type="dxa"/>
            <w:tcBorders>
              <w:top w:val="single" w:sz="4" w:space="0" w:color="auto"/>
              <w:left w:val="nil"/>
              <w:bottom w:val="nil"/>
              <w:right w:val="nil"/>
            </w:tcBorders>
            <w:shd w:val="clear" w:color="auto" w:fill="auto"/>
            <w:vAlign w:val="center"/>
          </w:tcPr>
          <w:p w14:paraId="07AFE04F" w14:textId="77777777" w:rsidR="00DA72C6" w:rsidRPr="0055428F" w:rsidRDefault="00DA72C6" w:rsidP="00F331D5">
            <w:pPr>
              <w:spacing w:after="0" w:line="240" w:lineRule="auto"/>
              <w:jc w:val="center"/>
              <w:rPr>
                <w:rFonts w:ascii="Times New Roman" w:eastAsia="Times New Roman" w:hAnsi="Times New Roman" w:cs="Times New Roman"/>
                <w:b/>
                <w:bCs/>
                <w:sz w:val="20"/>
                <w:szCs w:val="20"/>
              </w:rPr>
            </w:pPr>
          </w:p>
        </w:tc>
        <w:tc>
          <w:tcPr>
            <w:tcW w:w="8370" w:type="dxa"/>
            <w:gridSpan w:val="5"/>
            <w:tcBorders>
              <w:top w:val="single" w:sz="4" w:space="0" w:color="auto"/>
              <w:left w:val="nil"/>
              <w:bottom w:val="single" w:sz="4" w:space="0" w:color="auto"/>
              <w:right w:val="nil"/>
            </w:tcBorders>
            <w:shd w:val="clear" w:color="auto" w:fill="auto"/>
            <w:vAlign w:val="center"/>
          </w:tcPr>
          <w:p w14:paraId="013CE0D0" w14:textId="375C8715" w:rsidR="00DA72C6" w:rsidRPr="0055428F" w:rsidRDefault="00DA72C6" w:rsidP="00F331D5">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Dietary Fatty Acid Factor Score (Quintile)</w:t>
            </w:r>
            <w:r w:rsidR="00925305" w:rsidRPr="0055428F">
              <w:rPr>
                <w:rFonts w:ascii="Times New Roman" w:hAnsi="Times New Roman" w:cs="Times New Roman"/>
                <w:vertAlign w:val="superscript"/>
              </w:rPr>
              <w:t xml:space="preserve"> ‡,§</w:t>
            </w:r>
          </w:p>
        </w:tc>
        <w:tc>
          <w:tcPr>
            <w:tcW w:w="990" w:type="dxa"/>
            <w:tcBorders>
              <w:left w:val="nil"/>
              <w:bottom w:val="single" w:sz="4" w:space="0" w:color="auto"/>
              <w:right w:val="nil"/>
            </w:tcBorders>
            <w:shd w:val="clear" w:color="auto" w:fill="auto"/>
            <w:vAlign w:val="center"/>
          </w:tcPr>
          <w:p w14:paraId="17894230" w14:textId="77777777" w:rsidR="00DA72C6" w:rsidRPr="0055428F" w:rsidRDefault="00DA72C6" w:rsidP="00F331D5">
            <w:pPr>
              <w:spacing w:after="0" w:line="240" w:lineRule="auto"/>
              <w:jc w:val="center"/>
              <w:rPr>
                <w:rFonts w:ascii="Times New Roman" w:eastAsia="Times New Roman" w:hAnsi="Times New Roman" w:cs="Times New Roman"/>
                <w:b/>
                <w:bCs/>
                <w:sz w:val="20"/>
                <w:szCs w:val="20"/>
              </w:rPr>
            </w:pPr>
          </w:p>
        </w:tc>
        <w:tc>
          <w:tcPr>
            <w:tcW w:w="1530" w:type="dxa"/>
            <w:tcBorders>
              <w:top w:val="single" w:sz="4" w:space="0" w:color="auto"/>
              <w:left w:val="nil"/>
              <w:bottom w:val="nil"/>
              <w:right w:val="nil"/>
            </w:tcBorders>
            <w:shd w:val="clear" w:color="auto" w:fill="auto"/>
            <w:vAlign w:val="center"/>
          </w:tcPr>
          <w:p w14:paraId="07BCEEE1" w14:textId="77777777" w:rsidR="00DA72C6" w:rsidRPr="0055428F" w:rsidRDefault="00DA72C6" w:rsidP="00F331D5">
            <w:pPr>
              <w:spacing w:after="0" w:line="240" w:lineRule="auto"/>
              <w:jc w:val="center"/>
              <w:rPr>
                <w:rFonts w:ascii="Times New Roman" w:eastAsia="Times New Roman" w:hAnsi="Times New Roman" w:cs="Times New Roman"/>
                <w:b/>
                <w:bCs/>
                <w:sz w:val="20"/>
                <w:szCs w:val="20"/>
              </w:rPr>
            </w:pPr>
          </w:p>
        </w:tc>
        <w:tc>
          <w:tcPr>
            <w:tcW w:w="1350" w:type="dxa"/>
            <w:tcBorders>
              <w:top w:val="single" w:sz="4" w:space="0" w:color="auto"/>
              <w:left w:val="nil"/>
              <w:bottom w:val="nil"/>
              <w:right w:val="nil"/>
            </w:tcBorders>
            <w:shd w:val="clear" w:color="auto" w:fill="auto"/>
            <w:vAlign w:val="center"/>
          </w:tcPr>
          <w:p w14:paraId="7624D8A2" w14:textId="77777777" w:rsidR="00DA72C6" w:rsidRPr="0055428F" w:rsidRDefault="00DA72C6" w:rsidP="00F331D5">
            <w:pPr>
              <w:spacing w:after="0" w:line="240" w:lineRule="auto"/>
              <w:jc w:val="center"/>
              <w:rPr>
                <w:rFonts w:ascii="Times New Roman" w:eastAsia="Times New Roman" w:hAnsi="Times New Roman" w:cs="Times New Roman"/>
                <w:b/>
                <w:bCs/>
                <w:sz w:val="20"/>
                <w:szCs w:val="20"/>
              </w:rPr>
            </w:pPr>
          </w:p>
        </w:tc>
      </w:tr>
      <w:tr w:rsidR="0055428F" w:rsidRPr="0055428F" w14:paraId="1E582306" w14:textId="77777777" w:rsidTr="00D41F81">
        <w:trPr>
          <w:trHeight w:val="419"/>
        </w:trPr>
        <w:tc>
          <w:tcPr>
            <w:tcW w:w="1710" w:type="dxa"/>
            <w:tcBorders>
              <w:left w:val="nil"/>
              <w:bottom w:val="nil"/>
              <w:right w:val="nil"/>
            </w:tcBorders>
            <w:shd w:val="clear" w:color="auto" w:fill="auto"/>
            <w:vAlign w:val="center"/>
          </w:tcPr>
          <w:p w14:paraId="1B999F9E" w14:textId="77777777" w:rsidR="00DA72C6" w:rsidRPr="0055428F" w:rsidRDefault="00DA72C6" w:rsidP="00F331D5">
            <w:pPr>
              <w:spacing w:after="0" w:line="240" w:lineRule="auto"/>
              <w:jc w:val="center"/>
              <w:rPr>
                <w:rFonts w:ascii="Times New Roman" w:eastAsia="Times New Roman" w:hAnsi="Times New Roman" w:cs="Times New Roman"/>
                <w:b/>
                <w:bCs/>
                <w:sz w:val="20"/>
                <w:szCs w:val="20"/>
              </w:rPr>
            </w:pPr>
          </w:p>
        </w:tc>
        <w:tc>
          <w:tcPr>
            <w:tcW w:w="1754" w:type="dxa"/>
            <w:tcBorders>
              <w:top w:val="single" w:sz="4" w:space="0" w:color="auto"/>
              <w:left w:val="nil"/>
              <w:bottom w:val="single" w:sz="4" w:space="0" w:color="auto"/>
              <w:right w:val="nil"/>
            </w:tcBorders>
            <w:shd w:val="clear" w:color="auto" w:fill="auto"/>
            <w:vAlign w:val="center"/>
          </w:tcPr>
          <w:p w14:paraId="6F8D2A77" w14:textId="77777777" w:rsidR="00DA72C6" w:rsidRPr="0055428F" w:rsidRDefault="00DA72C6" w:rsidP="00F331D5">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1</w:t>
            </w:r>
          </w:p>
        </w:tc>
        <w:tc>
          <w:tcPr>
            <w:tcW w:w="1486" w:type="dxa"/>
            <w:tcBorders>
              <w:top w:val="single" w:sz="4" w:space="0" w:color="auto"/>
              <w:left w:val="nil"/>
              <w:bottom w:val="single" w:sz="4" w:space="0" w:color="auto"/>
              <w:right w:val="nil"/>
            </w:tcBorders>
            <w:shd w:val="clear" w:color="auto" w:fill="auto"/>
            <w:vAlign w:val="center"/>
          </w:tcPr>
          <w:p w14:paraId="15A30EAB" w14:textId="77777777" w:rsidR="00DA72C6" w:rsidRPr="0055428F" w:rsidRDefault="00DA72C6" w:rsidP="00F331D5">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2</w:t>
            </w:r>
          </w:p>
        </w:tc>
        <w:tc>
          <w:tcPr>
            <w:tcW w:w="1620" w:type="dxa"/>
            <w:tcBorders>
              <w:top w:val="single" w:sz="4" w:space="0" w:color="auto"/>
              <w:left w:val="nil"/>
              <w:bottom w:val="single" w:sz="4" w:space="0" w:color="auto"/>
              <w:right w:val="nil"/>
            </w:tcBorders>
            <w:shd w:val="clear" w:color="auto" w:fill="auto"/>
            <w:vAlign w:val="center"/>
          </w:tcPr>
          <w:p w14:paraId="2B767E47" w14:textId="77777777" w:rsidR="00DA72C6" w:rsidRPr="0055428F" w:rsidRDefault="00DA72C6" w:rsidP="00F331D5">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3</w:t>
            </w:r>
          </w:p>
        </w:tc>
        <w:tc>
          <w:tcPr>
            <w:tcW w:w="1800" w:type="dxa"/>
            <w:tcBorders>
              <w:top w:val="single" w:sz="4" w:space="0" w:color="auto"/>
              <w:left w:val="nil"/>
              <w:bottom w:val="single" w:sz="4" w:space="0" w:color="auto"/>
              <w:right w:val="nil"/>
            </w:tcBorders>
            <w:shd w:val="clear" w:color="auto" w:fill="auto"/>
            <w:vAlign w:val="center"/>
          </w:tcPr>
          <w:p w14:paraId="7BD7408E" w14:textId="77777777" w:rsidR="00DA72C6" w:rsidRPr="0055428F" w:rsidRDefault="00DA72C6" w:rsidP="00F331D5">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4</w:t>
            </w:r>
          </w:p>
        </w:tc>
        <w:tc>
          <w:tcPr>
            <w:tcW w:w="1710" w:type="dxa"/>
            <w:tcBorders>
              <w:top w:val="single" w:sz="4" w:space="0" w:color="auto"/>
              <w:left w:val="nil"/>
              <w:bottom w:val="single" w:sz="4" w:space="0" w:color="auto"/>
              <w:right w:val="nil"/>
            </w:tcBorders>
            <w:shd w:val="clear" w:color="auto" w:fill="auto"/>
            <w:vAlign w:val="center"/>
          </w:tcPr>
          <w:p w14:paraId="0BD494D4" w14:textId="77777777" w:rsidR="00DA72C6" w:rsidRPr="0055428F" w:rsidRDefault="00DA72C6" w:rsidP="00F331D5">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5</w:t>
            </w:r>
          </w:p>
        </w:tc>
        <w:tc>
          <w:tcPr>
            <w:tcW w:w="990" w:type="dxa"/>
            <w:tcBorders>
              <w:top w:val="single" w:sz="4" w:space="0" w:color="auto"/>
              <w:left w:val="nil"/>
              <w:bottom w:val="nil"/>
              <w:right w:val="nil"/>
            </w:tcBorders>
            <w:shd w:val="clear" w:color="auto" w:fill="auto"/>
            <w:vAlign w:val="center"/>
          </w:tcPr>
          <w:p w14:paraId="755E4BA0" w14:textId="77777777" w:rsidR="00DA72C6" w:rsidRPr="0055428F" w:rsidRDefault="00DA72C6" w:rsidP="00F331D5">
            <w:pPr>
              <w:spacing w:after="0" w:line="240" w:lineRule="auto"/>
              <w:jc w:val="center"/>
              <w:rPr>
                <w:rFonts w:ascii="Times New Roman" w:eastAsia="Times New Roman" w:hAnsi="Times New Roman" w:cs="Times New Roman"/>
                <w:b/>
                <w:bCs/>
                <w:sz w:val="20"/>
                <w:szCs w:val="20"/>
              </w:rPr>
            </w:pPr>
          </w:p>
        </w:tc>
        <w:tc>
          <w:tcPr>
            <w:tcW w:w="1530" w:type="dxa"/>
            <w:tcBorders>
              <w:left w:val="nil"/>
              <w:bottom w:val="nil"/>
              <w:right w:val="nil"/>
            </w:tcBorders>
            <w:shd w:val="clear" w:color="auto" w:fill="auto"/>
            <w:vAlign w:val="center"/>
          </w:tcPr>
          <w:p w14:paraId="3D882552" w14:textId="77777777" w:rsidR="00DA72C6" w:rsidRPr="0055428F" w:rsidRDefault="00DA72C6" w:rsidP="00F331D5">
            <w:pPr>
              <w:spacing w:after="0" w:line="240" w:lineRule="auto"/>
              <w:jc w:val="center"/>
              <w:rPr>
                <w:rFonts w:ascii="Times New Roman" w:eastAsia="Times New Roman" w:hAnsi="Times New Roman" w:cs="Times New Roman"/>
                <w:b/>
                <w:bCs/>
                <w:sz w:val="20"/>
                <w:szCs w:val="20"/>
              </w:rPr>
            </w:pPr>
          </w:p>
        </w:tc>
        <w:tc>
          <w:tcPr>
            <w:tcW w:w="1350" w:type="dxa"/>
            <w:tcBorders>
              <w:left w:val="nil"/>
              <w:bottom w:val="nil"/>
              <w:right w:val="nil"/>
            </w:tcBorders>
            <w:shd w:val="clear" w:color="auto" w:fill="auto"/>
            <w:vAlign w:val="center"/>
          </w:tcPr>
          <w:p w14:paraId="2B0C9FB8" w14:textId="77777777" w:rsidR="00DA72C6" w:rsidRPr="0055428F" w:rsidRDefault="00DA72C6" w:rsidP="00F331D5">
            <w:pPr>
              <w:spacing w:after="0" w:line="240" w:lineRule="auto"/>
              <w:jc w:val="center"/>
              <w:rPr>
                <w:rFonts w:ascii="Times New Roman" w:eastAsia="Times New Roman" w:hAnsi="Times New Roman" w:cs="Times New Roman"/>
                <w:b/>
                <w:bCs/>
                <w:sz w:val="20"/>
                <w:szCs w:val="20"/>
              </w:rPr>
            </w:pPr>
          </w:p>
        </w:tc>
      </w:tr>
      <w:tr w:rsidR="0055428F" w:rsidRPr="0055428F" w14:paraId="0728F4BC" w14:textId="77777777" w:rsidTr="00D41F81">
        <w:trPr>
          <w:trHeight w:val="419"/>
        </w:trPr>
        <w:tc>
          <w:tcPr>
            <w:tcW w:w="1710" w:type="dxa"/>
            <w:vMerge w:val="restart"/>
            <w:tcBorders>
              <w:left w:val="nil"/>
              <w:right w:val="nil"/>
            </w:tcBorders>
            <w:shd w:val="clear" w:color="auto" w:fill="auto"/>
            <w:vAlign w:val="center"/>
          </w:tcPr>
          <w:p w14:paraId="3644541A" w14:textId="34108EE1" w:rsidR="00D41F81" w:rsidRPr="0055428F" w:rsidRDefault="00D41F81" w:rsidP="00F331D5">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Dietary Fatty Acid Patterns</w:t>
            </w:r>
            <w:r w:rsidR="00925305" w:rsidRPr="0055428F">
              <w:rPr>
                <w:rFonts w:ascii="Times New Roman" w:hAnsi="Times New Roman" w:cs="Times New Roman"/>
                <w:vertAlign w:val="superscript"/>
              </w:rPr>
              <w:t>†</w:t>
            </w:r>
          </w:p>
        </w:tc>
        <w:tc>
          <w:tcPr>
            <w:tcW w:w="1754" w:type="dxa"/>
            <w:tcBorders>
              <w:top w:val="single" w:sz="4" w:space="0" w:color="auto"/>
              <w:left w:val="nil"/>
              <w:bottom w:val="single" w:sz="4" w:space="0" w:color="auto"/>
              <w:right w:val="nil"/>
            </w:tcBorders>
            <w:shd w:val="clear" w:color="auto" w:fill="auto"/>
            <w:vAlign w:val="center"/>
          </w:tcPr>
          <w:p w14:paraId="765B48C0" w14:textId="77777777" w:rsidR="00D41F81" w:rsidRPr="0055428F" w:rsidRDefault="00D41F81" w:rsidP="00F331D5">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n=1678</w:t>
            </w:r>
          </w:p>
        </w:tc>
        <w:tc>
          <w:tcPr>
            <w:tcW w:w="1486" w:type="dxa"/>
            <w:tcBorders>
              <w:top w:val="single" w:sz="4" w:space="0" w:color="auto"/>
              <w:left w:val="nil"/>
              <w:bottom w:val="single" w:sz="4" w:space="0" w:color="auto"/>
              <w:right w:val="nil"/>
            </w:tcBorders>
            <w:shd w:val="clear" w:color="auto" w:fill="auto"/>
            <w:vAlign w:val="center"/>
          </w:tcPr>
          <w:p w14:paraId="2702EFC1" w14:textId="77777777" w:rsidR="00D41F81" w:rsidRPr="0055428F" w:rsidRDefault="00D41F81" w:rsidP="00F331D5">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n=1679</w:t>
            </w:r>
          </w:p>
        </w:tc>
        <w:tc>
          <w:tcPr>
            <w:tcW w:w="1620" w:type="dxa"/>
            <w:tcBorders>
              <w:top w:val="single" w:sz="4" w:space="0" w:color="auto"/>
              <w:left w:val="nil"/>
              <w:bottom w:val="single" w:sz="4" w:space="0" w:color="auto"/>
              <w:right w:val="nil"/>
            </w:tcBorders>
            <w:shd w:val="clear" w:color="auto" w:fill="auto"/>
            <w:vAlign w:val="center"/>
          </w:tcPr>
          <w:p w14:paraId="36B47849" w14:textId="77777777" w:rsidR="00D41F81" w:rsidRPr="0055428F" w:rsidRDefault="00D41F81" w:rsidP="00F331D5">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n=1679</w:t>
            </w:r>
          </w:p>
        </w:tc>
        <w:tc>
          <w:tcPr>
            <w:tcW w:w="1800" w:type="dxa"/>
            <w:tcBorders>
              <w:top w:val="single" w:sz="4" w:space="0" w:color="auto"/>
              <w:left w:val="nil"/>
              <w:bottom w:val="single" w:sz="4" w:space="0" w:color="auto"/>
              <w:right w:val="nil"/>
            </w:tcBorders>
            <w:shd w:val="clear" w:color="auto" w:fill="auto"/>
            <w:vAlign w:val="center"/>
          </w:tcPr>
          <w:p w14:paraId="447752B3" w14:textId="77777777" w:rsidR="00D41F81" w:rsidRPr="0055428F" w:rsidRDefault="00D41F81" w:rsidP="00F331D5">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n=1679</w:t>
            </w:r>
          </w:p>
        </w:tc>
        <w:tc>
          <w:tcPr>
            <w:tcW w:w="1710" w:type="dxa"/>
            <w:tcBorders>
              <w:top w:val="single" w:sz="4" w:space="0" w:color="auto"/>
              <w:left w:val="nil"/>
              <w:bottom w:val="single" w:sz="4" w:space="0" w:color="auto"/>
              <w:right w:val="nil"/>
            </w:tcBorders>
            <w:shd w:val="clear" w:color="auto" w:fill="auto"/>
            <w:vAlign w:val="center"/>
          </w:tcPr>
          <w:p w14:paraId="30AC7020" w14:textId="77777777" w:rsidR="00D41F81" w:rsidRPr="0055428F" w:rsidRDefault="00D41F81" w:rsidP="00F331D5">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n=1678</w:t>
            </w:r>
          </w:p>
        </w:tc>
        <w:tc>
          <w:tcPr>
            <w:tcW w:w="990" w:type="dxa"/>
            <w:tcBorders>
              <w:left w:val="nil"/>
              <w:right w:val="nil"/>
            </w:tcBorders>
            <w:shd w:val="clear" w:color="auto" w:fill="auto"/>
            <w:vAlign w:val="center"/>
          </w:tcPr>
          <w:p w14:paraId="62563FF5" w14:textId="77777777" w:rsidR="00D41F81" w:rsidRPr="0055428F" w:rsidRDefault="00D41F81" w:rsidP="00F331D5">
            <w:pPr>
              <w:spacing w:after="0" w:line="240" w:lineRule="auto"/>
              <w:jc w:val="center"/>
              <w:rPr>
                <w:rFonts w:ascii="Times New Roman" w:eastAsia="Times New Roman" w:hAnsi="Times New Roman" w:cs="Times New Roman"/>
                <w:b/>
                <w:bCs/>
                <w:sz w:val="20"/>
                <w:szCs w:val="20"/>
              </w:rPr>
            </w:pPr>
          </w:p>
        </w:tc>
        <w:tc>
          <w:tcPr>
            <w:tcW w:w="1530" w:type="dxa"/>
            <w:tcBorders>
              <w:left w:val="nil"/>
              <w:right w:val="nil"/>
            </w:tcBorders>
            <w:shd w:val="clear" w:color="auto" w:fill="auto"/>
            <w:vAlign w:val="center"/>
          </w:tcPr>
          <w:p w14:paraId="21E08D05" w14:textId="77777777" w:rsidR="00D41F81" w:rsidRPr="0055428F" w:rsidRDefault="00D41F81" w:rsidP="00F331D5">
            <w:pPr>
              <w:spacing w:after="0" w:line="240" w:lineRule="auto"/>
              <w:jc w:val="center"/>
              <w:rPr>
                <w:rFonts w:ascii="Times New Roman" w:eastAsia="Times New Roman" w:hAnsi="Times New Roman" w:cs="Times New Roman"/>
                <w:b/>
                <w:bCs/>
                <w:sz w:val="20"/>
                <w:szCs w:val="20"/>
              </w:rPr>
            </w:pPr>
          </w:p>
        </w:tc>
        <w:tc>
          <w:tcPr>
            <w:tcW w:w="1350" w:type="dxa"/>
            <w:tcBorders>
              <w:left w:val="nil"/>
              <w:right w:val="nil"/>
            </w:tcBorders>
            <w:shd w:val="clear" w:color="auto" w:fill="auto"/>
            <w:vAlign w:val="center"/>
          </w:tcPr>
          <w:p w14:paraId="3E8ECBB0" w14:textId="77777777" w:rsidR="00D41F81" w:rsidRPr="0055428F" w:rsidRDefault="00D41F81" w:rsidP="00F331D5">
            <w:pPr>
              <w:spacing w:after="0" w:line="240" w:lineRule="auto"/>
              <w:jc w:val="center"/>
              <w:rPr>
                <w:rFonts w:ascii="Times New Roman" w:eastAsia="Times New Roman" w:hAnsi="Times New Roman" w:cs="Times New Roman"/>
                <w:b/>
                <w:bCs/>
                <w:sz w:val="20"/>
                <w:szCs w:val="20"/>
              </w:rPr>
            </w:pPr>
          </w:p>
        </w:tc>
      </w:tr>
      <w:tr w:rsidR="0055428F" w:rsidRPr="0055428F" w14:paraId="5C5F43A3" w14:textId="77777777" w:rsidTr="00D41F81">
        <w:trPr>
          <w:trHeight w:val="419"/>
        </w:trPr>
        <w:tc>
          <w:tcPr>
            <w:tcW w:w="1710" w:type="dxa"/>
            <w:vMerge/>
            <w:tcBorders>
              <w:left w:val="nil"/>
              <w:bottom w:val="single" w:sz="4" w:space="0" w:color="auto"/>
              <w:right w:val="nil"/>
            </w:tcBorders>
            <w:shd w:val="clear" w:color="auto" w:fill="auto"/>
            <w:vAlign w:val="center"/>
            <w:hideMark/>
          </w:tcPr>
          <w:p w14:paraId="494182F3" w14:textId="77777777" w:rsidR="00D41F81" w:rsidRPr="0055428F" w:rsidRDefault="00D41F81" w:rsidP="0095517B">
            <w:pPr>
              <w:spacing w:after="0" w:line="240" w:lineRule="auto"/>
              <w:jc w:val="center"/>
              <w:rPr>
                <w:rFonts w:ascii="Times New Roman" w:eastAsia="Times New Roman" w:hAnsi="Times New Roman" w:cs="Times New Roman"/>
                <w:b/>
                <w:bCs/>
                <w:sz w:val="20"/>
                <w:szCs w:val="20"/>
              </w:rPr>
            </w:pPr>
          </w:p>
        </w:tc>
        <w:tc>
          <w:tcPr>
            <w:tcW w:w="1754" w:type="dxa"/>
            <w:tcBorders>
              <w:top w:val="single" w:sz="4" w:space="0" w:color="auto"/>
              <w:left w:val="nil"/>
              <w:bottom w:val="single" w:sz="4" w:space="0" w:color="auto"/>
              <w:right w:val="nil"/>
            </w:tcBorders>
            <w:shd w:val="clear" w:color="auto" w:fill="auto"/>
            <w:vAlign w:val="center"/>
          </w:tcPr>
          <w:p w14:paraId="71497605" w14:textId="77777777" w:rsidR="00D41F81" w:rsidRPr="0055428F" w:rsidRDefault="00D41F81" w:rsidP="0095517B">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Mean ± SE</w:t>
            </w:r>
          </w:p>
        </w:tc>
        <w:tc>
          <w:tcPr>
            <w:tcW w:w="1486" w:type="dxa"/>
            <w:tcBorders>
              <w:top w:val="single" w:sz="4" w:space="0" w:color="auto"/>
              <w:left w:val="nil"/>
              <w:bottom w:val="single" w:sz="4" w:space="0" w:color="auto"/>
              <w:right w:val="nil"/>
            </w:tcBorders>
            <w:shd w:val="clear" w:color="auto" w:fill="auto"/>
            <w:vAlign w:val="center"/>
          </w:tcPr>
          <w:p w14:paraId="2A41A48A" w14:textId="77777777" w:rsidR="00D41F81" w:rsidRPr="0055428F" w:rsidRDefault="00D41F81" w:rsidP="0095517B">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Mean ± SE</w:t>
            </w:r>
          </w:p>
        </w:tc>
        <w:tc>
          <w:tcPr>
            <w:tcW w:w="1620" w:type="dxa"/>
            <w:tcBorders>
              <w:top w:val="single" w:sz="4" w:space="0" w:color="auto"/>
              <w:left w:val="nil"/>
              <w:bottom w:val="single" w:sz="4" w:space="0" w:color="auto"/>
              <w:right w:val="nil"/>
            </w:tcBorders>
            <w:shd w:val="clear" w:color="auto" w:fill="auto"/>
            <w:vAlign w:val="center"/>
          </w:tcPr>
          <w:p w14:paraId="33520C63" w14:textId="77777777" w:rsidR="00D41F81" w:rsidRPr="0055428F" w:rsidRDefault="00D41F81" w:rsidP="0095517B">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Mean ± SE</w:t>
            </w:r>
          </w:p>
        </w:tc>
        <w:tc>
          <w:tcPr>
            <w:tcW w:w="1800" w:type="dxa"/>
            <w:tcBorders>
              <w:top w:val="single" w:sz="4" w:space="0" w:color="auto"/>
              <w:left w:val="nil"/>
              <w:bottom w:val="single" w:sz="4" w:space="0" w:color="auto"/>
              <w:right w:val="nil"/>
            </w:tcBorders>
            <w:shd w:val="clear" w:color="auto" w:fill="auto"/>
            <w:vAlign w:val="center"/>
          </w:tcPr>
          <w:p w14:paraId="6DB20C07" w14:textId="77777777" w:rsidR="00D41F81" w:rsidRPr="0055428F" w:rsidRDefault="00D41F81" w:rsidP="0095517B">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Mean ± SE</w:t>
            </w:r>
          </w:p>
        </w:tc>
        <w:tc>
          <w:tcPr>
            <w:tcW w:w="1710" w:type="dxa"/>
            <w:tcBorders>
              <w:top w:val="single" w:sz="4" w:space="0" w:color="auto"/>
              <w:left w:val="nil"/>
              <w:bottom w:val="single" w:sz="4" w:space="0" w:color="auto"/>
              <w:right w:val="nil"/>
            </w:tcBorders>
            <w:shd w:val="clear" w:color="auto" w:fill="auto"/>
            <w:vAlign w:val="center"/>
          </w:tcPr>
          <w:p w14:paraId="62844F1E" w14:textId="77777777" w:rsidR="00D41F81" w:rsidRPr="0055428F" w:rsidRDefault="00D41F81" w:rsidP="0095517B">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Mean ± SE</w:t>
            </w:r>
          </w:p>
        </w:tc>
        <w:tc>
          <w:tcPr>
            <w:tcW w:w="990" w:type="dxa"/>
            <w:tcBorders>
              <w:left w:val="nil"/>
              <w:bottom w:val="single" w:sz="4" w:space="0" w:color="auto"/>
              <w:right w:val="nil"/>
            </w:tcBorders>
            <w:shd w:val="clear" w:color="auto" w:fill="auto"/>
            <w:vAlign w:val="center"/>
            <w:hideMark/>
          </w:tcPr>
          <w:p w14:paraId="08DC255E" w14:textId="77777777" w:rsidR="00D41F81" w:rsidRPr="0055428F" w:rsidRDefault="00D41F81" w:rsidP="0095517B">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i/>
                <w:iCs/>
                <w:sz w:val="20"/>
                <w:szCs w:val="20"/>
              </w:rPr>
              <w:t>P</w:t>
            </w:r>
            <w:r w:rsidRPr="0055428F">
              <w:rPr>
                <w:rFonts w:ascii="Times New Roman" w:eastAsia="Times New Roman" w:hAnsi="Times New Roman" w:cs="Times New Roman"/>
                <w:b/>
                <w:bCs/>
                <w:sz w:val="20"/>
                <w:szCs w:val="20"/>
                <w:vertAlign w:val="subscript"/>
              </w:rPr>
              <w:t>F-test</w:t>
            </w:r>
          </w:p>
        </w:tc>
        <w:tc>
          <w:tcPr>
            <w:tcW w:w="1530" w:type="dxa"/>
            <w:tcBorders>
              <w:left w:val="nil"/>
              <w:bottom w:val="single" w:sz="4" w:space="0" w:color="auto"/>
              <w:right w:val="nil"/>
            </w:tcBorders>
            <w:shd w:val="clear" w:color="auto" w:fill="auto"/>
            <w:vAlign w:val="center"/>
            <w:hideMark/>
          </w:tcPr>
          <w:p w14:paraId="0092371B" w14:textId="73EA1C0F" w:rsidR="00D41F81" w:rsidRPr="0055428F" w:rsidRDefault="00D41F81" w:rsidP="0095517B">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β ± SE</w:t>
            </w:r>
            <w:r w:rsidR="00EE6C59" w:rsidRPr="0055428F">
              <w:rPr>
                <w:rFonts w:ascii="inherit" w:hAnsi="inherit" w:cs="Arial"/>
                <w:vertAlign w:val="superscript"/>
              </w:rPr>
              <w:t>§</w:t>
            </w:r>
            <w:r w:rsidR="00EE6C59" w:rsidRPr="0055428F">
              <w:rPr>
                <w:rFonts w:ascii="Times New Roman" w:hAnsi="Times New Roman" w:cs="Times New Roman"/>
              </w:rPr>
              <w:t>,</w:t>
            </w:r>
            <w:r w:rsidR="00EE6C59" w:rsidRPr="0055428F">
              <w:rPr>
                <w:rFonts w:ascii="inherit" w:hAnsi="inherit" w:cs="Arial"/>
                <w:vertAlign w:val="superscript"/>
              </w:rPr>
              <w:t>¶</w:t>
            </w:r>
          </w:p>
        </w:tc>
        <w:tc>
          <w:tcPr>
            <w:tcW w:w="1350" w:type="dxa"/>
            <w:tcBorders>
              <w:left w:val="nil"/>
              <w:bottom w:val="single" w:sz="4" w:space="0" w:color="auto"/>
              <w:right w:val="nil"/>
            </w:tcBorders>
            <w:shd w:val="clear" w:color="auto" w:fill="auto"/>
            <w:vAlign w:val="center"/>
            <w:hideMark/>
          </w:tcPr>
          <w:p w14:paraId="0458C3E1" w14:textId="5D396E64" w:rsidR="00D41F81" w:rsidRPr="0055428F" w:rsidRDefault="00F2535E" w:rsidP="0095517B">
            <w:pPr>
              <w:spacing w:after="0" w:line="240" w:lineRule="auto"/>
              <w:jc w:val="center"/>
              <w:rPr>
                <w:rFonts w:ascii="Times New Roman" w:eastAsia="Times New Roman" w:hAnsi="Times New Roman" w:cs="Times New Roman"/>
                <w:b/>
                <w:bCs/>
                <w:i/>
                <w:iCs/>
                <w:sz w:val="20"/>
                <w:szCs w:val="20"/>
              </w:rPr>
            </w:pPr>
            <w:r w:rsidRPr="0055428F">
              <w:rPr>
                <w:rFonts w:ascii="Times New Roman" w:eastAsia="Times New Roman" w:hAnsi="Times New Roman" w:cs="Times New Roman"/>
                <w:b/>
                <w:bCs/>
                <w:i/>
                <w:iCs/>
                <w:sz w:val="20"/>
                <w:szCs w:val="20"/>
              </w:rPr>
              <w:t>P</w:t>
            </w:r>
          </w:p>
        </w:tc>
      </w:tr>
      <w:tr w:rsidR="0055428F" w:rsidRPr="0055428F" w14:paraId="36C77E6B" w14:textId="77777777" w:rsidTr="00D41F81">
        <w:trPr>
          <w:trHeight w:val="419"/>
        </w:trPr>
        <w:tc>
          <w:tcPr>
            <w:tcW w:w="1710" w:type="dxa"/>
            <w:tcBorders>
              <w:top w:val="single" w:sz="4" w:space="0" w:color="auto"/>
              <w:left w:val="nil"/>
              <w:bottom w:val="nil"/>
              <w:right w:val="nil"/>
            </w:tcBorders>
            <w:shd w:val="clear" w:color="auto" w:fill="auto"/>
            <w:vAlign w:val="center"/>
            <w:hideMark/>
          </w:tcPr>
          <w:p w14:paraId="4DB2B2B1" w14:textId="77777777" w:rsidR="00DA72C6" w:rsidRPr="0055428F" w:rsidRDefault="00DA72C6" w:rsidP="00DA72C6">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Factor</w:t>
            </w:r>
            <w:r w:rsidR="00B645BB" w:rsidRPr="0055428F">
              <w:rPr>
                <w:rFonts w:ascii="Times New Roman" w:eastAsia="Times New Roman" w:hAnsi="Times New Roman" w:cs="Times New Roman"/>
                <w:b/>
                <w:bCs/>
                <w:sz w:val="20"/>
                <w:szCs w:val="20"/>
              </w:rPr>
              <w:t xml:space="preserve"> </w:t>
            </w:r>
            <w:r w:rsidRPr="0055428F">
              <w:rPr>
                <w:rFonts w:ascii="Times New Roman" w:eastAsia="Times New Roman" w:hAnsi="Times New Roman" w:cs="Times New Roman"/>
                <w:b/>
                <w:bCs/>
                <w:sz w:val="20"/>
                <w:szCs w:val="20"/>
              </w:rPr>
              <w:t>1</w:t>
            </w:r>
          </w:p>
        </w:tc>
        <w:tc>
          <w:tcPr>
            <w:tcW w:w="1754" w:type="dxa"/>
            <w:tcBorders>
              <w:top w:val="single" w:sz="4" w:space="0" w:color="auto"/>
              <w:left w:val="nil"/>
              <w:bottom w:val="nil"/>
              <w:right w:val="nil"/>
            </w:tcBorders>
            <w:shd w:val="clear" w:color="auto" w:fill="auto"/>
            <w:noWrap/>
          </w:tcPr>
          <w:p w14:paraId="5B7E0F29"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-0.062 ± 0.18</w:t>
            </w:r>
          </w:p>
        </w:tc>
        <w:tc>
          <w:tcPr>
            <w:tcW w:w="1486" w:type="dxa"/>
            <w:tcBorders>
              <w:top w:val="single" w:sz="4" w:space="0" w:color="auto"/>
              <w:left w:val="nil"/>
              <w:bottom w:val="nil"/>
              <w:right w:val="nil"/>
            </w:tcBorders>
            <w:shd w:val="clear" w:color="auto" w:fill="auto"/>
            <w:noWrap/>
          </w:tcPr>
          <w:p w14:paraId="0E187017"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-0.046 ± 0.18</w:t>
            </w:r>
          </w:p>
        </w:tc>
        <w:tc>
          <w:tcPr>
            <w:tcW w:w="1620" w:type="dxa"/>
            <w:tcBorders>
              <w:top w:val="single" w:sz="4" w:space="0" w:color="auto"/>
              <w:left w:val="nil"/>
              <w:bottom w:val="nil"/>
              <w:right w:val="nil"/>
            </w:tcBorders>
            <w:shd w:val="clear" w:color="auto" w:fill="auto"/>
          </w:tcPr>
          <w:p w14:paraId="5A90CDD0"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-0.017 ± 0.19</w:t>
            </w:r>
          </w:p>
        </w:tc>
        <w:tc>
          <w:tcPr>
            <w:tcW w:w="1800" w:type="dxa"/>
            <w:tcBorders>
              <w:top w:val="single" w:sz="4" w:space="0" w:color="auto"/>
              <w:left w:val="nil"/>
              <w:bottom w:val="nil"/>
              <w:right w:val="nil"/>
            </w:tcBorders>
            <w:shd w:val="clear" w:color="auto" w:fill="auto"/>
            <w:noWrap/>
          </w:tcPr>
          <w:p w14:paraId="00348BE5"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-0.048 ± 0.19</w:t>
            </w:r>
          </w:p>
        </w:tc>
        <w:tc>
          <w:tcPr>
            <w:tcW w:w="1710" w:type="dxa"/>
            <w:tcBorders>
              <w:top w:val="single" w:sz="4" w:space="0" w:color="auto"/>
              <w:left w:val="nil"/>
              <w:bottom w:val="nil"/>
              <w:right w:val="nil"/>
            </w:tcBorders>
            <w:shd w:val="clear" w:color="auto" w:fill="auto"/>
          </w:tcPr>
          <w:p w14:paraId="7AE76FCF"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0.0056 ± 0.18</w:t>
            </w:r>
          </w:p>
        </w:tc>
        <w:tc>
          <w:tcPr>
            <w:tcW w:w="990" w:type="dxa"/>
            <w:tcBorders>
              <w:top w:val="single" w:sz="4" w:space="0" w:color="auto"/>
              <w:left w:val="nil"/>
              <w:bottom w:val="nil"/>
              <w:right w:val="nil"/>
            </w:tcBorders>
            <w:shd w:val="clear" w:color="auto" w:fill="auto"/>
          </w:tcPr>
          <w:p w14:paraId="1BB94B11"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w:t>
            </w:r>
            <w:r w:rsidR="009E0F96" w:rsidRPr="0055428F">
              <w:rPr>
                <w:rFonts w:ascii="Times New Roman" w:hAnsi="Times New Roman" w:cs="Times New Roman"/>
                <w:sz w:val="20"/>
                <w:szCs w:val="20"/>
              </w:rPr>
              <w:t>24</w:t>
            </w:r>
          </w:p>
        </w:tc>
        <w:tc>
          <w:tcPr>
            <w:tcW w:w="1530" w:type="dxa"/>
            <w:tcBorders>
              <w:top w:val="single" w:sz="4" w:space="0" w:color="auto"/>
              <w:left w:val="nil"/>
              <w:bottom w:val="nil"/>
              <w:right w:val="nil"/>
            </w:tcBorders>
            <w:shd w:val="clear" w:color="auto" w:fill="auto"/>
          </w:tcPr>
          <w:p w14:paraId="2E819E93"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0.015 ± 0.012</w:t>
            </w:r>
          </w:p>
        </w:tc>
        <w:tc>
          <w:tcPr>
            <w:tcW w:w="1350" w:type="dxa"/>
            <w:tcBorders>
              <w:top w:val="single" w:sz="4" w:space="0" w:color="auto"/>
              <w:left w:val="nil"/>
              <w:bottom w:val="nil"/>
              <w:right w:val="nil"/>
            </w:tcBorders>
            <w:shd w:val="clear" w:color="auto" w:fill="auto"/>
          </w:tcPr>
          <w:p w14:paraId="3DAD273F"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w:t>
            </w:r>
            <w:r w:rsidR="009E0F96" w:rsidRPr="0055428F">
              <w:rPr>
                <w:rFonts w:ascii="Times New Roman" w:hAnsi="Times New Roman" w:cs="Times New Roman"/>
                <w:sz w:val="20"/>
                <w:szCs w:val="20"/>
              </w:rPr>
              <w:t>20</w:t>
            </w:r>
          </w:p>
        </w:tc>
      </w:tr>
      <w:tr w:rsidR="0055428F" w:rsidRPr="0055428F" w14:paraId="114CB9BF" w14:textId="77777777" w:rsidTr="00D41F81">
        <w:trPr>
          <w:trHeight w:val="419"/>
        </w:trPr>
        <w:tc>
          <w:tcPr>
            <w:tcW w:w="1710" w:type="dxa"/>
            <w:tcBorders>
              <w:top w:val="nil"/>
              <w:left w:val="nil"/>
              <w:bottom w:val="nil"/>
              <w:right w:val="nil"/>
            </w:tcBorders>
            <w:shd w:val="clear" w:color="auto" w:fill="auto"/>
            <w:vAlign w:val="center"/>
            <w:hideMark/>
          </w:tcPr>
          <w:p w14:paraId="1E49A33E" w14:textId="77777777" w:rsidR="00DA72C6" w:rsidRPr="0055428F" w:rsidRDefault="00DA72C6" w:rsidP="00DA72C6">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Factor</w:t>
            </w:r>
            <w:r w:rsidR="00B645BB" w:rsidRPr="0055428F">
              <w:rPr>
                <w:rFonts w:ascii="Times New Roman" w:eastAsia="Times New Roman" w:hAnsi="Times New Roman" w:cs="Times New Roman"/>
                <w:b/>
                <w:bCs/>
                <w:sz w:val="20"/>
                <w:szCs w:val="20"/>
              </w:rPr>
              <w:t xml:space="preserve"> </w:t>
            </w:r>
            <w:r w:rsidRPr="0055428F">
              <w:rPr>
                <w:rFonts w:ascii="Times New Roman" w:eastAsia="Times New Roman" w:hAnsi="Times New Roman" w:cs="Times New Roman"/>
                <w:b/>
                <w:bCs/>
                <w:sz w:val="20"/>
                <w:szCs w:val="20"/>
              </w:rPr>
              <w:t>2</w:t>
            </w:r>
          </w:p>
        </w:tc>
        <w:tc>
          <w:tcPr>
            <w:tcW w:w="1754" w:type="dxa"/>
            <w:tcBorders>
              <w:top w:val="nil"/>
              <w:left w:val="nil"/>
              <w:bottom w:val="nil"/>
              <w:right w:val="nil"/>
            </w:tcBorders>
            <w:shd w:val="clear" w:color="auto" w:fill="auto"/>
          </w:tcPr>
          <w:p w14:paraId="0A08493C"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-0.04</w:t>
            </w:r>
            <w:r w:rsidR="001140F0" w:rsidRPr="0055428F">
              <w:rPr>
                <w:rFonts w:ascii="Times New Roman" w:hAnsi="Times New Roman" w:cs="Times New Roman"/>
                <w:sz w:val="20"/>
                <w:szCs w:val="20"/>
              </w:rPr>
              <w:t>0</w:t>
            </w:r>
            <w:r w:rsidRPr="0055428F">
              <w:rPr>
                <w:rFonts w:ascii="Times New Roman" w:hAnsi="Times New Roman" w:cs="Times New Roman"/>
                <w:sz w:val="20"/>
                <w:szCs w:val="20"/>
              </w:rPr>
              <w:t xml:space="preserve"> ± 0.18</w:t>
            </w:r>
            <w:r w:rsidRPr="0055428F">
              <w:rPr>
                <w:rFonts w:ascii="Times New Roman" w:hAnsi="Times New Roman" w:cs="Times New Roman"/>
                <w:sz w:val="20"/>
                <w:szCs w:val="20"/>
                <w:vertAlign w:val="superscript"/>
              </w:rPr>
              <w:t>a</w:t>
            </w:r>
          </w:p>
        </w:tc>
        <w:tc>
          <w:tcPr>
            <w:tcW w:w="1486" w:type="dxa"/>
            <w:tcBorders>
              <w:top w:val="nil"/>
              <w:left w:val="nil"/>
              <w:bottom w:val="nil"/>
              <w:right w:val="nil"/>
            </w:tcBorders>
            <w:shd w:val="clear" w:color="auto" w:fill="auto"/>
          </w:tcPr>
          <w:p w14:paraId="7AEE2FC0"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-0.034 ± 0.18</w:t>
            </w:r>
            <w:r w:rsidRPr="0055428F">
              <w:rPr>
                <w:rFonts w:ascii="Times New Roman" w:hAnsi="Times New Roman" w:cs="Times New Roman"/>
                <w:sz w:val="20"/>
                <w:szCs w:val="20"/>
                <w:vertAlign w:val="superscript"/>
              </w:rPr>
              <w:t>a</w:t>
            </w:r>
          </w:p>
        </w:tc>
        <w:tc>
          <w:tcPr>
            <w:tcW w:w="1620" w:type="dxa"/>
            <w:tcBorders>
              <w:top w:val="nil"/>
              <w:left w:val="nil"/>
              <w:bottom w:val="nil"/>
              <w:right w:val="nil"/>
            </w:tcBorders>
            <w:shd w:val="clear" w:color="auto" w:fill="auto"/>
          </w:tcPr>
          <w:p w14:paraId="1EAAD85B"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w:t>
            </w:r>
            <w:r w:rsidR="001140F0" w:rsidRPr="0055428F">
              <w:rPr>
                <w:rFonts w:ascii="Times New Roman" w:hAnsi="Times New Roman" w:cs="Times New Roman"/>
                <w:sz w:val="20"/>
                <w:szCs w:val="20"/>
              </w:rPr>
              <w:t>0</w:t>
            </w:r>
            <w:r w:rsidRPr="0055428F">
              <w:rPr>
                <w:rFonts w:ascii="Times New Roman" w:hAnsi="Times New Roman" w:cs="Times New Roman"/>
                <w:sz w:val="20"/>
                <w:szCs w:val="20"/>
              </w:rPr>
              <w:t xml:space="preserve"> ± 0.18</w:t>
            </w:r>
            <w:r w:rsidRPr="0055428F">
              <w:rPr>
                <w:rFonts w:ascii="Times New Roman" w:hAnsi="Times New Roman" w:cs="Times New Roman"/>
                <w:sz w:val="20"/>
                <w:szCs w:val="20"/>
                <w:vertAlign w:val="superscript"/>
              </w:rPr>
              <w:t>a,b</w:t>
            </w:r>
          </w:p>
        </w:tc>
        <w:tc>
          <w:tcPr>
            <w:tcW w:w="1800" w:type="dxa"/>
            <w:tcBorders>
              <w:top w:val="nil"/>
              <w:left w:val="nil"/>
              <w:bottom w:val="nil"/>
              <w:right w:val="nil"/>
            </w:tcBorders>
            <w:shd w:val="clear" w:color="auto" w:fill="auto"/>
          </w:tcPr>
          <w:p w14:paraId="1B3ADB6D"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0.00</w:t>
            </w:r>
            <w:r w:rsidR="001140F0" w:rsidRPr="0055428F">
              <w:rPr>
                <w:rFonts w:ascii="Times New Roman" w:hAnsi="Times New Roman" w:cs="Times New Roman"/>
                <w:sz w:val="20"/>
                <w:szCs w:val="20"/>
              </w:rPr>
              <w:t>9</w:t>
            </w:r>
            <w:r w:rsidRPr="0055428F">
              <w:rPr>
                <w:rFonts w:ascii="Times New Roman" w:hAnsi="Times New Roman" w:cs="Times New Roman"/>
                <w:sz w:val="20"/>
                <w:szCs w:val="20"/>
              </w:rPr>
              <w:t xml:space="preserve"> ± 0.18</w:t>
            </w:r>
            <w:r w:rsidRPr="0055428F">
              <w:rPr>
                <w:rFonts w:ascii="Times New Roman" w:hAnsi="Times New Roman" w:cs="Times New Roman"/>
                <w:sz w:val="20"/>
                <w:szCs w:val="20"/>
                <w:vertAlign w:val="superscript"/>
              </w:rPr>
              <w:t>a,b</w:t>
            </w:r>
          </w:p>
        </w:tc>
        <w:tc>
          <w:tcPr>
            <w:tcW w:w="1710" w:type="dxa"/>
            <w:tcBorders>
              <w:top w:val="nil"/>
              <w:left w:val="nil"/>
              <w:bottom w:val="nil"/>
              <w:right w:val="nil"/>
            </w:tcBorders>
            <w:shd w:val="clear" w:color="auto" w:fill="auto"/>
          </w:tcPr>
          <w:p w14:paraId="3C009933"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0.077 ± 0.18</w:t>
            </w:r>
            <w:r w:rsidRPr="0055428F">
              <w:rPr>
                <w:rFonts w:ascii="Times New Roman" w:hAnsi="Times New Roman" w:cs="Times New Roman"/>
                <w:sz w:val="20"/>
                <w:szCs w:val="20"/>
                <w:vertAlign w:val="superscript"/>
              </w:rPr>
              <w:t>b</w:t>
            </w:r>
          </w:p>
        </w:tc>
        <w:tc>
          <w:tcPr>
            <w:tcW w:w="990" w:type="dxa"/>
            <w:tcBorders>
              <w:top w:val="nil"/>
              <w:left w:val="nil"/>
              <w:bottom w:val="nil"/>
              <w:right w:val="nil"/>
            </w:tcBorders>
            <w:shd w:val="clear" w:color="auto" w:fill="auto"/>
          </w:tcPr>
          <w:p w14:paraId="7E0200A1"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w:t>
            </w:r>
            <w:r w:rsidR="009E0F96" w:rsidRPr="0055428F">
              <w:rPr>
                <w:rFonts w:ascii="Times New Roman" w:hAnsi="Times New Roman" w:cs="Times New Roman"/>
                <w:sz w:val="20"/>
                <w:szCs w:val="20"/>
              </w:rPr>
              <w:t>01</w:t>
            </w:r>
          </w:p>
        </w:tc>
        <w:tc>
          <w:tcPr>
            <w:tcW w:w="1530" w:type="dxa"/>
            <w:tcBorders>
              <w:top w:val="nil"/>
              <w:left w:val="nil"/>
              <w:bottom w:val="nil"/>
              <w:right w:val="nil"/>
            </w:tcBorders>
            <w:shd w:val="clear" w:color="auto" w:fill="auto"/>
          </w:tcPr>
          <w:p w14:paraId="2DDF2F27"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0.041 ± 0.013</w:t>
            </w:r>
          </w:p>
        </w:tc>
        <w:tc>
          <w:tcPr>
            <w:tcW w:w="1350" w:type="dxa"/>
            <w:tcBorders>
              <w:top w:val="nil"/>
              <w:left w:val="nil"/>
              <w:bottom w:val="nil"/>
              <w:right w:val="nil"/>
            </w:tcBorders>
            <w:shd w:val="clear" w:color="auto" w:fill="auto"/>
          </w:tcPr>
          <w:p w14:paraId="6620BF03"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w:t>
            </w:r>
            <w:r w:rsidR="009E0F96" w:rsidRPr="0055428F">
              <w:rPr>
                <w:rFonts w:ascii="Times New Roman" w:hAnsi="Times New Roman" w:cs="Times New Roman"/>
                <w:sz w:val="20"/>
                <w:szCs w:val="20"/>
              </w:rPr>
              <w:t>002</w:t>
            </w:r>
          </w:p>
        </w:tc>
      </w:tr>
      <w:tr w:rsidR="0055428F" w:rsidRPr="0055428F" w14:paraId="77796F25" w14:textId="77777777" w:rsidTr="00D41F81">
        <w:trPr>
          <w:trHeight w:val="419"/>
        </w:trPr>
        <w:tc>
          <w:tcPr>
            <w:tcW w:w="1710" w:type="dxa"/>
            <w:tcBorders>
              <w:top w:val="nil"/>
              <w:left w:val="nil"/>
              <w:right w:val="nil"/>
            </w:tcBorders>
            <w:shd w:val="clear" w:color="auto" w:fill="auto"/>
            <w:vAlign w:val="center"/>
            <w:hideMark/>
          </w:tcPr>
          <w:p w14:paraId="477E9E31" w14:textId="77777777" w:rsidR="00DA72C6" w:rsidRPr="0055428F" w:rsidRDefault="00DA72C6" w:rsidP="00DA72C6">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Factor</w:t>
            </w:r>
            <w:r w:rsidR="007C2C97" w:rsidRPr="0055428F">
              <w:rPr>
                <w:rFonts w:ascii="Times New Roman" w:eastAsia="Times New Roman" w:hAnsi="Times New Roman" w:cs="Times New Roman"/>
                <w:b/>
                <w:bCs/>
                <w:sz w:val="20"/>
                <w:szCs w:val="20"/>
              </w:rPr>
              <w:t xml:space="preserve"> </w:t>
            </w:r>
            <w:r w:rsidRPr="0055428F">
              <w:rPr>
                <w:rFonts w:ascii="Times New Roman" w:eastAsia="Times New Roman" w:hAnsi="Times New Roman" w:cs="Times New Roman"/>
                <w:b/>
                <w:bCs/>
                <w:sz w:val="20"/>
                <w:szCs w:val="20"/>
              </w:rPr>
              <w:t>3</w:t>
            </w:r>
          </w:p>
        </w:tc>
        <w:tc>
          <w:tcPr>
            <w:tcW w:w="1754" w:type="dxa"/>
            <w:tcBorders>
              <w:top w:val="nil"/>
              <w:left w:val="nil"/>
              <w:right w:val="nil"/>
            </w:tcBorders>
            <w:shd w:val="clear" w:color="auto" w:fill="auto"/>
          </w:tcPr>
          <w:p w14:paraId="5F87946B"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-0.018 ± 0.17</w:t>
            </w:r>
          </w:p>
        </w:tc>
        <w:tc>
          <w:tcPr>
            <w:tcW w:w="1486" w:type="dxa"/>
            <w:tcBorders>
              <w:top w:val="nil"/>
              <w:left w:val="nil"/>
              <w:right w:val="nil"/>
            </w:tcBorders>
            <w:shd w:val="clear" w:color="auto" w:fill="auto"/>
          </w:tcPr>
          <w:p w14:paraId="6F55A5CF"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0.067 ± 0.17</w:t>
            </w:r>
          </w:p>
        </w:tc>
        <w:tc>
          <w:tcPr>
            <w:tcW w:w="1620" w:type="dxa"/>
            <w:tcBorders>
              <w:top w:val="nil"/>
              <w:left w:val="nil"/>
              <w:right w:val="nil"/>
            </w:tcBorders>
            <w:shd w:val="clear" w:color="auto" w:fill="auto"/>
          </w:tcPr>
          <w:p w14:paraId="43C6E757"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0.053 ± 0.17</w:t>
            </w:r>
          </w:p>
        </w:tc>
        <w:tc>
          <w:tcPr>
            <w:tcW w:w="1800" w:type="dxa"/>
            <w:tcBorders>
              <w:top w:val="nil"/>
              <w:left w:val="nil"/>
              <w:right w:val="nil"/>
            </w:tcBorders>
            <w:shd w:val="clear" w:color="auto" w:fill="auto"/>
          </w:tcPr>
          <w:p w14:paraId="40A5D93C"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-0.022 ± 0.17</w:t>
            </w:r>
          </w:p>
        </w:tc>
        <w:tc>
          <w:tcPr>
            <w:tcW w:w="1710" w:type="dxa"/>
            <w:tcBorders>
              <w:top w:val="nil"/>
              <w:left w:val="nil"/>
              <w:right w:val="nil"/>
            </w:tcBorders>
            <w:shd w:val="clear" w:color="auto" w:fill="auto"/>
          </w:tcPr>
          <w:p w14:paraId="358BAA77"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-0.033 ± 0.17</w:t>
            </w:r>
          </w:p>
        </w:tc>
        <w:tc>
          <w:tcPr>
            <w:tcW w:w="990" w:type="dxa"/>
            <w:tcBorders>
              <w:top w:val="nil"/>
              <w:left w:val="nil"/>
              <w:right w:val="nil"/>
            </w:tcBorders>
            <w:shd w:val="clear" w:color="auto" w:fill="auto"/>
          </w:tcPr>
          <w:p w14:paraId="4A175EA3" w14:textId="5D0113C4"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w:t>
            </w:r>
            <w:r w:rsidR="009E0F96" w:rsidRPr="0055428F">
              <w:rPr>
                <w:rFonts w:ascii="Times New Roman" w:hAnsi="Times New Roman" w:cs="Times New Roman"/>
                <w:sz w:val="20"/>
                <w:szCs w:val="20"/>
              </w:rPr>
              <w:t>01</w:t>
            </w:r>
            <w:r w:rsidR="00925305" w:rsidRPr="0055428F">
              <w:rPr>
                <w:rFonts w:ascii="Times New Roman" w:hAnsi="Times New Roman" w:cs="Times New Roman"/>
                <w:vertAlign w:val="superscript"/>
              </w:rPr>
              <w:t>||</w:t>
            </w:r>
          </w:p>
        </w:tc>
        <w:tc>
          <w:tcPr>
            <w:tcW w:w="1530" w:type="dxa"/>
            <w:tcBorders>
              <w:top w:val="nil"/>
              <w:left w:val="nil"/>
              <w:right w:val="nil"/>
            </w:tcBorders>
            <w:shd w:val="clear" w:color="auto" w:fill="auto"/>
            <w:noWrap/>
          </w:tcPr>
          <w:p w14:paraId="7D967106"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 ± 0.017</w:t>
            </w:r>
          </w:p>
        </w:tc>
        <w:tc>
          <w:tcPr>
            <w:tcW w:w="1350" w:type="dxa"/>
            <w:tcBorders>
              <w:top w:val="nil"/>
              <w:left w:val="nil"/>
              <w:right w:val="nil"/>
            </w:tcBorders>
            <w:shd w:val="clear" w:color="auto" w:fill="auto"/>
          </w:tcPr>
          <w:p w14:paraId="0F7ADCE8"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w:t>
            </w:r>
            <w:r w:rsidR="009E0F96" w:rsidRPr="0055428F">
              <w:rPr>
                <w:rFonts w:ascii="Times New Roman" w:hAnsi="Times New Roman" w:cs="Times New Roman"/>
                <w:sz w:val="20"/>
                <w:szCs w:val="20"/>
              </w:rPr>
              <w:t>55</w:t>
            </w:r>
          </w:p>
        </w:tc>
      </w:tr>
      <w:tr w:rsidR="0055428F" w:rsidRPr="0055428F" w14:paraId="6DAE803E" w14:textId="77777777" w:rsidTr="00D41F81">
        <w:trPr>
          <w:trHeight w:val="419"/>
        </w:trPr>
        <w:tc>
          <w:tcPr>
            <w:tcW w:w="1710" w:type="dxa"/>
            <w:tcBorders>
              <w:top w:val="nil"/>
              <w:left w:val="nil"/>
              <w:bottom w:val="single" w:sz="4" w:space="0" w:color="auto"/>
              <w:right w:val="nil"/>
            </w:tcBorders>
            <w:shd w:val="clear" w:color="auto" w:fill="auto"/>
            <w:vAlign w:val="center"/>
            <w:hideMark/>
          </w:tcPr>
          <w:p w14:paraId="08A9C77F" w14:textId="77777777" w:rsidR="00DA72C6" w:rsidRPr="0055428F" w:rsidRDefault="00DA72C6" w:rsidP="00DA72C6">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Factor</w:t>
            </w:r>
            <w:r w:rsidR="00B645BB" w:rsidRPr="0055428F">
              <w:rPr>
                <w:rFonts w:ascii="Times New Roman" w:eastAsia="Times New Roman" w:hAnsi="Times New Roman" w:cs="Times New Roman"/>
                <w:b/>
                <w:bCs/>
                <w:sz w:val="20"/>
                <w:szCs w:val="20"/>
              </w:rPr>
              <w:t xml:space="preserve"> </w:t>
            </w:r>
            <w:r w:rsidRPr="0055428F">
              <w:rPr>
                <w:rFonts w:ascii="Times New Roman" w:eastAsia="Times New Roman" w:hAnsi="Times New Roman" w:cs="Times New Roman"/>
                <w:b/>
                <w:bCs/>
                <w:sz w:val="20"/>
                <w:szCs w:val="20"/>
              </w:rPr>
              <w:t>4</w:t>
            </w:r>
          </w:p>
        </w:tc>
        <w:tc>
          <w:tcPr>
            <w:tcW w:w="1754" w:type="dxa"/>
            <w:tcBorders>
              <w:top w:val="nil"/>
              <w:left w:val="nil"/>
              <w:bottom w:val="single" w:sz="4" w:space="0" w:color="auto"/>
              <w:right w:val="nil"/>
            </w:tcBorders>
            <w:shd w:val="clear" w:color="auto" w:fill="auto"/>
            <w:noWrap/>
          </w:tcPr>
          <w:p w14:paraId="7456F9B9"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-0.12</w:t>
            </w:r>
            <w:r w:rsidR="001140F0" w:rsidRPr="0055428F">
              <w:rPr>
                <w:rFonts w:ascii="Times New Roman" w:hAnsi="Times New Roman" w:cs="Times New Roman"/>
                <w:sz w:val="20"/>
                <w:szCs w:val="20"/>
              </w:rPr>
              <w:t>0</w:t>
            </w:r>
            <w:r w:rsidRPr="0055428F">
              <w:rPr>
                <w:rFonts w:ascii="Times New Roman" w:hAnsi="Times New Roman" w:cs="Times New Roman"/>
                <w:sz w:val="20"/>
                <w:szCs w:val="20"/>
              </w:rPr>
              <w:t xml:space="preserve"> ± 0.19</w:t>
            </w:r>
          </w:p>
        </w:tc>
        <w:tc>
          <w:tcPr>
            <w:tcW w:w="1486" w:type="dxa"/>
            <w:tcBorders>
              <w:top w:val="nil"/>
              <w:left w:val="nil"/>
              <w:bottom w:val="single" w:sz="4" w:space="0" w:color="auto"/>
              <w:right w:val="nil"/>
            </w:tcBorders>
            <w:shd w:val="clear" w:color="auto" w:fill="auto"/>
            <w:noWrap/>
          </w:tcPr>
          <w:p w14:paraId="47B71CF3"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-0.089 ± 0.19</w:t>
            </w:r>
          </w:p>
        </w:tc>
        <w:tc>
          <w:tcPr>
            <w:tcW w:w="1620" w:type="dxa"/>
            <w:tcBorders>
              <w:top w:val="nil"/>
              <w:left w:val="nil"/>
              <w:bottom w:val="single" w:sz="4" w:space="0" w:color="auto"/>
              <w:right w:val="nil"/>
            </w:tcBorders>
            <w:shd w:val="clear" w:color="auto" w:fill="auto"/>
          </w:tcPr>
          <w:p w14:paraId="56DE8219"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-0.014 ± 0.19</w:t>
            </w:r>
          </w:p>
        </w:tc>
        <w:tc>
          <w:tcPr>
            <w:tcW w:w="1800" w:type="dxa"/>
            <w:tcBorders>
              <w:top w:val="nil"/>
              <w:left w:val="nil"/>
              <w:bottom w:val="single" w:sz="4" w:space="0" w:color="auto"/>
              <w:right w:val="nil"/>
            </w:tcBorders>
            <w:shd w:val="clear" w:color="auto" w:fill="auto"/>
          </w:tcPr>
          <w:p w14:paraId="3131E189"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-0.047 ± 0.19</w:t>
            </w:r>
          </w:p>
        </w:tc>
        <w:tc>
          <w:tcPr>
            <w:tcW w:w="1710" w:type="dxa"/>
            <w:tcBorders>
              <w:top w:val="nil"/>
              <w:left w:val="nil"/>
              <w:bottom w:val="single" w:sz="4" w:space="0" w:color="auto"/>
              <w:right w:val="nil"/>
            </w:tcBorders>
            <w:shd w:val="clear" w:color="auto" w:fill="auto"/>
            <w:noWrap/>
          </w:tcPr>
          <w:p w14:paraId="61A60030"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-0.049 ± 0.19</w:t>
            </w:r>
          </w:p>
        </w:tc>
        <w:tc>
          <w:tcPr>
            <w:tcW w:w="990" w:type="dxa"/>
            <w:tcBorders>
              <w:top w:val="nil"/>
              <w:left w:val="nil"/>
              <w:bottom w:val="single" w:sz="4" w:space="0" w:color="auto"/>
              <w:right w:val="nil"/>
            </w:tcBorders>
            <w:shd w:val="clear" w:color="auto" w:fill="auto"/>
          </w:tcPr>
          <w:p w14:paraId="38620CDA"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w:t>
            </w:r>
            <w:r w:rsidR="009E0F96" w:rsidRPr="0055428F">
              <w:rPr>
                <w:rFonts w:ascii="Times New Roman" w:hAnsi="Times New Roman" w:cs="Times New Roman"/>
                <w:sz w:val="20"/>
                <w:szCs w:val="20"/>
              </w:rPr>
              <w:t>05</w:t>
            </w:r>
          </w:p>
        </w:tc>
        <w:tc>
          <w:tcPr>
            <w:tcW w:w="1530" w:type="dxa"/>
            <w:tcBorders>
              <w:top w:val="nil"/>
              <w:left w:val="nil"/>
              <w:bottom w:val="single" w:sz="4" w:space="0" w:color="auto"/>
              <w:right w:val="nil"/>
            </w:tcBorders>
            <w:shd w:val="clear" w:color="auto" w:fill="auto"/>
          </w:tcPr>
          <w:p w14:paraId="2493D1C0"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0.021 ± 0.012</w:t>
            </w:r>
          </w:p>
        </w:tc>
        <w:tc>
          <w:tcPr>
            <w:tcW w:w="1350" w:type="dxa"/>
            <w:tcBorders>
              <w:top w:val="nil"/>
              <w:left w:val="nil"/>
              <w:bottom w:val="single" w:sz="4" w:space="0" w:color="auto"/>
              <w:right w:val="nil"/>
            </w:tcBorders>
            <w:shd w:val="clear" w:color="auto" w:fill="auto"/>
          </w:tcPr>
          <w:p w14:paraId="55E28253" w14:textId="77777777" w:rsidR="00DA72C6" w:rsidRPr="0055428F" w:rsidRDefault="00DA72C6" w:rsidP="00DA72C6">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w:t>
            </w:r>
            <w:r w:rsidR="009E0F96" w:rsidRPr="0055428F">
              <w:rPr>
                <w:rFonts w:ascii="Times New Roman" w:hAnsi="Times New Roman" w:cs="Times New Roman"/>
                <w:sz w:val="20"/>
                <w:szCs w:val="20"/>
              </w:rPr>
              <w:t>09</w:t>
            </w:r>
          </w:p>
        </w:tc>
      </w:tr>
      <w:tr w:rsidR="0055428F" w:rsidRPr="0055428F" w14:paraId="37EC9D16" w14:textId="77777777" w:rsidTr="00D41F81">
        <w:trPr>
          <w:trHeight w:val="419"/>
        </w:trPr>
        <w:tc>
          <w:tcPr>
            <w:tcW w:w="13950" w:type="dxa"/>
            <w:gridSpan w:val="9"/>
            <w:tcBorders>
              <w:top w:val="single" w:sz="4" w:space="0" w:color="auto"/>
              <w:left w:val="nil"/>
              <w:right w:val="nil"/>
            </w:tcBorders>
            <w:shd w:val="clear" w:color="auto" w:fill="auto"/>
            <w:vAlign w:val="center"/>
          </w:tcPr>
          <w:p w14:paraId="5A7ABF69" w14:textId="1C5CC92E" w:rsidR="00D41F81" w:rsidRPr="0055428F" w:rsidRDefault="00EE6C59" w:rsidP="00D41F81">
            <w:pPr>
              <w:contextualSpacing/>
              <w:rPr>
                <w:rFonts w:ascii="Times New Roman" w:eastAsia="Times New Roman" w:hAnsi="Times New Roman" w:cs="Times New Roman"/>
                <w:sz w:val="18"/>
                <w:szCs w:val="18"/>
                <w:vertAlign w:val="superscript"/>
              </w:rPr>
            </w:pPr>
            <w:r w:rsidRPr="0055428F">
              <w:rPr>
                <w:rFonts w:ascii="inherit" w:hAnsi="inherit" w:cs="Arial"/>
                <w:vertAlign w:val="superscript"/>
              </w:rPr>
              <w:t>†</w:t>
            </w:r>
            <w:r w:rsidR="00D41F81" w:rsidRPr="0055428F">
              <w:rPr>
                <w:rFonts w:ascii="Times New Roman" w:eastAsia="Times New Roman" w:hAnsi="Times New Roman" w:cs="Times New Roman"/>
                <w:sz w:val="18"/>
                <w:szCs w:val="18"/>
              </w:rPr>
              <w:t>Dietary fatty acid patterns were characterized by: long chain (13 to 20 C) SFA and MUFA, as well as animal-based MUFA and TFA (</w:t>
            </w:r>
            <w:r w:rsidR="00D41F81" w:rsidRPr="0055428F">
              <w:rPr>
                <w:rFonts w:ascii="Times New Roman" w:eastAsia="Times New Roman" w:hAnsi="Times New Roman" w:cs="Times New Roman"/>
                <w:b/>
                <w:bCs/>
                <w:sz w:val="18"/>
                <w:szCs w:val="18"/>
              </w:rPr>
              <w:t>Factor 1</w:t>
            </w:r>
            <w:r w:rsidR="00D41F81" w:rsidRPr="0055428F">
              <w:rPr>
                <w:rFonts w:ascii="Times New Roman" w:eastAsia="Times New Roman" w:hAnsi="Times New Roman" w:cs="Times New Roman"/>
                <w:sz w:val="18"/>
                <w:szCs w:val="18"/>
              </w:rPr>
              <w:t>);  short (&lt;6 C) and medium chain SFA (6-12 C) (</w:t>
            </w:r>
            <w:r w:rsidR="00D41F81" w:rsidRPr="0055428F">
              <w:rPr>
                <w:rFonts w:ascii="Times New Roman" w:eastAsia="Times New Roman" w:hAnsi="Times New Roman" w:cs="Times New Roman"/>
                <w:b/>
                <w:bCs/>
                <w:sz w:val="18"/>
                <w:szCs w:val="18"/>
              </w:rPr>
              <w:t>Factor 2</w:t>
            </w:r>
            <w:r w:rsidR="00D41F81" w:rsidRPr="0055428F">
              <w:rPr>
                <w:rFonts w:ascii="Times New Roman" w:eastAsia="Times New Roman" w:hAnsi="Times New Roman" w:cs="Times New Roman"/>
                <w:sz w:val="18"/>
                <w:szCs w:val="18"/>
              </w:rPr>
              <w:t>); animal-based omega-3 PUFA (EPA, DPA, and DHA), but also the omega-6 PUFA arachidonic acid (</w:t>
            </w:r>
            <w:r w:rsidR="00D41F81" w:rsidRPr="0055428F">
              <w:rPr>
                <w:rFonts w:ascii="Times New Roman" w:eastAsia="Times New Roman" w:hAnsi="Times New Roman" w:cs="Times New Roman"/>
                <w:b/>
                <w:bCs/>
                <w:sz w:val="18"/>
                <w:szCs w:val="18"/>
              </w:rPr>
              <w:t>Factor 3</w:t>
            </w:r>
            <w:r w:rsidR="00D41F81" w:rsidRPr="0055428F">
              <w:rPr>
                <w:rFonts w:ascii="Times New Roman" w:eastAsia="Times New Roman" w:hAnsi="Times New Roman" w:cs="Times New Roman"/>
                <w:sz w:val="18"/>
                <w:szCs w:val="18"/>
              </w:rPr>
              <w:t>); and long-chain plant-based MUFA, as well as PUFA found in plant food sources (linoleic and linolenic acid) (</w:t>
            </w:r>
            <w:r w:rsidR="00D41F81" w:rsidRPr="0055428F">
              <w:rPr>
                <w:rFonts w:ascii="Times New Roman" w:eastAsia="Times New Roman" w:hAnsi="Times New Roman" w:cs="Times New Roman"/>
                <w:b/>
                <w:bCs/>
                <w:sz w:val="18"/>
                <w:szCs w:val="18"/>
              </w:rPr>
              <w:t>Factor 4</w:t>
            </w:r>
            <w:r w:rsidR="00D41F81" w:rsidRPr="0055428F">
              <w:rPr>
                <w:rFonts w:ascii="Times New Roman" w:eastAsia="Times New Roman" w:hAnsi="Times New Roman" w:cs="Times New Roman"/>
                <w:sz w:val="18"/>
                <w:szCs w:val="18"/>
              </w:rPr>
              <w:t xml:space="preserve">).  </w:t>
            </w:r>
          </w:p>
          <w:p w14:paraId="320E06C6" w14:textId="4CA4D48B" w:rsidR="00026FFE" w:rsidRPr="0055428F" w:rsidRDefault="00EE6C59" w:rsidP="00026FFE">
            <w:pPr>
              <w:contextualSpacing/>
              <w:rPr>
                <w:rFonts w:ascii="Times New Roman" w:eastAsia="Times New Roman" w:hAnsi="Times New Roman" w:cs="Times New Roman"/>
                <w:sz w:val="18"/>
                <w:szCs w:val="18"/>
              </w:rPr>
            </w:pPr>
            <w:r w:rsidRPr="0055428F">
              <w:rPr>
                <w:rFonts w:ascii="inherit" w:hAnsi="inherit" w:cs="Arial"/>
                <w:vertAlign w:val="superscript"/>
              </w:rPr>
              <w:t>‡</w:t>
            </w:r>
            <w:r w:rsidR="00026FFE" w:rsidRPr="0055428F">
              <w:rPr>
                <w:rFonts w:ascii="Times New Roman" w:eastAsia="Times New Roman" w:hAnsi="Times New Roman" w:cs="Times New Roman"/>
                <w:sz w:val="18"/>
                <w:szCs w:val="18"/>
              </w:rPr>
              <w:t>Values represent the adjusted mean ± SE neurocognitive test z-score by factor score quintile. Differences in cognitive function score between factor score quintiles were examined using survey linear regression with factor scores treated categorically and neurocognitive test scores continuously. Tukey’s post-hoc tests were used for pairwise comparisons. Values with different letters are significantly different (</w:t>
            </w:r>
            <w:r w:rsidR="00026FFE" w:rsidRPr="0055428F">
              <w:rPr>
                <w:rFonts w:ascii="Times New Roman" w:eastAsia="Times New Roman" w:hAnsi="Times New Roman" w:cs="Times New Roman"/>
                <w:i/>
                <w:iCs/>
                <w:sz w:val="18"/>
                <w:szCs w:val="18"/>
              </w:rPr>
              <w:t>P</w:t>
            </w:r>
            <w:r w:rsidR="00026FFE" w:rsidRPr="0055428F">
              <w:rPr>
                <w:rFonts w:ascii="Times New Roman" w:eastAsia="Times New Roman" w:hAnsi="Times New Roman" w:cs="Times New Roman"/>
                <w:sz w:val="18"/>
                <w:szCs w:val="18"/>
              </w:rPr>
              <w:t xml:space="preserve">&lt;0.05). </w:t>
            </w:r>
          </w:p>
          <w:p w14:paraId="5F26956C" w14:textId="1F0367C7" w:rsidR="008B2170" w:rsidRPr="0055428F" w:rsidRDefault="00EE6C59" w:rsidP="008B2170">
            <w:pPr>
              <w:contextualSpacing/>
              <w:rPr>
                <w:rFonts w:ascii="Times New Roman" w:hAnsi="Times New Roman" w:cs="Times New Roman"/>
                <w:sz w:val="18"/>
                <w:szCs w:val="18"/>
              </w:rPr>
            </w:pPr>
            <w:r w:rsidRPr="0055428F">
              <w:rPr>
                <w:rFonts w:ascii="inherit" w:hAnsi="inherit" w:cs="Arial"/>
                <w:vertAlign w:val="superscript"/>
              </w:rPr>
              <w:t>§</w:t>
            </w:r>
            <w:r w:rsidR="008B2170" w:rsidRPr="0055428F">
              <w:rPr>
                <w:rFonts w:ascii="Times New Roman" w:eastAsia="Times New Roman" w:hAnsi="Times New Roman" w:cs="Times New Roman"/>
                <w:sz w:val="18"/>
                <w:szCs w:val="18"/>
              </w:rPr>
              <w:t xml:space="preserve">Models are adjusted for </w:t>
            </w:r>
            <w:r w:rsidR="008B2170" w:rsidRPr="0055428F">
              <w:rPr>
                <w:rFonts w:ascii="Times New Roman" w:hAnsi="Times New Roman" w:cs="Times New Roman"/>
                <w:sz w:val="18"/>
                <w:szCs w:val="18"/>
              </w:rPr>
              <w:t xml:space="preserve">age (years), sex (M/F), energy intake (kcals/d), physical activity (MET-min/d), education (&lt; high school, high school or equivalent, &gt; high school), Hispanic/Latino background (Central American, Cuban, Dominican, Mexican, Puerto Rican, South American, and multiple/other/missing), field site (Bronx, Chicago, Miami, San Diego), CES-D score, diabetes (y/n), current smoker (y/n), hypertension (y/n), household income (&lt; $30,000 or not), and dietary intakes of fruits (servings/d/kcal), vegetables (servings/d/kcal), alcohol (servings/d/kcal), added sugar (% of energy/d), B12 (mg/d/kcal), B6 (mg/d/kcal), and niacin (mg/d/kcal).   </w:t>
            </w:r>
          </w:p>
          <w:p w14:paraId="763DFC9C" w14:textId="6CFABA41" w:rsidR="00157961" w:rsidRPr="0055428F" w:rsidRDefault="00EE6C59" w:rsidP="00026FFE">
            <w:pPr>
              <w:contextualSpacing/>
              <w:rPr>
                <w:rFonts w:ascii="Times New Roman" w:eastAsia="Times New Roman" w:hAnsi="Times New Roman" w:cs="Times New Roman"/>
                <w:sz w:val="18"/>
                <w:szCs w:val="18"/>
              </w:rPr>
            </w:pPr>
            <w:r w:rsidRPr="0055428F">
              <w:rPr>
                <w:rFonts w:ascii="inherit" w:hAnsi="inherit" w:cs="Arial"/>
                <w:vertAlign w:val="superscript"/>
              </w:rPr>
              <w:t>||</w:t>
            </w:r>
            <w:r w:rsidR="00157961" w:rsidRPr="0055428F">
              <w:rPr>
                <w:rFonts w:ascii="Times New Roman" w:eastAsia="Times New Roman" w:hAnsi="Times New Roman" w:cs="Times New Roman"/>
                <w:sz w:val="18"/>
                <w:szCs w:val="18"/>
                <w:vertAlign w:val="superscript"/>
              </w:rPr>
              <w:t>I</w:t>
            </w:r>
            <w:r w:rsidR="00157961" w:rsidRPr="0055428F">
              <w:rPr>
                <w:rFonts w:ascii="Times New Roman" w:eastAsia="Times New Roman" w:hAnsi="Times New Roman" w:cs="Times New Roman"/>
                <w:sz w:val="18"/>
                <w:szCs w:val="18"/>
              </w:rPr>
              <w:t>n post-hoc analyses, we did not observe significant differences in global cognitive function score between Factor 3 Dietary Fatty Acid Pattern quintiles, however there was a suggestion of differences comparing quintile 1 vs 2 (</w:t>
            </w:r>
            <w:r w:rsidR="00157961" w:rsidRPr="0055428F">
              <w:rPr>
                <w:rFonts w:ascii="Times New Roman" w:eastAsia="Times New Roman" w:hAnsi="Times New Roman" w:cs="Times New Roman"/>
                <w:i/>
                <w:iCs/>
                <w:sz w:val="18"/>
                <w:szCs w:val="18"/>
              </w:rPr>
              <w:t>P</w:t>
            </w:r>
            <w:r w:rsidR="00157961" w:rsidRPr="0055428F">
              <w:rPr>
                <w:rFonts w:ascii="Times New Roman" w:eastAsia="Times New Roman" w:hAnsi="Times New Roman" w:cs="Times New Roman"/>
                <w:sz w:val="18"/>
                <w:szCs w:val="18"/>
              </w:rPr>
              <w:t>=0.07), and quintiles 2 (</w:t>
            </w:r>
            <w:r w:rsidR="00157961" w:rsidRPr="0055428F">
              <w:rPr>
                <w:rFonts w:ascii="Times New Roman" w:eastAsia="Times New Roman" w:hAnsi="Times New Roman" w:cs="Times New Roman"/>
                <w:i/>
                <w:iCs/>
                <w:sz w:val="18"/>
                <w:szCs w:val="18"/>
              </w:rPr>
              <w:t>P</w:t>
            </w:r>
            <w:r w:rsidR="00157961" w:rsidRPr="0055428F">
              <w:rPr>
                <w:rFonts w:ascii="Times New Roman" w:eastAsia="Times New Roman" w:hAnsi="Times New Roman" w:cs="Times New Roman"/>
                <w:sz w:val="18"/>
                <w:szCs w:val="18"/>
              </w:rPr>
              <w:t>=0.06) and 4 (</w:t>
            </w:r>
            <w:r w:rsidR="00157961" w:rsidRPr="0055428F">
              <w:rPr>
                <w:rFonts w:ascii="Times New Roman" w:eastAsia="Times New Roman" w:hAnsi="Times New Roman" w:cs="Times New Roman"/>
                <w:i/>
                <w:iCs/>
                <w:sz w:val="18"/>
                <w:szCs w:val="18"/>
              </w:rPr>
              <w:t>P</w:t>
            </w:r>
            <w:r w:rsidR="00157961" w:rsidRPr="0055428F">
              <w:rPr>
                <w:rFonts w:ascii="Times New Roman" w:eastAsia="Times New Roman" w:hAnsi="Times New Roman" w:cs="Times New Roman"/>
                <w:sz w:val="18"/>
                <w:szCs w:val="18"/>
              </w:rPr>
              <w:t xml:space="preserve">=0.09) vs quintile 5.  </w:t>
            </w:r>
          </w:p>
          <w:p w14:paraId="21859DD5" w14:textId="611FE433" w:rsidR="00026FFE" w:rsidRPr="0055428F" w:rsidRDefault="00EE6C59" w:rsidP="00026FFE">
            <w:pPr>
              <w:contextualSpacing/>
              <w:rPr>
                <w:rFonts w:ascii="Times New Roman" w:eastAsia="Times New Roman" w:hAnsi="Times New Roman" w:cs="Times New Roman"/>
                <w:sz w:val="18"/>
                <w:szCs w:val="18"/>
              </w:rPr>
            </w:pPr>
            <w:r w:rsidRPr="0055428F">
              <w:rPr>
                <w:rFonts w:ascii="inherit" w:hAnsi="inherit" w:cs="Arial"/>
                <w:vertAlign w:val="superscript"/>
              </w:rPr>
              <w:t>¶</w:t>
            </w:r>
            <w:r w:rsidR="00026FFE" w:rsidRPr="0055428F">
              <w:rPr>
                <w:rFonts w:ascii="Times New Roman" w:eastAsia="Times New Roman" w:hAnsi="Times New Roman" w:cs="Times New Roman"/>
                <w:sz w:val="18"/>
                <w:szCs w:val="18"/>
              </w:rPr>
              <w:t>Values are adjusted β ± SE and can be interpreted as the SD change in neurocognitive test score per SD change in factor score.</w:t>
            </w:r>
          </w:p>
          <w:p w14:paraId="1E04C454" w14:textId="77777777" w:rsidR="00DA72C6" w:rsidRPr="0055428F" w:rsidRDefault="00DA72C6" w:rsidP="00F331D5">
            <w:pPr>
              <w:spacing w:after="0" w:line="240" w:lineRule="auto"/>
              <w:jc w:val="center"/>
              <w:rPr>
                <w:rFonts w:ascii="Times New Roman" w:eastAsia="Times New Roman" w:hAnsi="Times New Roman" w:cs="Times New Roman"/>
                <w:sz w:val="20"/>
                <w:szCs w:val="20"/>
              </w:rPr>
            </w:pPr>
          </w:p>
        </w:tc>
      </w:tr>
    </w:tbl>
    <w:p w14:paraId="0B533547" w14:textId="77777777" w:rsidR="006A0D34" w:rsidRPr="0055428F" w:rsidRDefault="006A0D34" w:rsidP="006A0D34">
      <w:pPr>
        <w:rPr>
          <w:rFonts w:ascii="Times New Roman" w:hAnsi="Times New Roman" w:cs="Times New Roman"/>
        </w:rPr>
      </w:pPr>
    </w:p>
    <w:p w14:paraId="122FA7EF" w14:textId="77777777" w:rsidR="00D35263" w:rsidRPr="0055428F" w:rsidRDefault="00D35263">
      <w:pPr>
        <w:rPr>
          <w:rFonts w:ascii="Times New Roman" w:hAnsi="Times New Roman" w:cs="Times New Roman"/>
        </w:rPr>
      </w:pPr>
      <w:r w:rsidRPr="0055428F">
        <w:rPr>
          <w:rFonts w:ascii="Times New Roman" w:hAnsi="Times New Roman" w:cs="Times New Roman"/>
        </w:rPr>
        <w:br w:type="page"/>
      </w:r>
    </w:p>
    <w:tbl>
      <w:tblPr>
        <w:tblW w:w="13860" w:type="dxa"/>
        <w:tblInd w:w="-540" w:type="dxa"/>
        <w:tblLayout w:type="fixed"/>
        <w:tblLook w:val="04A0" w:firstRow="1" w:lastRow="0" w:firstColumn="1" w:lastColumn="0" w:noHBand="0" w:noVBand="1"/>
      </w:tblPr>
      <w:tblGrid>
        <w:gridCol w:w="1620"/>
        <w:gridCol w:w="1754"/>
        <w:gridCol w:w="1486"/>
        <w:gridCol w:w="1620"/>
        <w:gridCol w:w="1800"/>
        <w:gridCol w:w="1710"/>
        <w:gridCol w:w="990"/>
        <w:gridCol w:w="1530"/>
        <w:gridCol w:w="1350"/>
      </w:tblGrid>
      <w:tr w:rsidR="0055428F" w:rsidRPr="0055428F" w14:paraId="3C957F33" w14:textId="77777777" w:rsidTr="00237592">
        <w:trPr>
          <w:trHeight w:val="419"/>
        </w:trPr>
        <w:tc>
          <w:tcPr>
            <w:tcW w:w="13860" w:type="dxa"/>
            <w:gridSpan w:val="9"/>
            <w:tcBorders>
              <w:left w:val="nil"/>
              <w:bottom w:val="single" w:sz="4" w:space="0" w:color="auto"/>
              <w:right w:val="nil"/>
            </w:tcBorders>
            <w:shd w:val="clear" w:color="auto" w:fill="auto"/>
            <w:vAlign w:val="center"/>
          </w:tcPr>
          <w:p w14:paraId="494A25B5" w14:textId="717AF122" w:rsidR="00D35263" w:rsidRPr="0055428F" w:rsidRDefault="00D35263" w:rsidP="00237592">
            <w:pPr>
              <w:spacing w:after="0" w:line="240" w:lineRule="auto"/>
              <w:rPr>
                <w:rFonts w:ascii="Times New Roman" w:eastAsia="Times New Roman" w:hAnsi="Times New Roman" w:cs="Times New Roman"/>
                <w:b/>
                <w:bCs/>
                <w:sz w:val="20"/>
                <w:szCs w:val="20"/>
              </w:rPr>
            </w:pPr>
            <w:r w:rsidRPr="0055428F">
              <w:rPr>
                <w:rFonts w:ascii="Times New Roman" w:hAnsi="Times New Roman" w:cs="Times New Roman"/>
              </w:rPr>
              <w:lastRenderedPageBreak/>
              <w:br w:type="page"/>
            </w:r>
            <w:r w:rsidRPr="0055428F">
              <w:rPr>
                <w:rFonts w:ascii="Times New Roman" w:eastAsia="Times New Roman" w:hAnsi="Times New Roman" w:cs="Times New Roman"/>
                <w:b/>
                <w:bCs/>
                <w:sz w:val="20"/>
                <w:szCs w:val="20"/>
              </w:rPr>
              <w:t xml:space="preserve">Supplementary Table </w:t>
            </w:r>
            <w:r w:rsidR="00FD362E" w:rsidRPr="0055428F">
              <w:rPr>
                <w:rFonts w:ascii="Times New Roman" w:eastAsia="Times New Roman" w:hAnsi="Times New Roman" w:cs="Times New Roman"/>
                <w:b/>
                <w:bCs/>
                <w:sz w:val="20"/>
                <w:szCs w:val="20"/>
              </w:rPr>
              <w:t>4</w:t>
            </w:r>
            <w:r w:rsidRPr="0055428F">
              <w:rPr>
                <w:rFonts w:ascii="Times New Roman" w:eastAsia="Times New Roman" w:hAnsi="Times New Roman" w:cs="Times New Roman"/>
                <w:b/>
                <w:bCs/>
                <w:sz w:val="20"/>
                <w:szCs w:val="20"/>
              </w:rPr>
              <w:t>. Associations between dietary fatty acid patterns and global cognitive function score among individuals attaining a high school education or greater (n=5,204)</w:t>
            </w:r>
          </w:p>
        </w:tc>
      </w:tr>
      <w:tr w:rsidR="0055428F" w:rsidRPr="0055428F" w14:paraId="35485B91" w14:textId="77777777" w:rsidTr="00237592">
        <w:trPr>
          <w:trHeight w:val="419"/>
        </w:trPr>
        <w:tc>
          <w:tcPr>
            <w:tcW w:w="1620" w:type="dxa"/>
            <w:tcBorders>
              <w:top w:val="single" w:sz="4" w:space="0" w:color="auto"/>
              <w:left w:val="nil"/>
              <w:bottom w:val="nil"/>
              <w:right w:val="nil"/>
            </w:tcBorders>
            <w:shd w:val="clear" w:color="auto" w:fill="auto"/>
            <w:vAlign w:val="center"/>
          </w:tcPr>
          <w:p w14:paraId="4E3D9753"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p>
        </w:tc>
        <w:tc>
          <w:tcPr>
            <w:tcW w:w="8370" w:type="dxa"/>
            <w:gridSpan w:val="5"/>
            <w:tcBorders>
              <w:top w:val="single" w:sz="4" w:space="0" w:color="auto"/>
              <w:left w:val="nil"/>
              <w:bottom w:val="single" w:sz="4" w:space="0" w:color="auto"/>
              <w:right w:val="nil"/>
            </w:tcBorders>
            <w:shd w:val="clear" w:color="auto" w:fill="auto"/>
            <w:vAlign w:val="center"/>
          </w:tcPr>
          <w:p w14:paraId="2BE33627" w14:textId="16A3EAD7" w:rsidR="00D35263" w:rsidRPr="0055428F" w:rsidRDefault="00D35263" w:rsidP="00237592">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Dietary Fatty Acid Factor Score (Quintile)</w:t>
            </w:r>
            <w:r w:rsidR="00D05D75" w:rsidRPr="0055428F">
              <w:rPr>
                <w:rFonts w:ascii="inherit" w:hAnsi="inherit" w:cs="Arial"/>
                <w:vertAlign w:val="superscript"/>
              </w:rPr>
              <w:t xml:space="preserve"> ‡</w:t>
            </w:r>
            <w:r w:rsidRPr="0055428F">
              <w:rPr>
                <w:rFonts w:ascii="Times New Roman" w:eastAsia="Times New Roman" w:hAnsi="Times New Roman" w:cs="Times New Roman"/>
                <w:b/>
                <w:bCs/>
                <w:sz w:val="20"/>
                <w:szCs w:val="20"/>
                <w:vertAlign w:val="superscript"/>
              </w:rPr>
              <w:t>,</w:t>
            </w:r>
            <w:r w:rsidR="00D05D75" w:rsidRPr="0055428F">
              <w:rPr>
                <w:rFonts w:ascii="inherit" w:hAnsi="inherit" w:cs="Arial"/>
                <w:vertAlign w:val="superscript"/>
              </w:rPr>
              <w:t>§</w:t>
            </w:r>
          </w:p>
        </w:tc>
        <w:tc>
          <w:tcPr>
            <w:tcW w:w="990" w:type="dxa"/>
            <w:tcBorders>
              <w:left w:val="nil"/>
              <w:bottom w:val="single" w:sz="4" w:space="0" w:color="auto"/>
              <w:right w:val="nil"/>
            </w:tcBorders>
            <w:shd w:val="clear" w:color="auto" w:fill="auto"/>
            <w:vAlign w:val="center"/>
          </w:tcPr>
          <w:p w14:paraId="46A13854"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p>
        </w:tc>
        <w:tc>
          <w:tcPr>
            <w:tcW w:w="1530" w:type="dxa"/>
            <w:tcBorders>
              <w:top w:val="single" w:sz="4" w:space="0" w:color="auto"/>
              <w:left w:val="nil"/>
              <w:bottom w:val="nil"/>
              <w:right w:val="nil"/>
            </w:tcBorders>
            <w:shd w:val="clear" w:color="auto" w:fill="auto"/>
            <w:vAlign w:val="center"/>
          </w:tcPr>
          <w:p w14:paraId="31FAD744"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p>
        </w:tc>
        <w:tc>
          <w:tcPr>
            <w:tcW w:w="1350" w:type="dxa"/>
            <w:tcBorders>
              <w:top w:val="single" w:sz="4" w:space="0" w:color="auto"/>
              <w:left w:val="nil"/>
              <w:bottom w:val="nil"/>
              <w:right w:val="nil"/>
            </w:tcBorders>
            <w:shd w:val="clear" w:color="auto" w:fill="auto"/>
            <w:vAlign w:val="center"/>
          </w:tcPr>
          <w:p w14:paraId="7F2122FE"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p>
        </w:tc>
      </w:tr>
      <w:tr w:rsidR="0055428F" w:rsidRPr="0055428F" w14:paraId="708CF4CC" w14:textId="77777777" w:rsidTr="00237592">
        <w:trPr>
          <w:trHeight w:val="419"/>
        </w:trPr>
        <w:tc>
          <w:tcPr>
            <w:tcW w:w="1620" w:type="dxa"/>
            <w:tcBorders>
              <w:left w:val="nil"/>
              <w:bottom w:val="nil"/>
              <w:right w:val="nil"/>
            </w:tcBorders>
            <w:shd w:val="clear" w:color="auto" w:fill="auto"/>
            <w:vAlign w:val="center"/>
          </w:tcPr>
          <w:p w14:paraId="33ED95BB"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p>
        </w:tc>
        <w:tc>
          <w:tcPr>
            <w:tcW w:w="1754" w:type="dxa"/>
            <w:tcBorders>
              <w:top w:val="single" w:sz="4" w:space="0" w:color="auto"/>
              <w:left w:val="nil"/>
              <w:bottom w:val="single" w:sz="4" w:space="0" w:color="auto"/>
              <w:right w:val="nil"/>
            </w:tcBorders>
            <w:shd w:val="clear" w:color="auto" w:fill="auto"/>
            <w:vAlign w:val="center"/>
          </w:tcPr>
          <w:p w14:paraId="3C95E86C"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1</w:t>
            </w:r>
          </w:p>
        </w:tc>
        <w:tc>
          <w:tcPr>
            <w:tcW w:w="1486" w:type="dxa"/>
            <w:tcBorders>
              <w:top w:val="single" w:sz="4" w:space="0" w:color="auto"/>
              <w:left w:val="nil"/>
              <w:bottom w:val="single" w:sz="4" w:space="0" w:color="auto"/>
              <w:right w:val="nil"/>
            </w:tcBorders>
            <w:shd w:val="clear" w:color="auto" w:fill="auto"/>
            <w:vAlign w:val="center"/>
          </w:tcPr>
          <w:p w14:paraId="5E0247A2"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2</w:t>
            </w:r>
          </w:p>
        </w:tc>
        <w:tc>
          <w:tcPr>
            <w:tcW w:w="1620" w:type="dxa"/>
            <w:tcBorders>
              <w:top w:val="single" w:sz="4" w:space="0" w:color="auto"/>
              <w:left w:val="nil"/>
              <w:bottom w:val="single" w:sz="4" w:space="0" w:color="auto"/>
              <w:right w:val="nil"/>
            </w:tcBorders>
            <w:shd w:val="clear" w:color="auto" w:fill="auto"/>
            <w:vAlign w:val="center"/>
          </w:tcPr>
          <w:p w14:paraId="1882E7DF"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3</w:t>
            </w:r>
          </w:p>
        </w:tc>
        <w:tc>
          <w:tcPr>
            <w:tcW w:w="1800" w:type="dxa"/>
            <w:tcBorders>
              <w:top w:val="single" w:sz="4" w:space="0" w:color="auto"/>
              <w:left w:val="nil"/>
              <w:bottom w:val="single" w:sz="4" w:space="0" w:color="auto"/>
              <w:right w:val="nil"/>
            </w:tcBorders>
            <w:shd w:val="clear" w:color="auto" w:fill="auto"/>
            <w:vAlign w:val="center"/>
          </w:tcPr>
          <w:p w14:paraId="71061D91"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4</w:t>
            </w:r>
          </w:p>
        </w:tc>
        <w:tc>
          <w:tcPr>
            <w:tcW w:w="1710" w:type="dxa"/>
            <w:tcBorders>
              <w:top w:val="single" w:sz="4" w:space="0" w:color="auto"/>
              <w:left w:val="nil"/>
              <w:bottom w:val="single" w:sz="4" w:space="0" w:color="auto"/>
              <w:right w:val="nil"/>
            </w:tcBorders>
            <w:shd w:val="clear" w:color="auto" w:fill="auto"/>
            <w:vAlign w:val="center"/>
          </w:tcPr>
          <w:p w14:paraId="12A92F6D"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5</w:t>
            </w:r>
          </w:p>
        </w:tc>
        <w:tc>
          <w:tcPr>
            <w:tcW w:w="990" w:type="dxa"/>
            <w:tcBorders>
              <w:top w:val="single" w:sz="4" w:space="0" w:color="auto"/>
              <w:left w:val="nil"/>
              <w:bottom w:val="nil"/>
              <w:right w:val="nil"/>
            </w:tcBorders>
            <w:shd w:val="clear" w:color="auto" w:fill="auto"/>
            <w:vAlign w:val="center"/>
          </w:tcPr>
          <w:p w14:paraId="7F8D23DD"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p>
        </w:tc>
        <w:tc>
          <w:tcPr>
            <w:tcW w:w="1530" w:type="dxa"/>
            <w:tcBorders>
              <w:left w:val="nil"/>
              <w:bottom w:val="nil"/>
              <w:right w:val="nil"/>
            </w:tcBorders>
            <w:shd w:val="clear" w:color="auto" w:fill="auto"/>
            <w:vAlign w:val="center"/>
          </w:tcPr>
          <w:p w14:paraId="64A5C91F"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p>
        </w:tc>
        <w:tc>
          <w:tcPr>
            <w:tcW w:w="1350" w:type="dxa"/>
            <w:tcBorders>
              <w:left w:val="nil"/>
              <w:bottom w:val="nil"/>
              <w:right w:val="nil"/>
            </w:tcBorders>
            <w:shd w:val="clear" w:color="auto" w:fill="auto"/>
            <w:vAlign w:val="center"/>
          </w:tcPr>
          <w:p w14:paraId="4721A392"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p>
        </w:tc>
      </w:tr>
      <w:tr w:rsidR="0055428F" w:rsidRPr="0055428F" w14:paraId="3FA10AAE" w14:textId="77777777" w:rsidTr="00237592">
        <w:trPr>
          <w:trHeight w:val="419"/>
        </w:trPr>
        <w:tc>
          <w:tcPr>
            <w:tcW w:w="1620" w:type="dxa"/>
            <w:vMerge w:val="restart"/>
            <w:tcBorders>
              <w:left w:val="nil"/>
              <w:right w:val="nil"/>
            </w:tcBorders>
            <w:shd w:val="clear" w:color="auto" w:fill="auto"/>
            <w:vAlign w:val="center"/>
          </w:tcPr>
          <w:p w14:paraId="6A98315D" w14:textId="38F5EB13" w:rsidR="00D35263" w:rsidRPr="0055428F" w:rsidRDefault="00D35263" w:rsidP="00237592">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Dietary Fatty Acid Pattern</w:t>
            </w:r>
            <w:r w:rsidR="00D05D75" w:rsidRPr="0055428F">
              <w:rPr>
                <w:rFonts w:ascii="inherit" w:hAnsi="inherit" w:cs="Arial"/>
                <w:vertAlign w:val="superscript"/>
              </w:rPr>
              <w:t>†</w:t>
            </w:r>
          </w:p>
        </w:tc>
        <w:tc>
          <w:tcPr>
            <w:tcW w:w="1754" w:type="dxa"/>
            <w:tcBorders>
              <w:top w:val="single" w:sz="4" w:space="0" w:color="auto"/>
              <w:left w:val="nil"/>
              <w:bottom w:val="single" w:sz="4" w:space="0" w:color="auto"/>
              <w:right w:val="nil"/>
            </w:tcBorders>
            <w:shd w:val="clear" w:color="auto" w:fill="auto"/>
            <w:vAlign w:val="center"/>
          </w:tcPr>
          <w:p w14:paraId="6BAAB558"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n=1678</w:t>
            </w:r>
          </w:p>
        </w:tc>
        <w:tc>
          <w:tcPr>
            <w:tcW w:w="1486" w:type="dxa"/>
            <w:tcBorders>
              <w:top w:val="single" w:sz="4" w:space="0" w:color="auto"/>
              <w:left w:val="nil"/>
              <w:bottom w:val="single" w:sz="4" w:space="0" w:color="auto"/>
              <w:right w:val="nil"/>
            </w:tcBorders>
            <w:shd w:val="clear" w:color="auto" w:fill="auto"/>
            <w:vAlign w:val="center"/>
          </w:tcPr>
          <w:p w14:paraId="0EFBD4C7"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n=1679</w:t>
            </w:r>
          </w:p>
        </w:tc>
        <w:tc>
          <w:tcPr>
            <w:tcW w:w="1620" w:type="dxa"/>
            <w:tcBorders>
              <w:top w:val="single" w:sz="4" w:space="0" w:color="auto"/>
              <w:left w:val="nil"/>
              <w:bottom w:val="single" w:sz="4" w:space="0" w:color="auto"/>
              <w:right w:val="nil"/>
            </w:tcBorders>
            <w:shd w:val="clear" w:color="auto" w:fill="auto"/>
            <w:vAlign w:val="center"/>
          </w:tcPr>
          <w:p w14:paraId="6E1E87AB"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n=1679</w:t>
            </w:r>
          </w:p>
        </w:tc>
        <w:tc>
          <w:tcPr>
            <w:tcW w:w="1800" w:type="dxa"/>
            <w:tcBorders>
              <w:top w:val="single" w:sz="4" w:space="0" w:color="auto"/>
              <w:left w:val="nil"/>
              <w:bottom w:val="single" w:sz="4" w:space="0" w:color="auto"/>
              <w:right w:val="nil"/>
            </w:tcBorders>
            <w:shd w:val="clear" w:color="auto" w:fill="auto"/>
            <w:vAlign w:val="center"/>
          </w:tcPr>
          <w:p w14:paraId="24479FDD"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n=1679</w:t>
            </w:r>
          </w:p>
        </w:tc>
        <w:tc>
          <w:tcPr>
            <w:tcW w:w="1710" w:type="dxa"/>
            <w:tcBorders>
              <w:top w:val="single" w:sz="4" w:space="0" w:color="auto"/>
              <w:left w:val="nil"/>
              <w:bottom w:val="single" w:sz="4" w:space="0" w:color="auto"/>
              <w:right w:val="nil"/>
            </w:tcBorders>
            <w:shd w:val="clear" w:color="auto" w:fill="auto"/>
            <w:vAlign w:val="center"/>
          </w:tcPr>
          <w:p w14:paraId="6ACC94C2"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n=1678</w:t>
            </w:r>
          </w:p>
        </w:tc>
        <w:tc>
          <w:tcPr>
            <w:tcW w:w="990" w:type="dxa"/>
            <w:tcBorders>
              <w:left w:val="nil"/>
              <w:right w:val="nil"/>
            </w:tcBorders>
            <w:shd w:val="clear" w:color="auto" w:fill="auto"/>
            <w:vAlign w:val="center"/>
          </w:tcPr>
          <w:p w14:paraId="4573CE83"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p>
        </w:tc>
        <w:tc>
          <w:tcPr>
            <w:tcW w:w="1530" w:type="dxa"/>
            <w:tcBorders>
              <w:left w:val="nil"/>
              <w:right w:val="nil"/>
            </w:tcBorders>
            <w:shd w:val="clear" w:color="auto" w:fill="auto"/>
            <w:vAlign w:val="center"/>
          </w:tcPr>
          <w:p w14:paraId="06C65122"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p>
        </w:tc>
        <w:tc>
          <w:tcPr>
            <w:tcW w:w="1350" w:type="dxa"/>
            <w:tcBorders>
              <w:left w:val="nil"/>
              <w:right w:val="nil"/>
            </w:tcBorders>
            <w:shd w:val="clear" w:color="auto" w:fill="auto"/>
            <w:vAlign w:val="center"/>
          </w:tcPr>
          <w:p w14:paraId="01233B27"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p>
        </w:tc>
      </w:tr>
      <w:tr w:rsidR="0055428F" w:rsidRPr="0055428F" w14:paraId="6DCAFBB4" w14:textId="77777777" w:rsidTr="00237592">
        <w:trPr>
          <w:trHeight w:val="419"/>
        </w:trPr>
        <w:tc>
          <w:tcPr>
            <w:tcW w:w="1620" w:type="dxa"/>
            <w:vMerge/>
            <w:tcBorders>
              <w:left w:val="nil"/>
              <w:bottom w:val="single" w:sz="4" w:space="0" w:color="auto"/>
              <w:right w:val="nil"/>
            </w:tcBorders>
            <w:shd w:val="clear" w:color="auto" w:fill="auto"/>
            <w:vAlign w:val="center"/>
            <w:hideMark/>
          </w:tcPr>
          <w:p w14:paraId="202381F1"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p>
        </w:tc>
        <w:tc>
          <w:tcPr>
            <w:tcW w:w="1754" w:type="dxa"/>
            <w:tcBorders>
              <w:top w:val="single" w:sz="4" w:space="0" w:color="auto"/>
              <w:left w:val="nil"/>
              <w:bottom w:val="single" w:sz="4" w:space="0" w:color="auto"/>
              <w:right w:val="nil"/>
            </w:tcBorders>
            <w:shd w:val="clear" w:color="auto" w:fill="auto"/>
            <w:vAlign w:val="center"/>
          </w:tcPr>
          <w:p w14:paraId="0D3CB97E"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Mean ± SE</w:t>
            </w:r>
          </w:p>
        </w:tc>
        <w:tc>
          <w:tcPr>
            <w:tcW w:w="1486" w:type="dxa"/>
            <w:tcBorders>
              <w:top w:val="single" w:sz="4" w:space="0" w:color="auto"/>
              <w:left w:val="nil"/>
              <w:bottom w:val="single" w:sz="4" w:space="0" w:color="auto"/>
              <w:right w:val="nil"/>
            </w:tcBorders>
            <w:shd w:val="clear" w:color="auto" w:fill="auto"/>
            <w:vAlign w:val="center"/>
          </w:tcPr>
          <w:p w14:paraId="6DA4E06D"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Mean ± SE</w:t>
            </w:r>
          </w:p>
        </w:tc>
        <w:tc>
          <w:tcPr>
            <w:tcW w:w="1620" w:type="dxa"/>
            <w:tcBorders>
              <w:top w:val="single" w:sz="4" w:space="0" w:color="auto"/>
              <w:left w:val="nil"/>
              <w:bottom w:val="single" w:sz="4" w:space="0" w:color="auto"/>
              <w:right w:val="nil"/>
            </w:tcBorders>
            <w:shd w:val="clear" w:color="auto" w:fill="auto"/>
            <w:vAlign w:val="center"/>
          </w:tcPr>
          <w:p w14:paraId="6942A4A4"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Mean ± SE</w:t>
            </w:r>
          </w:p>
        </w:tc>
        <w:tc>
          <w:tcPr>
            <w:tcW w:w="1800" w:type="dxa"/>
            <w:tcBorders>
              <w:top w:val="single" w:sz="4" w:space="0" w:color="auto"/>
              <w:left w:val="nil"/>
              <w:bottom w:val="single" w:sz="4" w:space="0" w:color="auto"/>
              <w:right w:val="nil"/>
            </w:tcBorders>
            <w:shd w:val="clear" w:color="auto" w:fill="auto"/>
            <w:vAlign w:val="center"/>
          </w:tcPr>
          <w:p w14:paraId="3CB308E9"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Mean ± SE</w:t>
            </w:r>
          </w:p>
        </w:tc>
        <w:tc>
          <w:tcPr>
            <w:tcW w:w="1710" w:type="dxa"/>
            <w:tcBorders>
              <w:top w:val="single" w:sz="4" w:space="0" w:color="auto"/>
              <w:left w:val="nil"/>
              <w:bottom w:val="single" w:sz="4" w:space="0" w:color="auto"/>
              <w:right w:val="nil"/>
            </w:tcBorders>
            <w:shd w:val="clear" w:color="auto" w:fill="auto"/>
            <w:vAlign w:val="center"/>
          </w:tcPr>
          <w:p w14:paraId="3B69AA9C"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Mean ± SE</w:t>
            </w:r>
          </w:p>
        </w:tc>
        <w:tc>
          <w:tcPr>
            <w:tcW w:w="990" w:type="dxa"/>
            <w:tcBorders>
              <w:left w:val="nil"/>
              <w:bottom w:val="single" w:sz="4" w:space="0" w:color="auto"/>
              <w:right w:val="nil"/>
            </w:tcBorders>
            <w:shd w:val="clear" w:color="auto" w:fill="auto"/>
            <w:vAlign w:val="center"/>
            <w:hideMark/>
          </w:tcPr>
          <w:p w14:paraId="5FC305F3"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i/>
                <w:iCs/>
                <w:sz w:val="20"/>
                <w:szCs w:val="20"/>
              </w:rPr>
              <w:t>P</w:t>
            </w:r>
            <w:r w:rsidRPr="0055428F">
              <w:rPr>
                <w:rFonts w:ascii="Times New Roman" w:eastAsia="Times New Roman" w:hAnsi="Times New Roman" w:cs="Times New Roman"/>
                <w:b/>
                <w:bCs/>
                <w:sz w:val="20"/>
                <w:szCs w:val="20"/>
                <w:vertAlign w:val="subscript"/>
              </w:rPr>
              <w:t>F-test</w:t>
            </w:r>
          </w:p>
        </w:tc>
        <w:tc>
          <w:tcPr>
            <w:tcW w:w="1530" w:type="dxa"/>
            <w:tcBorders>
              <w:left w:val="nil"/>
              <w:bottom w:val="single" w:sz="4" w:space="0" w:color="auto"/>
              <w:right w:val="nil"/>
            </w:tcBorders>
            <w:shd w:val="clear" w:color="auto" w:fill="auto"/>
            <w:vAlign w:val="center"/>
            <w:hideMark/>
          </w:tcPr>
          <w:p w14:paraId="57C82EF7" w14:textId="0AFCDD96" w:rsidR="00D35263" w:rsidRPr="0055428F" w:rsidRDefault="00D35263" w:rsidP="00237592">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β ± SE</w:t>
            </w:r>
            <w:r w:rsidR="00D05D75" w:rsidRPr="0055428F">
              <w:rPr>
                <w:rFonts w:ascii="inherit" w:hAnsi="inherit" w:cs="Arial"/>
                <w:vertAlign w:val="superscript"/>
              </w:rPr>
              <w:t>§</w:t>
            </w:r>
            <w:r w:rsidRPr="0055428F">
              <w:rPr>
                <w:rFonts w:ascii="Times New Roman" w:eastAsia="Times New Roman" w:hAnsi="Times New Roman" w:cs="Times New Roman"/>
                <w:b/>
                <w:bCs/>
                <w:sz w:val="20"/>
                <w:szCs w:val="20"/>
                <w:vertAlign w:val="superscript"/>
              </w:rPr>
              <w:t>,</w:t>
            </w:r>
            <w:r w:rsidR="00D05D75" w:rsidRPr="0055428F">
              <w:rPr>
                <w:rFonts w:ascii="inherit" w:hAnsi="inherit" w:cs="Arial"/>
                <w:vertAlign w:val="superscript"/>
              </w:rPr>
              <w:t>||</w:t>
            </w:r>
          </w:p>
        </w:tc>
        <w:tc>
          <w:tcPr>
            <w:tcW w:w="1350" w:type="dxa"/>
            <w:tcBorders>
              <w:left w:val="nil"/>
              <w:bottom w:val="single" w:sz="4" w:space="0" w:color="auto"/>
              <w:right w:val="nil"/>
            </w:tcBorders>
            <w:shd w:val="clear" w:color="auto" w:fill="auto"/>
            <w:vAlign w:val="center"/>
            <w:hideMark/>
          </w:tcPr>
          <w:p w14:paraId="35BEA4F4" w14:textId="0B375574" w:rsidR="00D35263" w:rsidRPr="0055428F" w:rsidRDefault="00D35263" w:rsidP="00237592">
            <w:pPr>
              <w:spacing w:after="0" w:line="240" w:lineRule="auto"/>
              <w:jc w:val="center"/>
              <w:rPr>
                <w:rFonts w:ascii="Times New Roman" w:eastAsia="Times New Roman" w:hAnsi="Times New Roman" w:cs="Times New Roman"/>
                <w:b/>
                <w:bCs/>
                <w:i/>
                <w:iCs/>
                <w:sz w:val="20"/>
                <w:szCs w:val="20"/>
              </w:rPr>
            </w:pPr>
            <w:r w:rsidRPr="0055428F">
              <w:rPr>
                <w:rFonts w:ascii="Times New Roman" w:eastAsia="Times New Roman" w:hAnsi="Times New Roman" w:cs="Times New Roman"/>
                <w:b/>
                <w:bCs/>
                <w:i/>
                <w:iCs/>
                <w:sz w:val="20"/>
                <w:szCs w:val="20"/>
              </w:rPr>
              <w:t>P</w:t>
            </w:r>
          </w:p>
        </w:tc>
      </w:tr>
      <w:tr w:rsidR="0055428F" w:rsidRPr="0055428F" w14:paraId="15AF2399" w14:textId="77777777" w:rsidTr="00237592">
        <w:trPr>
          <w:trHeight w:val="419"/>
        </w:trPr>
        <w:tc>
          <w:tcPr>
            <w:tcW w:w="1620" w:type="dxa"/>
            <w:tcBorders>
              <w:top w:val="single" w:sz="4" w:space="0" w:color="auto"/>
              <w:left w:val="nil"/>
              <w:bottom w:val="nil"/>
              <w:right w:val="nil"/>
            </w:tcBorders>
            <w:shd w:val="clear" w:color="auto" w:fill="auto"/>
            <w:vAlign w:val="center"/>
            <w:hideMark/>
          </w:tcPr>
          <w:p w14:paraId="1F272B25"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Factor 1</w:t>
            </w:r>
          </w:p>
        </w:tc>
        <w:tc>
          <w:tcPr>
            <w:tcW w:w="1754" w:type="dxa"/>
            <w:tcBorders>
              <w:top w:val="single" w:sz="4" w:space="0" w:color="auto"/>
              <w:left w:val="nil"/>
              <w:bottom w:val="nil"/>
              <w:right w:val="nil"/>
            </w:tcBorders>
            <w:shd w:val="clear" w:color="auto" w:fill="auto"/>
            <w:noWrap/>
            <w:vAlign w:val="center"/>
          </w:tcPr>
          <w:p w14:paraId="3CAEDC92"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0.22 ± 0.19</w:t>
            </w:r>
          </w:p>
        </w:tc>
        <w:tc>
          <w:tcPr>
            <w:tcW w:w="1486" w:type="dxa"/>
            <w:tcBorders>
              <w:top w:val="single" w:sz="4" w:space="0" w:color="auto"/>
              <w:left w:val="nil"/>
              <w:bottom w:val="nil"/>
              <w:right w:val="nil"/>
            </w:tcBorders>
            <w:shd w:val="clear" w:color="auto" w:fill="auto"/>
            <w:noWrap/>
            <w:vAlign w:val="center"/>
          </w:tcPr>
          <w:p w14:paraId="1B509460"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0.24 ± 0.18</w:t>
            </w:r>
          </w:p>
        </w:tc>
        <w:tc>
          <w:tcPr>
            <w:tcW w:w="1620" w:type="dxa"/>
            <w:tcBorders>
              <w:top w:val="single" w:sz="4" w:space="0" w:color="auto"/>
              <w:left w:val="nil"/>
              <w:bottom w:val="nil"/>
              <w:right w:val="nil"/>
            </w:tcBorders>
            <w:shd w:val="clear" w:color="auto" w:fill="auto"/>
            <w:vAlign w:val="center"/>
          </w:tcPr>
          <w:p w14:paraId="7D58D75A"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0.29 ± 0.18</w:t>
            </w:r>
          </w:p>
        </w:tc>
        <w:tc>
          <w:tcPr>
            <w:tcW w:w="1800" w:type="dxa"/>
            <w:tcBorders>
              <w:top w:val="single" w:sz="4" w:space="0" w:color="auto"/>
              <w:left w:val="nil"/>
              <w:bottom w:val="nil"/>
              <w:right w:val="nil"/>
            </w:tcBorders>
            <w:shd w:val="clear" w:color="auto" w:fill="auto"/>
            <w:noWrap/>
            <w:vAlign w:val="center"/>
          </w:tcPr>
          <w:p w14:paraId="544A858A"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0.25 ± 0.18</w:t>
            </w:r>
          </w:p>
        </w:tc>
        <w:tc>
          <w:tcPr>
            <w:tcW w:w="1710" w:type="dxa"/>
            <w:tcBorders>
              <w:top w:val="single" w:sz="4" w:space="0" w:color="auto"/>
              <w:left w:val="nil"/>
              <w:bottom w:val="nil"/>
              <w:right w:val="nil"/>
            </w:tcBorders>
            <w:shd w:val="clear" w:color="auto" w:fill="auto"/>
            <w:vAlign w:val="center"/>
          </w:tcPr>
          <w:p w14:paraId="49F1E410"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0.30 ± 0.18</w:t>
            </w:r>
          </w:p>
        </w:tc>
        <w:tc>
          <w:tcPr>
            <w:tcW w:w="990" w:type="dxa"/>
            <w:tcBorders>
              <w:top w:val="single" w:sz="4" w:space="0" w:color="auto"/>
              <w:left w:val="nil"/>
              <w:bottom w:val="nil"/>
              <w:right w:val="nil"/>
            </w:tcBorders>
            <w:shd w:val="clear" w:color="auto" w:fill="auto"/>
            <w:vAlign w:val="center"/>
          </w:tcPr>
          <w:p w14:paraId="5FC706FD"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0.26</w:t>
            </w:r>
          </w:p>
        </w:tc>
        <w:tc>
          <w:tcPr>
            <w:tcW w:w="1530" w:type="dxa"/>
            <w:tcBorders>
              <w:top w:val="single" w:sz="4" w:space="0" w:color="auto"/>
              <w:left w:val="nil"/>
              <w:bottom w:val="nil"/>
              <w:right w:val="nil"/>
            </w:tcBorders>
            <w:shd w:val="clear" w:color="auto" w:fill="auto"/>
            <w:vAlign w:val="center"/>
          </w:tcPr>
          <w:p w14:paraId="7163F531"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 ± 0.016</w:t>
            </w:r>
          </w:p>
        </w:tc>
        <w:tc>
          <w:tcPr>
            <w:tcW w:w="1350" w:type="dxa"/>
            <w:tcBorders>
              <w:top w:val="single" w:sz="4" w:space="0" w:color="auto"/>
              <w:left w:val="nil"/>
              <w:bottom w:val="nil"/>
              <w:right w:val="nil"/>
            </w:tcBorders>
            <w:shd w:val="clear" w:color="auto" w:fill="auto"/>
            <w:vAlign w:val="center"/>
          </w:tcPr>
          <w:p w14:paraId="22C25E7A"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0.21</w:t>
            </w:r>
          </w:p>
        </w:tc>
      </w:tr>
      <w:tr w:rsidR="0055428F" w:rsidRPr="0055428F" w14:paraId="5B8CD094" w14:textId="77777777" w:rsidTr="00237592">
        <w:trPr>
          <w:trHeight w:val="419"/>
        </w:trPr>
        <w:tc>
          <w:tcPr>
            <w:tcW w:w="1620" w:type="dxa"/>
            <w:tcBorders>
              <w:top w:val="nil"/>
              <w:left w:val="nil"/>
              <w:bottom w:val="nil"/>
              <w:right w:val="nil"/>
            </w:tcBorders>
            <w:shd w:val="clear" w:color="auto" w:fill="auto"/>
            <w:vAlign w:val="center"/>
            <w:hideMark/>
          </w:tcPr>
          <w:p w14:paraId="7AF55DAD"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Factor 2</w:t>
            </w:r>
          </w:p>
        </w:tc>
        <w:tc>
          <w:tcPr>
            <w:tcW w:w="1754" w:type="dxa"/>
            <w:tcBorders>
              <w:top w:val="nil"/>
              <w:left w:val="nil"/>
              <w:bottom w:val="nil"/>
              <w:right w:val="nil"/>
            </w:tcBorders>
            <w:shd w:val="clear" w:color="auto" w:fill="auto"/>
            <w:vAlign w:val="center"/>
          </w:tcPr>
          <w:p w14:paraId="32179F6C"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0.23 ± 0.18</w:t>
            </w:r>
            <w:r w:rsidRPr="0055428F">
              <w:rPr>
                <w:rFonts w:ascii="Times New Roman" w:hAnsi="Times New Roman" w:cs="Times New Roman"/>
                <w:sz w:val="20"/>
                <w:szCs w:val="20"/>
                <w:vertAlign w:val="superscript"/>
              </w:rPr>
              <w:t>a</w:t>
            </w:r>
          </w:p>
        </w:tc>
        <w:tc>
          <w:tcPr>
            <w:tcW w:w="1486" w:type="dxa"/>
            <w:tcBorders>
              <w:top w:val="nil"/>
              <w:left w:val="nil"/>
              <w:bottom w:val="nil"/>
              <w:right w:val="nil"/>
            </w:tcBorders>
            <w:shd w:val="clear" w:color="auto" w:fill="auto"/>
            <w:vAlign w:val="center"/>
          </w:tcPr>
          <w:p w14:paraId="4F4BC986"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0.24 ± 0.18</w:t>
            </w:r>
            <w:r w:rsidRPr="0055428F">
              <w:rPr>
                <w:rFonts w:ascii="Times New Roman" w:hAnsi="Times New Roman" w:cs="Times New Roman"/>
                <w:sz w:val="20"/>
                <w:szCs w:val="20"/>
                <w:vertAlign w:val="superscript"/>
              </w:rPr>
              <w:t>a</w:t>
            </w:r>
          </w:p>
        </w:tc>
        <w:tc>
          <w:tcPr>
            <w:tcW w:w="1620" w:type="dxa"/>
            <w:tcBorders>
              <w:top w:val="nil"/>
              <w:left w:val="nil"/>
              <w:bottom w:val="nil"/>
              <w:right w:val="nil"/>
            </w:tcBorders>
            <w:shd w:val="clear" w:color="auto" w:fill="auto"/>
            <w:vAlign w:val="center"/>
          </w:tcPr>
          <w:p w14:paraId="297F0AF9"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0.29 ± 0.18</w:t>
            </w:r>
            <w:r w:rsidRPr="0055428F">
              <w:rPr>
                <w:rFonts w:ascii="Times New Roman" w:hAnsi="Times New Roman" w:cs="Times New Roman"/>
                <w:sz w:val="20"/>
                <w:szCs w:val="20"/>
                <w:vertAlign w:val="superscript"/>
              </w:rPr>
              <w:t>a,b</w:t>
            </w:r>
          </w:p>
        </w:tc>
        <w:tc>
          <w:tcPr>
            <w:tcW w:w="1800" w:type="dxa"/>
            <w:tcBorders>
              <w:top w:val="nil"/>
              <w:left w:val="nil"/>
              <w:bottom w:val="nil"/>
              <w:right w:val="nil"/>
            </w:tcBorders>
            <w:shd w:val="clear" w:color="auto" w:fill="auto"/>
            <w:vAlign w:val="center"/>
          </w:tcPr>
          <w:p w14:paraId="09D4BE83"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0.30 ± 0.18</w:t>
            </w:r>
            <w:r w:rsidRPr="0055428F">
              <w:rPr>
                <w:rFonts w:ascii="Times New Roman" w:hAnsi="Times New Roman" w:cs="Times New Roman"/>
                <w:sz w:val="20"/>
                <w:szCs w:val="20"/>
                <w:vertAlign w:val="superscript"/>
              </w:rPr>
              <w:t>a,b</w:t>
            </w:r>
          </w:p>
        </w:tc>
        <w:tc>
          <w:tcPr>
            <w:tcW w:w="1710" w:type="dxa"/>
            <w:tcBorders>
              <w:top w:val="nil"/>
              <w:left w:val="nil"/>
              <w:bottom w:val="nil"/>
              <w:right w:val="nil"/>
            </w:tcBorders>
            <w:shd w:val="clear" w:color="auto" w:fill="auto"/>
            <w:vAlign w:val="center"/>
          </w:tcPr>
          <w:p w14:paraId="419D6914"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0.38 ± 0.18</w:t>
            </w:r>
            <w:r w:rsidRPr="0055428F">
              <w:rPr>
                <w:rFonts w:ascii="Times New Roman" w:hAnsi="Times New Roman" w:cs="Times New Roman"/>
                <w:sz w:val="20"/>
                <w:szCs w:val="20"/>
                <w:vertAlign w:val="superscript"/>
              </w:rPr>
              <w:t>b</w:t>
            </w:r>
          </w:p>
        </w:tc>
        <w:tc>
          <w:tcPr>
            <w:tcW w:w="990" w:type="dxa"/>
            <w:tcBorders>
              <w:top w:val="nil"/>
              <w:left w:val="nil"/>
              <w:bottom w:val="nil"/>
              <w:right w:val="nil"/>
            </w:tcBorders>
            <w:shd w:val="clear" w:color="auto" w:fill="auto"/>
            <w:vAlign w:val="center"/>
          </w:tcPr>
          <w:p w14:paraId="4ED4F4AA"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0.009</w:t>
            </w:r>
          </w:p>
        </w:tc>
        <w:tc>
          <w:tcPr>
            <w:tcW w:w="1530" w:type="dxa"/>
            <w:tcBorders>
              <w:top w:val="nil"/>
              <w:left w:val="nil"/>
              <w:bottom w:val="nil"/>
              <w:right w:val="nil"/>
            </w:tcBorders>
            <w:shd w:val="clear" w:color="auto" w:fill="auto"/>
            <w:vAlign w:val="center"/>
          </w:tcPr>
          <w:p w14:paraId="5ABAF3C6"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0.057 ± 0.017</w:t>
            </w:r>
          </w:p>
        </w:tc>
        <w:tc>
          <w:tcPr>
            <w:tcW w:w="1350" w:type="dxa"/>
            <w:tcBorders>
              <w:top w:val="nil"/>
              <w:left w:val="nil"/>
              <w:bottom w:val="nil"/>
              <w:right w:val="nil"/>
            </w:tcBorders>
            <w:shd w:val="clear" w:color="auto" w:fill="auto"/>
            <w:vAlign w:val="center"/>
          </w:tcPr>
          <w:p w14:paraId="5126E0D9"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0.001</w:t>
            </w:r>
          </w:p>
        </w:tc>
      </w:tr>
      <w:tr w:rsidR="0055428F" w:rsidRPr="0055428F" w14:paraId="4C0BB338" w14:textId="77777777" w:rsidTr="00B52D31">
        <w:trPr>
          <w:trHeight w:val="419"/>
        </w:trPr>
        <w:tc>
          <w:tcPr>
            <w:tcW w:w="1620" w:type="dxa"/>
            <w:tcBorders>
              <w:top w:val="nil"/>
              <w:left w:val="nil"/>
              <w:right w:val="nil"/>
            </w:tcBorders>
            <w:shd w:val="clear" w:color="auto" w:fill="auto"/>
            <w:vAlign w:val="center"/>
            <w:hideMark/>
          </w:tcPr>
          <w:p w14:paraId="442A9F3F"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Factor 3</w:t>
            </w:r>
          </w:p>
        </w:tc>
        <w:tc>
          <w:tcPr>
            <w:tcW w:w="1754" w:type="dxa"/>
            <w:tcBorders>
              <w:top w:val="nil"/>
              <w:left w:val="nil"/>
              <w:right w:val="nil"/>
            </w:tcBorders>
            <w:shd w:val="clear" w:color="auto" w:fill="auto"/>
            <w:vAlign w:val="center"/>
          </w:tcPr>
          <w:p w14:paraId="322C19CA"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0.26 ± 0.18</w:t>
            </w:r>
          </w:p>
        </w:tc>
        <w:tc>
          <w:tcPr>
            <w:tcW w:w="1486" w:type="dxa"/>
            <w:tcBorders>
              <w:top w:val="nil"/>
              <w:left w:val="nil"/>
              <w:right w:val="nil"/>
            </w:tcBorders>
            <w:shd w:val="clear" w:color="auto" w:fill="auto"/>
            <w:vAlign w:val="center"/>
          </w:tcPr>
          <w:p w14:paraId="60E6356B"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0.34 ± 0.18</w:t>
            </w:r>
          </w:p>
        </w:tc>
        <w:tc>
          <w:tcPr>
            <w:tcW w:w="1620" w:type="dxa"/>
            <w:tcBorders>
              <w:top w:val="nil"/>
              <w:left w:val="nil"/>
              <w:right w:val="nil"/>
            </w:tcBorders>
            <w:shd w:val="clear" w:color="auto" w:fill="auto"/>
            <w:vAlign w:val="center"/>
          </w:tcPr>
          <w:p w14:paraId="7A9C3E4E"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0.32 ± 0.18</w:t>
            </w:r>
          </w:p>
        </w:tc>
        <w:tc>
          <w:tcPr>
            <w:tcW w:w="1800" w:type="dxa"/>
            <w:tcBorders>
              <w:top w:val="nil"/>
              <w:left w:val="nil"/>
              <w:right w:val="nil"/>
            </w:tcBorders>
            <w:shd w:val="clear" w:color="auto" w:fill="auto"/>
            <w:vAlign w:val="center"/>
          </w:tcPr>
          <w:p w14:paraId="570F40E1"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0.28 ± 0.18</w:t>
            </w:r>
          </w:p>
        </w:tc>
        <w:tc>
          <w:tcPr>
            <w:tcW w:w="1710" w:type="dxa"/>
            <w:tcBorders>
              <w:top w:val="nil"/>
              <w:left w:val="nil"/>
              <w:right w:val="nil"/>
            </w:tcBorders>
            <w:shd w:val="clear" w:color="auto" w:fill="auto"/>
            <w:vAlign w:val="center"/>
          </w:tcPr>
          <w:p w14:paraId="7F38CC07"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0.23 ± 0.17</w:t>
            </w:r>
          </w:p>
        </w:tc>
        <w:tc>
          <w:tcPr>
            <w:tcW w:w="990" w:type="dxa"/>
            <w:tcBorders>
              <w:top w:val="nil"/>
              <w:left w:val="nil"/>
              <w:right w:val="nil"/>
            </w:tcBorders>
            <w:shd w:val="clear" w:color="auto" w:fill="auto"/>
            <w:vAlign w:val="center"/>
          </w:tcPr>
          <w:p w14:paraId="40F83602"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0.06</w:t>
            </w:r>
          </w:p>
        </w:tc>
        <w:tc>
          <w:tcPr>
            <w:tcW w:w="1530" w:type="dxa"/>
            <w:tcBorders>
              <w:top w:val="nil"/>
              <w:left w:val="nil"/>
              <w:right w:val="nil"/>
            </w:tcBorders>
            <w:shd w:val="clear" w:color="auto" w:fill="auto"/>
            <w:noWrap/>
            <w:vAlign w:val="center"/>
          </w:tcPr>
          <w:p w14:paraId="0D3CC22C"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 ± 0.018</w:t>
            </w:r>
          </w:p>
        </w:tc>
        <w:tc>
          <w:tcPr>
            <w:tcW w:w="1350" w:type="dxa"/>
            <w:tcBorders>
              <w:top w:val="nil"/>
              <w:left w:val="nil"/>
              <w:right w:val="nil"/>
            </w:tcBorders>
            <w:shd w:val="clear" w:color="auto" w:fill="auto"/>
            <w:vAlign w:val="center"/>
          </w:tcPr>
          <w:p w14:paraId="6EF1C47C"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0.57</w:t>
            </w:r>
          </w:p>
        </w:tc>
      </w:tr>
      <w:tr w:rsidR="0055428F" w:rsidRPr="0055428F" w14:paraId="420F2F2E" w14:textId="77777777" w:rsidTr="00B52D31">
        <w:trPr>
          <w:trHeight w:val="419"/>
        </w:trPr>
        <w:tc>
          <w:tcPr>
            <w:tcW w:w="1620" w:type="dxa"/>
            <w:tcBorders>
              <w:top w:val="nil"/>
              <w:left w:val="nil"/>
              <w:bottom w:val="single" w:sz="4" w:space="0" w:color="auto"/>
              <w:right w:val="nil"/>
            </w:tcBorders>
            <w:shd w:val="clear" w:color="auto" w:fill="auto"/>
            <w:vAlign w:val="center"/>
            <w:hideMark/>
          </w:tcPr>
          <w:p w14:paraId="77E75404" w14:textId="77777777" w:rsidR="00D35263" w:rsidRPr="0055428F" w:rsidRDefault="00D35263" w:rsidP="00237592">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Factor 4</w:t>
            </w:r>
          </w:p>
        </w:tc>
        <w:tc>
          <w:tcPr>
            <w:tcW w:w="1754" w:type="dxa"/>
            <w:tcBorders>
              <w:top w:val="nil"/>
              <w:left w:val="nil"/>
              <w:bottom w:val="single" w:sz="4" w:space="0" w:color="auto"/>
              <w:right w:val="nil"/>
            </w:tcBorders>
            <w:shd w:val="clear" w:color="auto" w:fill="auto"/>
            <w:noWrap/>
            <w:vAlign w:val="center"/>
          </w:tcPr>
          <w:p w14:paraId="008F1425"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0.15 ± 0.19</w:t>
            </w:r>
          </w:p>
        </w:tc>
        <w:tc>
          <w:tcPr>
            <w:tcW w:w="1486" w:type="dxa"/>
            <w:tcBorders>
              <w:top w:val="nil"/>
              <w:left w:val="nil"/>
              <w:bottom w:val="single" w:sz="4" w:space="0" w:color="auto"/>
              <w:right w:val="nil"/>
            </w:tcBorders>
            <w:shd w:val="clear" w:color="auto" w:fill="auto"/>
            <w:noWrap/>
            <w:vAlign w:val="center"/>
          </w:tcPr>
          <w:p w14:paraId="0C047822"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0.21 ± 0.19</w:t>
            </w:r>
          </w:p>
        </w:tc>
        <w:tc>
          <w:tcPr>
            <w:tcW w:w="1620" w:type="dxa"/>
            <w:tcBorders>
              <w:top w:val="nil"/>
              <w:left w:val="nil"/>
              <w:bottom w:val="single" w:sz="4" w:space="0" w:color="auto"/>
              <w:right w:val="nil"/>
            </w:tcBorders>
            <w:shd w:val="clear" w:color="auto" w:fill="auto"/>
            <w:vAlign w:val="center"/>
          </w:tcPr>
          <w:p w14:paraId="228155AB"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0.24 ± 0.19</w:t>
            </w:r>
          </w:p>
        </w:tc>
        <w:tc>
          <w:tcPr>
            <w:tcW w:w="1800" w:type="dxa"/>
            <w:tcBorders>
              <w:top w:val="nil"/>
              <w:left w:val="nil"/>
              <w:bottom w:val="single" w:sz="4" w:space="0" w:color="auto"/>
              <w:right w:val="nil"/>
            </w:tcBorders>
            <w:shd w:val="clear" w:color="auto" w:fill="auto"/>
            <w:vAlign w:val="center"/>
          </w:tcPr>
          <w:p w14:paraId="56C051A1"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0.25 ± 0.19</w:t>
            </w:r>
          </w:p>
        </w:tc>
        <w:tc>
          <w:tcPr>
            <w:tcW w:w="1710" w:type="dxa"/>
            <w:tcBorders>
              <w:top w:val="nil"/>
              <w:left w:val="nil"/>
              <w:bottom w:val="single" w:sz="4" w:space="0" w:color="auto"/>
              <w:right w:val="nil"/>
            </w:tcBorders>
            <w:shd w:val="clear" w:color="auto" w:fill="auto"/>
            <w:noWrap/>
            <w:vAlign w:val="center"/>
          </w:tcPr>
          <w:p w14:paraId="2B088124"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0.26 ± 0.19</w:t>
            </w:r>
          </w:p>
        </w:tc>
        <w:tc>
          <w:tcPr>
            <w:tcW w:w="990" w:type="dxa"/>
            <w:tcBorders>
              <w:top w:val="nil"/>
              <w:left w:val="nil"/>
              <w:bottom w:val="single" w:sz="4" w:space="0" w:color="auto"/>
              <w:right w:val="nil"/>
            </w:tcBorders>
            <w:shd w:val="clear" w:color="auto" w:fill="auto"/>
            <w:vAlign w:val="center"/>
          </w:tcPr>
          <w:p w14:paraId="004F169A"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0.14</w:t>
            </w:r>
          </w:p>
        </w:tc>
        <w:tc>
          <w:tcPr>
            <w:tcW w:w="1530" w:type="dxa"/>
            <w:tcBorders>
              <w:top w:val="nil"/>
              <w:left w:val="nil"/>
              <w:bottom w:val="single" w:sz="4" w:space="0" w:color="auto"/>
              <w:right w:val="nil"/>
            </w:tcBorders>
            <w:shd w:val="clear" w:color="auto" w:fill="auto"/>
            <w:vAlign w:val="center"/>
          </w:tcPr>
          <w:p w14:paraId="7522C139"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0.034 ± 0.015</w:t>
            </w:r>
          </w:p>
        </w:tc>
        <w:tc>
          <w:tcPr>
            <w:tcW w:w="1350" w:type="dxa"/>
            <w:tcBorders>
              <w:top w:val="nil"/>
              <w:left w:val="nil"/>
              <w:bottom w:val="single" w:sz="4" w:space="0" w:color="auto"/>
              <w:right w:val="nil"/>
            </w:tcBorders>
            <w:shd w:val="clear" w:color="auto" w:fill="auto"/>
            <w:vAlign w:val="center"/>
          </w:tcPr>
          <w:p w14:paraId="515B9926" w14:textId="77777777" w:rsidR="00D35263" w:rsidRPr="0055428F" w:rsidRDefault="00D35263" w:rsidP="00237592">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w:t>
            </w:r>
          </w:p>
        </w:tc>
      </w:tr>
      <w:tr w:rsidR="0055428F" w:rsidRPr="0055428F" w14:paraId="13FB0D9C" w14:textId="77777777" w:rsidTr="00B52D31">
        <w:trPr>
          <w:trHeight w:val="419"/>
        </w:trPr>
        <w:tc>
          <w:tcPr>
            <w:tcW w:w="13860" w:type="dxa"/>
            <w:gridSpan w:val="9"/>
            <w:tcBorders>
              <w:top w:val="single" w:sz="4" w:space="0" w:color="auto"/>
              <w:left w:val="nil"/>
            </w:tcBorders>
            <w:shd w:val="clear" w:color="auto" w:fill="auto"/>
            <w:vAlign w:val="center"/>
          </w:tcPr>
          <w:p w14:paraId="5B91D286" w14:textId="55FFF14F" w:rsidR="00B52D31" w:rsidRPr="0055428F" w:rsidRDefault="00D05D75" w:rsidP="00B52D31">
            <w:pPr>
              <w:contextualSpacing/>
              <w:rPr>
                <w:rFonts w:ascii="Times New Roman" w:eastAsia="Times New Roman" w:hAnsi="Times New Roman" w:cs="Times New Roman"/>
                <w:sz w:val="18"/>
                <w:szCs w:val="18"/>
                <w:vertAlign w:val="superscript"/>
              </w:rPr>
            </w:pPr>
            <w:r w:rsidRPr="0055428F">
              <w:rPr>
                <w:rFonts w:ascii="inherit" w:hAnsi="inherit" w:cs="Arial"/>
                <w:vertAlign w:val="superscript"/>
              </w:rPr>
              <w:t>†</w:t>
            </w:r>
            <w:r w:rsidR="00B52D31" w:rsidRPr="0055428F">
              <w:rPr>
                <w:rFonts w:ascii="Times New Roman" w:eastAsia="Times New Roman" w:hAnsi="Times New Roman" w:cs="Times New Roman"/>
                <w:sz w:val="18"/>
                <w:szCs w:val="18"/>
              </w:rPr>
              <w:t>Dietary fatty acid patterns were characterized by: long chain (13 to 20 C) SFA and MUFA, as well as animal-based MUFA and TFA (</w:t>
            </w:r>
            <w:r w:rsidR="00B52D31" w:rsidRPr="0055428F">
              <w:rPr>
                <w:rFonts w:ascii="Times New Roman" w:eastAsia="Times New Roman" w:hAnsi="Times New Roman" w:cs="Times New Roman"/>
                <w:b/>
                <w:bCs/>
                <w:sz w:val="18"/>
                <w:szCs w:val="18"/>
              </w:rPr>
              <w:t>Factor 1</w:t>
            </w:r>
            <w:r w:rsidR="00B52D31" w:rsidRPr="0055428F">
              <w:rPr>
                <w:rFonts w:ascii="Times New Roman" w:eastAsia="Times New Roman" w:hAnsi="Times New Roman" w:cs="Times New Roman"/>
                <w:sz w:val="18"/>
                <w:szCs w:val="18"/>
              </w:rPr>
              <w:t>);  short (&lt;6 C) and medium chain SFA (6-12 C) (</w:t>
            </w:r>
            <w:r w:rsidR="00B52D31" w:rsidRPr="0055428F">
              <w:rPr>
                <w:rFonts w:ascii="Times New Roman" w:eastAsia="Times New Roman" w:hAnsi="Times New Roman" w:cs="Times New Roman"/>
                <w:b/>
                <w:bCs/>
                <w:sz w:val="18"/>
                <w:szCs w:val="18"/>
              </w:rPr>
              <w:t>Factor 2</w:t>
            </w:r>
            <w:r w:rsidR="00B52D31" w:rsidRPr="0055428F">
              <w:rPr>
                <w:rFonts w:ascii="Times New Roman" w:eastAsia="Times New Roman" w:hAnsi="Times New Roman" w:cs="Times New Roman"/>
                <w:sz w:val="18"/>
                <w:szCs w:val="18"/>
              </w:rPr>
              <w:t>); animal-based omega-3 PUFA (EPA, DPA, and DHA), but also the omega-6 PUFA arachidonic acid (</w:t>
            </w:r>
            <w:r w:rsidR="00B52D31" w:rsidRPr="0055428F">
              <w:rPr>
                <w:rFonts w:ascii="Times New Roman" w:eastAsia="Times New Roman" w:hAnsi="Times New Roman" w:cs="Times New Roman"/>
                <w:b/>
                <w:bCs/>
                <w:sz w:val="18"/>
                <w:szCs w:val="18"/>
              </w:rPr>
              <w:t>Factor 3</w:t>
            </w:r>
            <w:r w:rsidR="00B52D31" w:rsidRPr="0055428F">
              <w:rPr>
                <w:rFonts w:ascii="Times New Roman" w:eastAsia="Times New Roman" w:hAnsi="Times New Roman" w:cs="Times New Roman"/>
                <w:sz w:val="18"/>
                <w:szCs w:val="18"/>
              </w:rPr>
              <w:t>); and long-chain plant-based MUFA, as well as PUFA found in plant food sources (linoleic and linolenic acid) (</w:t>
            </w:r>
            <w:r w:rsidR="00B52D31" w:rsidRPr="0055428F">
              <w:rPr>
                <w:rFonts w:ascii="Times New Roman" w:eastAsia="Times New Roman" w:hAnsi="Times New Roman" w:cs="Times New Roman"/>
                <w:b/>
                <w:bCs/>
                <w:sz w:val="18"/>
                <w:szCs w:val="18"/>
              </w:rPr>
              <w:t>Factor 4</w:t>
            </w:r>
            <w:r w:rsidR="00B52D31" w:rsidRPr="0055428F">
              <w:rPr>
                <w:rFonts w:ascii="Times New Roman" w:eastAsia="Times New Roman" w:hAnsi="Times New Roman" w:cs="Times New Roman"/>
                <w:sz w:val="18"/>
                <w:szCs w:val="18"/>
              </w:rPr>
              <w:t xml:space="preserve">).  </w:t>
            </w:r>
          </w:p>
          <w:p w14:paraId="04463E38" w14:textId="0DF55BA4" w:rsidR="00B52D31" w:rsidRPr="0055428F" w:rsidRDefault="00D05D75" w:rsidP="00B52D31">
            <w:pPr>
              <w:contextualSpacing/>
              <w:rPr>
                <w:rFonts w:ascii="Times New Roman" w:eastAsia="Times New Roman" w:hAnsi="Times New Roman" w:cs="Times New Roman"/>
                <w:sz w:val="18"/>
                <w:szCs w:val="18"/>
              </w:rPr>
            </w:pPr>
            <w:r w:rsidRPr="0055428F">
              <w:rPr>
                <w:rFonts w:ascii="inherit" w:hAnsi="inherit" w:cs="Arial"/>
                <w:vertAlign w:val="superscript"/>
              </w:rPr>
              <w:t>‡</w:t>
            </w:r>
            <w:r w:rsidR="00B52D31" w:rsidRPr="0055428F">
              <w:rPr>
                <w:rFonts w:ascii="Times New Roman" w:eastAsia="Times New Roman" w:hAnsi="Times New Roman" w:cs="Times New Roman"/>
                <w:sz w:val="18"/>
                <w:szCs w:val="18"/>
              </w:rPr>
              <w:t>Values represent the adjusted mean ± SE neurocognitive test z-score by factor score quintile. Differences in cognitive function score between factor score quintiles were examined using survey linear regression with factor scores treated categorically and neurocognitive test scores continuously. Tukey’s post-hoc tests were used for pairwise comparisons. Values with different letters are significantly different (</w:t>
            </w:r>
            <w:r w:rsidR="00B52D31" w:rsidRPr="0055428F">
              <w:rPr>
                <w:rFonts w:ascii="Times New Roman" w:eastAsia="Times New Roman" w:hAnsi="Times New Roman" w:cs="Times New Roman"/>
                <w:i/>
                <w:iCs/>
                <w:sz w:val="18"/>
                <w:szCs w:val="18"/>
              </w:rPr>
              <w:t>P</w:t>
            </w:r>
            <w:r w:rsidR="00B52D31" w:rsidRPr="0055428F">
              <w:rPr>
                <w:rFonts w:ascii="Times New Roman" w:eastAsia="Times New Roman" w:hAnsi="Times New Roman" w:cs="Times New Roman"/>
                <w:sz w:val="18"/>
                <w:szCs w:val="18"/>
              </w:rPr>
              <w:t xml:space="preserve">&lt;0.05). </w:t>
            </w:r>
          </w:p>
          <w:p w14:paraId="15CD8E2A" w14:textId="4CD5E3CD" w:rsidR="00B52D31" w:rsidRPr="0055428F" w:rsidRDefault="00D05D75" w:rsidP="00B52D31">
            <w:pPr>
              <w:contextualSpacing/>
              <w:rPr>
                <w:rFonts w:ascii="Times New Roman" w:hAnsi="Times New Roman" w:cs="Times New Roman"/>
                <w:sz w:val="18"/>
                <w:szCs w:val="18"/>
              </w:rPr>
            </w:pPr>
            <w:r w:rsidRPr="0055428F">
              <w:rPr>
                <w:rFonts w:ascii="inherit" w:hAnsi="inherit" w:cs="Arial"/>
                <w:vertAlign w:val="superscript"/>
              </w:rPr>
              <w:t>§</w:t>
            </w:r>
            <w:r w:rsidR="00B52D31" w:rsidRPr="0055428F">
              <w:rPr>
                <w:rFonts w:ascii="Times New Roman" w:eastAsia="Times New Roman" w:hAnsi="Times New Roman" w:cs="Times New Roman"/>
                <w:sz w:val="18"/>
                <w:szCs w:val="18"/>
              </w:rPr>
              <w:t xml:space="preserve">Models are adjusted for </w:t>
            </w:r>
            <w:r w:rsidR="00B52D31" w:rsidRPr="0055428F">
              <w:rPr>
                <w:rFonts w:ascii="Times New Roman" w:hAnsi="Times New Roman" w:cs="Times New Roman"/>
                <w:sz w:val="18"/>
                <w:szCs w:val="18"/>
              </w:rPr>
              <w:t xml:space="preserve">age (years), sex (M/F), energy intake (kcals/d), physical activity (MET-min/d), Hispanic/Latino background (Central American, Cuban, Dominican, Mexican, Puerto Rican, South American, and multiple/other/missing), field site (Bronx, Chicago, Miami, San Diego), CES-D score, diabetes (y/n), CVD (y/n), current smoker (y/n), hypertension (y/n), household income (&lt; $30,000 or not), and dietary intakes of fruits (servings/d/kcal), vegetables (servings/d/kcal), alcohol (servings/d/kcal), added sugar (% of energy/d), B12 (mg/d/kcal), B6 (mg/d/kcal), and niacin (mg/d/kcal).   </w:t>
            </w:r>
          </w:p>
          <w:p w14:paraId="09D38DFE" w14:textId="42B6E480" w:rsidR="00B52D31" w:rsidRPr="0055428F" w:rsidRDefault="00D05D75" w:rsidP="00B52D31">
            <w:pPr>
              <w:contextualSpacing/>
              <w:rPr>
                <w:rFonts w:ascii="Times New Roman" w:hAnsi="Times New Roman" w:cs="Times New Roman"/>
                <w:sz w:val="20"/>
                <w:szCs w:val="20"/>
              </w:rPr>
            </w:pPr>
            <w:r w:rsidRPr="0055428F">
              <w:rPr>
                <w:rFonts w:ascii="inherit" w:hAnsi="inherit" w:cs="Arial"/>
                <w:vertAlign w:val="superscript"/>
              </w:rPr>
              <w:t>||</w:t>
            </w:r>
            <w:r w:rsidR="00B52D31" w:rsidRPr="0055428F">
              <w:rPr>
                <w:rFonts w:ascii="Times New Roman" w:eastAsia="Times New Roman" w:hAnsi="Times New Roman" w:cs="Times New Roman"/>
                <w:sz w:val="18"/>
                <w:szCs w:val="18"/>
              </w:rPr>
              <w:t>Values are adjusted β ± SE and can be interpreted as the SD change in neurocognitive test score per SD change in factor score.</w:t>
            </w:r>
          </w:p>
        </w:tc>
      </w:tr>
    </w:tbl>
    <w:p w14:paraId="2145E653" w14:textId="77777777" w:rsidR="00B52D31" w:rsidRPr="0055428F" w:rsidRDefault="00B52D31" w:rsidP="00237592">
      <w:pPr>
        <w:contextualSpacing/>
        <w:rPr>
          <w:rFonts w:ascii="Times New Roman" w:eastAsia="Times New Roman" w:hAnsi="Times New Roman" w:cs="Times New Roman"/>
          <w:b/>
          <w:bCs/>
          <w:sz w:val="18"/>
          <w:szCs w:val="18"/>
          <w:vertAlign w:val="superscript"/>
        </w:rPr>
        <w:sectPr w:rsidR="00B52D31" w:rsidRPr="0055428F" w:rsidSect="00B52D31">
          <w:pgSz w:w="15840" w:h="12240" w:orient="landscape"/>
          <w:pgMar w:top="1440" w:right="1440" w:bottom="1440" w:left="1440" w:header="720" w:footer="720" w:gutter="0"/>
          <w:cols w:space="720"/>
          <w:docGrid w:linePitch="360"/>
        </w:sectPr>
      </w:pPr>
    </w:p>
    <w:tbl>
      <w:tblPr>
        <w:tblW w:w="9720" w:type="dxa"/>
        <w:tblLook w:val="04A0" w:firstRow="1" w:lastRow="0" w:firstColumn="1" w:lastColumn="0" w:noHBand="0" w:noVBand="1"/>
      </w:tblPr>
      <w:tblGrid>
        <w:gridCol w:w="1640"/>
        <w:gridCol w:w="3000"/>
        <w:gridCol w:w="3000"/>
        <w:gridCol w:w="2080"/>
      </w:tblGrid>
      <w:tr w:rsidR="0055428F" w:rsidRPr="0055428F" w14:paraId="09AE99C1" w14:textId="77777777" w:rsidTr="000F1D8B">
        <w:trPr>
          <w:trHeight w:val="288"/>
        </w:trPr>
        <w:tc>
          <w:tcPr>
            <w:tcW w:w="9720" w:type="dxa"/>
            <w:gridSpan w:val="4"/>
            <w:tcBorders>
              <w:bottom w:val="single" w:sz="4" w:space="0" w:color="auto"/>
            </w:tcBorders>
            <w:shd w:val="clear" w:color="auto" w:fill="auto"/>
            <w:vAlign w:val="center"/>
          </w:tcPr>
          <w:p w14:paraId="5AB5C0B4" w14:textId="492133B7" w:rsidR="00054C13" w:rsidRPr="0055428F" w:rsidRDefault="00B52D31" w:rsidP="00433E77">
            <w:pPr>
              <w:spacing w:after="0" w:line="240" w:lineRule="auto"/>
              <w:rPr>
                <w:rFonts w:ascii="Times New Roman" w:eastAsia="Times New Roman" w:hAnsi="Times New Roman" w:cs="Times New Roman"/>
                <w:b/>
                <w:bCs/>
                <w:sz w:val="20"/>
                <w:szCs w:val="20"/>
              </w:rPr>
            </w:pPr>
            <w:r w:rsidRPr="0055428F">
              <w:rPr>
                <w:rFonts w:ascii="Times New Roman" w:hAnsi="Times New Roman" w:cs="Times New Roman"/>
              </w:rPr>
              <w:lastRenderedPageBreak/>
              <w:br w:type="page"/>
            </w:r>
            <w:r w:rsidR="00054C13" w:rsidRPr="0055428F">
              <w:rPr>
                <w:rFonts w:ascii="Times New Roman" w:eastAsia="Times New Roman" w:hAnsi="Times New Roman" w:cs="Times New Roman"/>
                <w:b/>
                <w:bCs/>
                <w:sz w:val="20"/>
                <w:szCs w:val="20"/>
              </w:rPr>
              <w:t xml:space="preserve">Supplementary Table </w:t>
            </w:r>
            <w:r w:rsidR="00FD362E" w:rsidRPr="0055428F">
              <w:rPr>
                <w:rFonts w:ascii="Times New Roman" w:eastAsia="Times New Roman" w:hAnsi="Times New Roman" w:cs="Times New Roman"/>
                <w:b/>
                <w:bCs/>
                <w:sz w:val="20"/>
                <w:szCs w:val="20"/>
              </w:rPr>
              <w:t>5</w:t>
            </w:r>
            <w:r w:rsidR="00054C13" w:rsidRPr="0055428F">
              <w:rPr>
                <w:rFonts w:ascii="Times New Roman" w:eastAsia="Times New Roman" w:hAnsi="Times New Roman" w:cs="Times New Roman"/>
                <w:b/>
                <w:bCs/>
                <w:sz w:val="20"/>
                <w:szCs w:val="20"/>
              </w:rPr>
              <w:t>. Associations between dietary fatty acid patterns and individual neurocognitive tests excluding those with CVD (n=8,393)</w:t>
            </w:r>
          </w:p>
        </w:tc>
      </w:tr>
      <w:tr w:rsidR="0055428F" w:rsidRPr="0055428F" w14:paraId="2FF4537D" w14:textId="77777777" w:rsidTr="000F1D8B">
        <w:trPr>
          <w:trHeight w:val="288"/>
        </w:trPr>
        <w:tc>
          <w:tcPr>
            <w:tcW w:w="1640" w:type="dxa"/>
            <w:tcBorders>
              <w:top w:val="single" w:sz="4" w:space="0" w:color="auto"/>
              <w:bottom w:val="single" w:sz="4" w:space="0" w:color="auto"/>
            </w:tcBorders>
            <w:shd w:val="clear" w:color="auto" w:fill="auto"/>
            <w:vAlign w:val="center"/>
            <w:hideMark/>
          </w:tcPr>
          <w:p w14:paraId="0A4D24DC" w14:textId="51C5A050" w:rsidR="00054C13" w:rsidRPr="0055428F" w:rsidRDefault="00137B6D" w:rsidP="000F1D8B">
            <w:pPr>
              <w:spacing w:after="0" w:line="240" w:lineRule="auto"/>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Dietary Fatty Acid Pattern</w:t>
            </w:r>
            <w:r w:rsidR="00F66A7E" w:rsidRPr="0055428F">
              <w:rPr>
                <w:rFonts w:ascii="inherit" w:hAnsi="inherit" w:cs="Arial"/>
                <w:vertAlign w:val="superscript"/>
              </w:rPr>
              <w:t>†</w:t>
            </w:r>
          </w:p>
        </w:tc>
        <w:tc>
          <w:tcPr>
            <w:tcW w:w="3000" w:type="dxa"/>
            <w:tcBorders>
              <w:top w:val="single" w:sz="4" w:space="0" w:color="auto"/>
              <w:bottom w:val="single" w:sz="4" w:space="0" w:color="auto"/>
            </w:tcBorders>
            <w:shd w:val="clear" w:color="auto" w:fill="auto"/>
            <w:vAlign w:val="center"/>
            <w:hideMark/>
          </w:tcPr>
          <w:p w14:paraId="4C8BB1AF" w14:textId="77777777" w:rsidR="00054C13" w:rsidRPr="0055428F" w:rsidRDefault="00054C13" w:rsidP="000F1D8B">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Neurocognitive Test</w:t>
            </w:r>
          </w:p>
        </w:tc>
        <w:tc>
          <w:tcPr>
            <w:tcW w:w="3000" w:type="dxa"/>
            <w:tcBorders>
              <w:top w:val="single" w:sz="4" w:space="0" w:color="auto"/>
              <w:bottom w:val="single" w:sz="4" w:space="0" w:color="auto"/>
            </w:tcBorders>
            <w:shd w:val="clear" w:color="auto" w:fill="auto"/>
            <w:vAlign w:val="center"/>
            <w:hideMark/>
          </w:tcPr>
          <w:p w14:paraId="262C7565" w14:textId="07904603" w:rsidR="00054C13" w:rsidRPr="0055428F" w:rsidRDefault="00054C13" w:rsidP="000F1D8B">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β ± SE</w:t>
            </w:r>
            <w:r w:rsidR="00F66A7E" w:rsidRPr="0055428F">
              <w:rPr>
                <w:rFonts w:ascii="inherit" w:hAnsi="inherit" w:cs="Arial"/>
                <w:vertAlign w:val="superscript"/>
              </w:rPr>
              <w:t>‡</w:t>
            </w:r>
          </w:p>
        </w:tc>
        <w:tc>
          <w:tcPr>
            <w:tcW w:w="2080" w:type="dxa"/>
            <w:tcBorders>
              <w:top w:val="single" w:sz="4" w:space="0" w:color="auto"/>
              <w:bottom w:val="single" w:sz="4" w:space="0" w:color="auto"/>
            </w:tcBorders>
            <w:shd w:val="clear" w:color="auto" w:fill="auto"/>
            <w:vAlign w:val="center"/>
            <w:hideMark/>
          </w:tcPr>
          <w:p w14:paraId="12A06FF9" w14:textId="77777777" w:rsidR="00054C13" w:rsidRPr="0055428F" w:rsidRDefault="00054C13" w:rsidP="000F1D8B">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P</w:t>
            </w:r>
            <w:r w:rsidRPr="0055428F">
              <w:rPr>
                <w:rFonts w:ascii="Times New Roman" w:eastAsia="Times New Roman" w:hAnsi="Times New Roman" w:cs="Times New Roman"/>
                <w:b/>
                <w:bCs/>
                <w:sz w:val="20"/>
                <w:szCs w:val="20"/>
                <w:vertAlign w:val="subscript"/>
              </w:rPr>
              <w:t>T-test</w:t>
            </w:r>
          </w:p>
        </w:tc>
      </w:tr>
      <w:tr w:rsidR="0055428F" w:rsidRPr="0055428F" w14:paraId="7579EEA4" w14:textId="77777777" w:rsidTr="000F1D8B">
        <w:trPr>
          <w:trHeight w:val="288"/>
        </w:trPr>
        <w:tc>
          <w:tcPr>
            <w:tcW w:w="1640" w:type="dxa"/>
            <w:tcBorders>
              <w:top w:val="single" w:sz="4" w:space="0" w:color="auto"/>
            </w:tcBorders>
            <w:shd w:val="clear" w:color="auto" w:fill="auto"/>
            <w:vAlign w:val="center"/>
            <w:hideMark/>
          </w:tcPr>
          <w:p w14:paraId="4B33A672" w14:textId="77777777" w:rsidR="00054C13" w:rsidRPr="0055428F" w:rsidRDefault="00054C13" w:rsidP="000F1D8B">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Factor 1</w:t>
            </w:r>
          </w:p>
        </w:tc>
        <w:tc>
          <w:tcPr>
            <w:tcW w:w="3000" w:type="dxa"/>
            <w:tcBorders>
              <w:top w:val="single" w:sz="4" w:space="0" w:color="auto"/>
            </w:tcBorders>
            <w:shd w:val="clear" w:color="auto" w:fill="auto"/>
            <w:vAlign w:val="center"/>
            <w:hideMark/>
          </w:tcPr>
          <w:p w14:paraId="17853A8F"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Word Fluency</w:t>
            </w:r>
          </w:p>
        </w:tc>
        <w:tc>
          <w:tcPr>
            <w:tcW w:w="3000" w:type="dxa"/>
            <w:tcBorders>
              <w:top w:val="single" w:sz="4" w:space="0" w:color="auto"/>
            </w:tcBorders>
            <w:shd w:val="clear" w:color="auto" w:fill="auto"/>
            <w:hideMark/>
          </w:tcPr>
          <w:p w14:paraId="6D243CF0"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0.024 ± 0.017</w:t>
            </w:r>
          </w:p>
        </w:tc>
        <w:tc>
          <w:tcPr>
            <w:tcW w:w="2080" w:type="dxa"/>
            <w:tcBorders>
              <w:top w:val="single" w:sz="4" w:space="0" w:color="auto"/>
            </w:tcBorders>
            <w:shd w:val="clear" w:color="auto" w:fill="auto"/>
            <w:hideMark/>
          </w:tcPr>
          <w:p w14:paraId="2242BDD9"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0.15</w:t>
            </w:r>
          </w:p>
        </w:tc>
      </w:tr>
      <w:tr w:rsidR="0055428F" w:rsidRPr="0055428F" w14:paraId="2A74147D" w14:textId="77777777" w:rsidTr="000F1D8B">
        <w:trPr>
          <w:trHeight w:val="288"/>
        </w:trPr>
        <w:tc>
          <w:tcPr>
            <w:tcW w:w="1640" w:type="dxa"/>
            <w:shd w:val="clear" w:color="auto" w:fill="auto"/>
            <w:vAlign w:val="center"/>
            <w:hideMark/>
          </w:tcPr>
          <w:p w14:paraId="61C50E59" w14:textId="77777777" w:rsidR="00054C13" w:rsidRPr="0055428F" w:rsidRDefault="00054C13" w:rsidP="000F1D8B">
            <w:pPr>
              <w:spacing w:after="0" w:line="240" w:lineRule="auto"/>
              <w:jc w:val="center"/>
              <w:rPr>
                <w:rFonts w:ascii="Times New Roman" w:eastAsia="Times New Roman" w:hAnsi="Times New Roman" w:cs="Times New Roman"/>
                <w:b/>
                <w:bCs/>
                <w:sz w:val="20"/>
                <w:szCs w:val="20"/>
              </w:rPr>
            </w:pPr>
          </w:p>
        </w:tc>
        <w:tc>
          <w:tcPr>
            <w:tcW w:w="3000" w:type="dxa"/>
            <w:shd w:val="clear" w:color="auto" w:fill="auto"/>
            <w:vAlign w:val="center"/>
            <w:hideMark/>
          </w:tcPr>
          <w:p w14:paraId="5FC46770"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Digit Symbol</w:t>
            </w:r>
          </w:p>
        </w:tc>
        <w:tc>
          <w:tcPr>
            <w:tcW w:w="3000" w:type="dxa"/>
            <w:shd w:val="clear" w:color="auto" w:fill="auto"/>
            <w:hideMark/>
          </w:tcPr>
          <w:p w14:paraId="0CC11E3D"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0.036 ± 0.014</w:t>
            </w:r>
          </w:p>
        </w:tc>
        <w:tc>
          <w:tcPr>
            <w:tcW w:w="2080" w:type="dxa"/>
            <w:shd w:val="clear" w:color="auto" w:fill="auto"/>
            <w:hideMark/>
          </w:tcPr>
          <w:p w14:paraId="67B1C8DF"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w:t>
            </w:r>
          </w:p>
        </w:tc>
      </w:tr>
      <w:tr w:rsidR="0055428F" w:rsidRPr="0055428F" w14:paraId="3E1A9455" w14:textId="77777777" w:rsidTr="000F1D8B">
        <w:trPr>
          <w:trHeight w:val="288"/>
        </w:trPr>
        <w:tc>
          <w:tcPr>
            <w:tcW w:w="1640" w:type="dxa"/>
            <w:shd w:val="clear" w:color="auto" w:fill="auto"/>
            <w:vAlign w:val="center"/>
            <w:hideMark/>
          </w:tcPr>
          <w:p w14:paraId="4242D474" w14:textId="77777777" w:rsidR="00054C13" w:rsidRPr="0055428F" w:rsidRDefault="00054C13" w:rsidP="000F1D8B">
            <w:pPr>
              <w:spacing w:after="0" w:line="240" w:lineRule="auto"/>
              <w:jc w:val="center"/>
              <w:rPr>
                <w:rFonts w:ascii="Times New Roman" w:eastAsia="Times New Roman" w:hAnsi="Times New Roman" w:cs="Times New Roman"/>
                <w:b/>
                <w:bCs/>
                <w:sz w:val="20"/>
                <w:szCs w:val="20"/>
              </w:rPr>
            </w:pPr>
          </w:p>
        </w:tc>
        <w:tc>
          <w:tcPr>
            <w:tcW w:w="3000" w:type="dxa"/>
            <w:shd w:val="clear" w:color="auto" w:fill="auto"/>
            <w:vAlign w:val="center"/>
            <w:hideMark/>
          </w:tcPr>
          <w:p w14:paraId="18DD4634"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B-SEVLT-Sum</w:t>
            </w:r>
          </w:p>
        </w:tc>
        <w:tc>
          <w:tcPr>
            <w:tcW w:w="3000" w:type="dxa"/>
            <w:shd w:val="clear" w:color="auto" w:fill="auto"/>
            <w:hideMark/>
          </w:tcPr>
          <w:p w14:paraId="7BDAE71E"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0.011 ± 0.021</w:t>
            </w:r>
          </w:p>
        </w:tc>
        <w:tc>
          <w:tcPr>
            <w:tcW w:w="2080" w:type="dxa"/>
            <w:shd w:val="clear" w:color="auto" w:fill="auto"/>
            <w:hideMark/>
          </w:tcPr>
          <w:p w14:paraId="17E16CE0"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0.59</w:t>
            </w:r>
          </w:p>
        </w:tc>
      </w:tr>
      <w:tr w:rsidR="0055428F" w:rsidRPr="0055428F" w14:paraId="488D4A80" w14:textId="77777777" w:rsidTr="000F1D8B">
        <w:trPr>
          <w:trHeight w:val="288"/>
        </w:trPr>
        <w:tc>
          <w:tcPr>
            <w:tcW w:w="1640" w:type="dxa"/>
            <w:shd w:val="clear" w:color="auto" w:fill="auto"/>
            <w:vAlign w:val="center"/>
            <w:hideMark/>
          </w:tcPr>
          <w:p w14:paraId="1CB95B3F" w14:textId="77777777" w:rsidR="00054C13" w:rsidRPr="0055428F" w:rsidRDefault="00054C13" w:rsidP="000F1D8B">
            <w:pPr>
              <w:spacing w:after="0" w:line="240" w:lineRule="auto"/>
              <w:jc w:val="center"/>
              <w:rPr>
                <w:rFonts w:ascii="Times New Roman" w:eastAsia="Times New Roman" w:hAnsi="Times New Roman" w:cs="Times New Roman"/>
                <w:b/>
                <w:bCs/>
                <w:sz w:val="20"/>
                <w:szCs w:val="20"/>
              </w:rPr>
            </w:pPr>
          </w:p>
        </w:tc>
        <w:tc>
          <w:tcPr>
            <w:tcW w:w="3000" w:type="dxa"/>
            <w:shd w:val="clear" w:color="auto" w:fill="auto"/>
            <w:vAlign w:val="center"/>
            <w:hideMark/>
          </w:tcPr>
          <w:p w14:paraId="0DEE359D"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B-SEVLT-Recall</w:t>
            </w:r>
          </w:p>
        </w:tc>
        <w:tc>
          <w:tcPr>
            <w:tcW w:w="3000" w:type="dxa"/>
            <w:shd w:val="clear" w:color="auto" w:fill="auto"/>
            <w:noWrap/>
            <w:hideMark/>
          </w:tcPr>
          <w:p w14:paraId="068B8495"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-0.012 ± 0.017</w:t>
            </w:r>
          </w:p>
        </w:tc>
        <w:tc>
          <w:tcPr>
            <w:tcW w:w="2080" w:type="dxa"/>
            <w:shd w:val="clear" w:color="auto" w:fill="auto"/>
            <w:hideMark/>
          </w:tcPr>
          <w:p w14:paraId="3169F29D"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0.49</w:t>
            </w:r>
          </w:p>
        </w:tc>
      </w:tr>
      <w:tr w:rsidR="0055428F" w:rsidRPr="0055428F" w14:paraId="256777D9" w14:textId="77777777" w:rsidTr="000F1D8B">
        <w:trPr>
          <w:trHeight w:val="288"/>
        </w:trPr>
        <w:tc>
          <w:tcPr>
            <w:tcW w:w="1640" w:type="dxa"/>
            <w:shd w:val="clear" w:color="auto" w:fill="auto"/>
            <w:vAlign w:val="center"/>
            <w:hideMark/>
          </w:tcPr>
          <w:p w14:paraId="6F6FE5B1" w14:textId="77777777" w:rsidR="00054C13" w:rsidRPr="0055428F" w:rsidRDefault="00054C13" w:rsidP="000F1D8B">
            <w:pPr>
              <w:spacing w:after="0" w:line="240" w:lineRule="auto"/>
              <w:jc w:val="center"/>
              <w:rPr>
                <w:rFonts w:ascii="Times New Roman" w:eastAsia="Times New Roman" w:hAnsi="Times New Roman" w:cs="Times New Roman"/>
                <w:b/>
                <w:bCs/>
                <w:sz w:val="20"/>
                <w:szCs w:val="20"/>
              </w:rPr>
            </w:pPr>
          </w:p>
        </w:tc>
        <w:tc>
          <w:tcPr>
            <w:tcW w:w="3000" w:type="dxa"/>
            <w:shd w:val="clear" w:color="auto" w:fill="auto"/>
            <w:vAlign w:val="center"/>
            <w:hideMark/>
          </w:tcPr>
          <w:p w14:paraId="32CBA54C"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p>
        </w:tc>
        <w:tc>
          <w:tcPr>
            <w:tcW w:w="3000" w:type="dxa"/>
            <w:shd w:val="clear" w:color="auto" w:fill="auto"/>
            <w:noWrap/>
            <w:hideMark/>
          </w:tcPr>
          <w:p w14:paraId="499120F6"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p>
        </w:tc>
        <w:tc>
          <w:tcPr>
            <w:tcW w:w="2080" w:type="dxa"/>
            <w:shd w:val="clear" w:color="auto" w:fill="auto"/>
            <w:hideMark/>
          </w:tcPr>
          <w:p w14:paraId="5FAA5ABA"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p>
        </w:tc>
      </w:tr>
      <w:tr w:rsidR="0055428F" w:rsidRPr="0055428F" w14:paraId="0DA8E3C2" w14:textId="77777777" w:rsidTr="000F1D8B">
        <w:trPr>
          <w:trHeight w:val="288"/>
        </w:trPr>
        <w:tc>
          <w:tcPr>
            <w:tcW w:w="1640" w:type="dxa"/>
            <w:shd w:val="clear" w:color="auto" w:fill="auto"/>
            <w:vAlign w:val="center"/>
            <w:hideMark/>
          </w:tcPr>
          <w:p w14:paraId="0D6D975A" w14:textId="77777777" w:rsidR="00054C13" w:rsidRPr="0055428F" w:rsidRDefault="00054C13" w:rsidP="000F1D8B">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Factor 2</w:t>
            </w:r>
          </w:p>
        </w:tc>
        <w:tc>
          <w:tcPr>
            <w:tcW w:w="3000" w:type="dxa"/>
            <w:shd w:val="clear" w:color="auto" w:fill="auto"/>
            <w:vAlign w:val="center"/>
            <w:hideMark/>
          </w:tcPr>
          <w:p w14:paraId="4054112A"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Word Fluency</w:t>
            </w:r>
          </w:p>
        </w:tc>
        <w:tc>
          <w:tcPr>
            <w:tcW w:w="3000" w:type="dxa"/>
            <w:shd w:val="clear" w:color="auto" w:fill="auto"/>
            <w:hideMark/>
          </w:tcPr>
          <w:p w14:paraId="74235E4F"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0.041 ± 0.017</w:t>
            </w:r>
          </w:p>
        </w:tc>
        <w:tc>
          <w:tcPr>
            <w:tcW w:w="2080" w:type="dxa"/>
            <w:shd w:val="clear" w:color="auto" w:fill="auto"/>
            <w:hideMark/>
          </w:tcPr>
          <w:p w14:paraId="0BE5E5AD"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0.017</w:t>
            </w:r>
          </w:p>
        </w:tc>
      </w:tr>
      <w:tr w:rsidR="0055428F" w:rsidRPr="0055428F" w14:paraId="6812BD91" w14:textId="77777777" w:rsidTr="000F1D8B">
        <w:trPr>
          <w:trHeight w:val="288"/>
        </w:trPr>
        <w:tc>
          <w:tcPr>
            <w:tcW w:w="1640" w:type="dxa"/>
            <w:shd w:val="clear" w:color="auto" w:fill="auto"/>
            <w:vAlign w:val="center"/>
            <w:hideMark/>
          </w:tcPr>
          <w:p w14:paraId="23364F03" w14:textId="77777777" w:rsidR="00054C13" w:rsidRPr="0055428F" w:rsidRDefault="00054C13" w:rsidP="000F1D8B">
            <w:pPr>
              <w:spacing w:after="0" w:line="240" w:lineRule="auto"/>
              <w:jc w:val="center"/>
              <w:rPr>
                <w:rFonts w:ascii="Times New Roman" w:eastAsia="Times New Roman" w:hAnsi="Times New Roman" w:cs="Times New Roman"/>
                <w:b/>
                <w:bCs/>
                <w:sz w:val="20"/>
                <w:szCs w:val="20"/>
              </w:rPr>
            </w:pPr>
          </w:p>
        </w:tc>
        <w:tc>
          <w:tcPr>
            <w:tcW w:w="3000" w:type="dxa"/>
            <w:shd w:val="clear" w:color="auto" w:fill="auto"/>
            <w:vAlign w:val="center"/>
            <w:hideMark/>
          </w:tcPr>
          <w:p w14:paraId="7581EF24"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Digit Symbol</w:t>
            </w:r>
          </w:p>
        </w:tc>
        <w:tc>
          <w:tcPr>
            <w:tcW w:w="3000" w:type="dxa"/>
            <w:shd w:val="clear" w:color="auto" w:fill="auto"/>
            <w:hideMark/>
          </w:tcPr>
          <w:p w14:paraId="14C03C1B"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0.051 ± 0.016</w:t>
            </w:r>
          </w:p>
        </w:tc>
        <w:tc>
          <w:tcPr>
            <w:tcW w:w="2080" w:type="dxa"/>
            <w:shd w:val="clear" w:color="auto" w:fill="auto"/>
            <w:hideMark/>
          </w:tcPr>
          <w:p w14:paraId="2DCE8D62"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0.0015</w:t>
            </w:r>
          </w:p>
        </w:tc>
      </w:tr>
      <w:tr w:rsidR="0055428F" w:rsidRPr="0055428F" w14:paraId="755BF6B2" w14:textId="77777777" w:rsidTr="000F1D8B">
        <w:trPr>
          <w:trHeight w:val="288"/>
        </w:trPr>
        <w:tc>
          <w:tcPr>
            <w:tcW w:w="1640" w:type="dxa"/>
            <w:shd w:val="clear" w:color="auto" w:fill="auto"/>
            <w:vAlign w:val="center"/>
            <w:hideMark/>
          </w:tcPr>
          <w:p w14:paraId="31FF6321" w14:textId="77777777" w:rsidR="00054C13" w:rsidRPr="0055428F" w:rsidRDefault="00054C13" w:rsidP="000F1D8B">
            <w:pPr>
              <w:spacing w:after="0" w:line="240" w:lineRule="auto"/>
              <w:jc w:val="center"/>
              <w:rPr>
                <w:rFonts w:ascii="Times New Roman" w:eastAsia="Times New Roman" w:hAnsi="Times New Roman" w:cs="Times New Roman"/>
                <w:b/>
                <w:bCs/>
                <w:sz w:val="20"/>
                <w:szCs w:val="20"/>
              </w:rPr>
            </w:pPr>
          </w:p>
        </w:tc>
        <w:tc>
          <w:tcPr>
            <w:tcW w:w="3000" w:type="dxa"/>
            <w:shd w:val="clear" w:color="auto" w:fill="auto"/>
            <w:vAlign w:val="center"/>
            <w:hideMark/>
          </w:tcPr>
          <w:p w14:paraId="2D8AC1B4"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B-SEVLT-Sum</w:t>
            </w:r>
          </w:p>
        </w:tc>
        <w:tc>
          <w:tcPr>
            <w:tcW w:w="3000" w:type="dxa"/>
            <w:shd w:val="clear" w:color="auto" w:fill="auto"/>
            <w:hideMark/>
          </w:tcPr>
          <w:p w14:paraId="3F35F2A1"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0.04 ± 0.02</w:t>
            </w:r>
          </w:p>
        </w:tc>
        <w:tc>
          <w:tcPr>
            <w:tcW w:w="2080" w:type="dxa"/>
            <w:shd w:val="clear" w:color="auto" w:fill="auto"/>
            <w:hideMark/>
          </w:tcPr>
          <w:p w14:paraId="13A9D4F8"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0.046</w:t>
            </w:r>
          </w:p>
        </w:tc>
      </w:tr>
      <w:tr w:rsidR="0055428F" w:rsidRPr="0055428F" w14:paraId="20FA7487" w14:textId="77777777" w:rsidTr="000F1D8B">
        <w:trPr>
          <w:trHeight w:val="288"/>
        </w:trPr>
        <w:tc>
          <w:tcPr>
            <w:tcW w:w="1640" w:type="dxa"/>
            <w:shd w:val="clear" w:color="auto" w:fill="auto"/>
            <w:vAlign w:val="center"/>
            <w:hideMark/>
          </w:tcPr>
          <w:p w14:paraId="64140B3D" w14:textId="77777777" w:rsidR="00054C13" w:rsidRPr="0055428F" w:rsidRDefault="00054C13" w:rsidP="000F1D8B">
            <w:pPr>
              <w:spacing w:after="0" w:line="240" w:lineRule="auto"/>
              <w:jc w:val="center"/>
              <w:rPr>
                <w:rFonts w:ascii="Times New Roman" w:eastAsia="Times New Roman" w:hAnsi="Times New Roman" w:cs="Times New Roman"/>
                <w:b/>
                <w:bCs/>
                <w:sz w:val="20"/>
                <w:szCs w:val="20"/>
              </w:rPr>
            </w:pPr>
          </w:p>
        </w:tc>
        <w:tc>
          <w:tcPr>
            <w:tcW w:w="3000" w:type="dxa"/>
            <w:shd w:val="clear" w:color="auto" w:fill="auto"/>
            <w:vAlign w:val="center"/>
            <w:hideMark/>
          </w:tcPr>
          <w:p w14:paraId="700017AC"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B-SEVLT-Recall</w:t>
            </w:r>
          </w:p>
        </w:tc>
        <w:tc>
          <w:tcPr>
            <w:tcW w:w="3000" w:type="dxa"/>
            <w:shd w:val="clear" w:color="auto" w:fill="auto"/>
            <w:hideMark/>
          </w:tcPr>
          <w:p w14:paraId="4E990CA2"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0.035 ± 0.018</w:t>
            </w:r>
          </w:p>
        </w:tc>
        <w:tc>
          <w:tcPr>
            <w:tcW w:w="2080" w:type="dxa"/>
            <w:shd w:val="clear" w:color="auto" w:fill="auto"/>
            <w:hideMark/>
          </w:tcPr>
          <w:p w14:paraId="60867319"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0.06</w:t>
            </w:r>
          </w:p>
        </w:tc>
      </w:tr>
      <w:tr w:rsidR="0055428F" w:rsidRPr="0055428F" w14:paraId="27D9F1C3" w14:textId="77777777" w:rsidTr="000F1D8B">
        <w:trPr>
          <w:trHeight w:val="288"/>
        </w:trPr>
        <w:tc>
          <w:tcPr>
            <w:tcW w:w="1640" w:type="dxa"/>
            <w:shd w:val="clear" w:color="auto" w:fill="auto"/>
            <w:vAlign w:val="center"/>
            <w:hideMark/>
          </w:tcPr>
          <w:p w14:paraId="43552ED7" w14:textId="77777777" w:rsidR="00054C13" w:rsidRPr="0055428F" w:rsidRDefault="00054C13" w:rsidP="000F1D8B">
            <w:pPr>
              <w:spacing w:after="0" w:line="240" w:lineRule="auto"/>
              <w:jc w:val="center"/>
              <w:rPr>
                <w:rFonts w:ascii="Times New Roman" w:eastAsia="Times New Roman" w:hAnsi="Times New Roman" w:cs="Times New Roman"/>
                <w:b/>
                <w:bCs/>
                <w:sz w:val="20"/>
                <w:szCs w:val="20"/>
              </w:rPr>
            </w:pPr>
          </w:p>
        </w:tc>
        <w:tc>
          <w:tcPr>
            <w:tcW w:w="3000" w:type="dxa"/>
            <w:shd w:val="clear" w:color="auto" w:fill="auto"/>
            <w:vAlign w:val="center"/>
            <w:hideMark/>
          </w:tcPr>
          <w:p w14:paraId="35F2D91B"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p>
        </w:tc>
        <w:tc>
          <w:tcPr>
            <w:tcW w:w="3000" w:type="dxa"/>
            <w:shd w:val="clear" w:color="auto" w:fill="auto"/>
            <w:hideMark/>
          </w:tcPr>
          <w:p w14:paraId="407FA2F8"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p>
        </w:tc>
        <w:tc>
          <w:tcPr>
            <w:tcW w:w="2080" w:type="dxa"/>
            <w:shd w:val="clear" w:color="auto" w:fill="auto"/>
            <w:hideMark/>
          </w:tcPr>
          <w:p w14:paraId="7B9BECD7"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p>
        </w:tc>
      </w:tr>
      <w:tr w:rsidR="0055428F" w:rsidRPr="0055428F" w14:paraId="574B1AD7" w14:textId="77777777" w:rsidTr="000F1D8B">
        <w:trPr>
          <w:trHeight w:val="288"/>
        </w:trPr>
        <w:tc>
          <w:tcPr>
            <w:tcW w:w="1640" w:type="dxa"/>
            <w:shd w:val="clear" w:color="auto" w:fill="auto"/>
            <w:vAlign w:val="center"/>
            <w:hideMark/>
          </w:tcPr>
          <w:p w14:paraId="6F1C90D7" w14:textId="77777777" w:rsidR="00054C13" w:rsidRPr="0055428F" w:rsidRDefault="00054C13" w:rsidP="000F1D8B">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Factor 3</w:t>
            </w:r>
          </w:p>
        </w:tc>
        <w:tc>
          <w:tcPr>
            <w:tcW w:w="3000" w:type="dxa"/>
            <w:shd w:val="clear" w:color="auto" w:fill="auto"/>
            <w:vAlign w:val="center"/>
            <w:hideMark/>
          </w:tcPr>
          <w:p w14:paraId="35ED817E"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Word Fluency</w:t>
            </w:r>
          </w:p>
        </w:tc>
        <w:tc>
          <w:tcPr>
            <w:tcW w:w="3000" w:type="dxa"/>
            <w:shd w:val="clear" w:color="auto" w:fill="auto"/>
            <w:noWrap/>
            <w:hideMark/>
          </w:tcPr>
          <w:p w14:paraId="738D7C23"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-0.0023 ± 0.028</w:t>
            </w:r>
          </w:p>
        </w:tc>
        <w:tc>
          <w:tcPr>
            <w:tcW w:w="2080" w:type="dxa"/>
            <w:shd w:val="clear" w:color="auto" w:fill="auto"/>
            <w:hideMark/>
          </w:tcPr>
          <w:p w14:paraId="15E041DB"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0.93</w:t>
            </w:r>
          </w:p>
        </w:tc>
      </w:tr>
      <w:tr w:rsidR="0055428F" w:rsidRPr="0055428F" w14:paraId="0DF46636" w14:textId="77777777" w:rsidTr="000F1D8B">
        <w:trPr>
          <w:trHeight w:val="288"/>
        </w:trPr>
        <w:tc>
          <w:tcPr>
            <w:tcW w:w="1640" w:type="dxa"/>
            <w:shd w:val="clear" w:color="auto" w:fill="auto"/>
            <w:vAlign w:val="center"/>
            <w:hideMark/>
          </w:tcPr>
          <w:p w14:paraId="7751915B" w14:textId="77777777" w:rsidR="00054C13" w:rsidRPr="0055428F" w:rsidRDefault="00054C13" w:rsidP="000F1D8B">
            <w:pPr>
              <w:spacing w:after="0" w:line="240" w:lineRule="auto"/>
              <w:jc w:val="center"/>
              <w:rPr>
                <w:rFonts w:ascii="Times New Roman" w:eastAsia="Times New Roman" w:hAnsi="Times New Roman" w:cs="Times New Roman"/>
                <w:b/>
                <w:bCs/>
                <w:sz w:val="20"/>
                <w:szCs w:val="20"/>
              </w:rPr>
            </w:pPr>
          </w:p>
        </w:tc>
        <w:tc>
          <w:tcPr>
            <w:tcW w:w="3000" w:type="dxa"/>
            <w:shd w:val="clear" w:color="auto" w:fill="auto"/>
            <w:vAlign w:val="center"/>
            <w:hideMark/>
          </w:tcPr>
          <w:p w14:paraId="0F423571"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Digit Symbol</w:t>
            </w:r>
          </w:p>
        </w:tc>
        <w:tc>
          <w:tcPr>
            <w:tcW w:w="3000" w:type="dxa"/>
            <w:shd w:val="clear" w:color="auto" w:fill="auto"/>
            <w:noWrap/>
            <w:hideMark/>
          </w:tcPr>
          <w:p w14:paraId="7A08DA62"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-0.018 ± 0.018</w:t>
            </w:r>
          </w:p>
        </w:tc>
        <w:tc>
          <w:tcPr>
            <w:tcW w:w="2080" w:type="dxa"/>
            <w:shd w:val="clear" w:color="auto" w:fill="auto"/>
            <w:hideMark/>
          </w:tcPr>
          <w:p w14:paraId="40AED37E"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0.31</w:t>
            </w:r>
          </w:p>
        </w:tc>
      </w:tr>
      <w:tr w:rsidR="0055428F" w:rsidRPr="0055428F" w14:paraId="262F81C1" w14:textId="77777777" w:rsidTr="000F1D8B">
        <w:trPr>
          <w:trHeight w:val="288"/>
        </w:trPr>
        <w:tc>
          <w:tcPr>
            <w:tcW w:w="1640" w:type="dxa"/>
            <w:shd w:val="clear" w:color="auto" w:fill="auto"/>
            <w:vAlign w:val="center"/>
            <w:hideMark/>
          </w:tcPr>
          <w:p w14:paraId="7401EC7F" w14:textId="77777777" w:rsidR="00054C13" w:rsidRPr="0055428F" w:rsidRDefault="00054C13" w:rsidP="000F1D8B">
            <w:pPr>
              <w:spacing w:after="0" w:line="240" w:lineRule="auto"/>
              <w:jc w:val="center"/>
              <w:rPr>
                <w:rFonts w:ascii="Times New Roman" w:eastAsia="Times New Roman" w:hAnsi="Times New Roman" w:cs="Times New Roman"/>
                <w:b/>
                <w:bCs/>
                <w:sz w:val="20"/>
                <w:szCs w:val="20"/>
              </w:rPr>
            </w:pPr>
          </w:p>
        </w:tc>
        <w:tc>
          <w:tcPr>
            <w:tcW w:w="3000" w:type="dxa"/>
            <w:shd w:val="clear" w:color="auto" w:fill="auto"/>
            <w:vAlign w:val="center"/>
            <w:hideMark/>
          </w:tcPr>
          <w:p w14:paraId="08DABDE6"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B-SEVLT-Sum</w:t>
            </w:r>
          </w:p>
        </w:tc>
        <w:tc>
          <w:tcPr>
            <w:tcW w:w="3000" w:type="dxa"/>
            <w:shd w:val="clear" w:color="auto" w:fill="auto"/>
            <w:noWrap/>
            <w:hideMark/>
          </w:tcPr>
          <w:p w14:paraId="4AB3DA79"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-0.0032 ± 0.02</w:t>
            </w:r>
          </w:p>
        </w:tc>
        <w:tc>
          <w:tcPr>
            <w:tcW w:w="2080" w:type="dxa"/>
            <w:shd w:val="clear" w:color="auto" w:fill="auto"/>
            <w:hideMark/>
          </w:tcPr>
          <w:p w14:paraId="70D13D74"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0.87</w:t>
            </w:r>
          </w:p>
        </w:tc>
      </w:tr>
      <w:tr w:rsidR="0055428F" w:rsidRPr="0055428F" w14:paraId="0306D8C5" w14:textId="77777777" w:rsidTr="000F1D8B">
        <w:trPr>
          <w:trHeight w:val="288"/>
        </w:trPr>
        <w:tc>
          <w:tcPr>
            <w:tcW w:w="1640" w:type="dxa"/>
            <w:shd w:val="clear" w:color="auto" w:fill="auto"/>
            <w:vAlign w:val="center"/>
            <w:hideMark/>
          </w:tcPr>
          <w:p w14:paraId="07919146" w14:textId="77777777" w:rsidR="00054C13" w:rsidRPr="0055428F" w:rsidRDefault="00054C13" w:rsidP="000F1D8B">
            <w:pPr>
              <w:spacing w:after="0" w:line="240" w:lineRule="auto"/>
              <w:jc w:val="center"/>
              <w:rPr>
                <w:rFonts w:ascii="Times New Roman" w:eastAsia="Times New Roman" w:hAnsi="Times New Roman" w:cs="Times New Roman"/>
                <w:b/>
                <w:bCs/>
                <w:sz w:val="20"/>
                <w:szCs w:val="20"/>
              </w:rPr>
            </w:pPr>
          </w:p>
        </w:tc>
        <w:tc>
          <w:tcPr>
            <w:tcW w:w="3000" w:type="dxa"/>
            <w:shd w:val="clear" w:color="auto" w:fill="auto"/>
            <w:vAlign w:val="center"/>
            <w:hideMark/>
          </w:tcPr>
          <w:p w14:paraId="767EDAD5"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B-SEVLT-Recall</w:t>
            </w:r>
          </w:p>
        </w:tc>
        <w:tc>
          <w:tcPr>
            <w:tcW w:w="3000" w:type="dxa"/>
            <w:shd w:val="clear" w:color="auto" w:fill="auto"/>
            <w:noWrap/>
            <w:hideMark/>
          </w:tcPr>
          <w:p w14:paraId="7B9E0441"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-0.016 ± 0.021</w:t>
            </w:r>
          </w:p>
        </w:tc>
        <w:tc>
          <w:tcPr>
            <w:tcW w:w="2080" w:type="dxa"/>
            <w:shd w:val="clear" w:color="auto" w:fill="auto"/>
            <w:hideMark/>
          </w:tcPr>
          <w:p w14:paraId="78161A96"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0.43</w:t>
            </w:r>
          </w:p>
        </w:tc>
      </w:tr>
      <w:tr w:rsidR="0055428F" w:rsidRPr="0055428F" w14:paraId="5E641C7B" w14:textId="77777777" w:rsidTr="000F1D8B">
        <w:trPr>
          <w:trHeight w:val="288"/>
        </w:trPr>
        <w:tc>
          <w:tcPr>
            <w:tcW w:w="1640" w:type="dxa"/>
            <w:shd w:val="clear" w:color="auto" w:fill="auto"/>
            <w:vAlign w:val="center"/>
            <w:hideMark/>
          </w:tcPr>
          <w:p w14:paraId="38B69CD0" w14:textId="77777777" w:rsidR="00054C13" w:rsidRPr="0055428F" w:rsidRDefault="00054C13" w:rsidP="000F1D8B">
            <w:pPr>
              <w:spacing w:after="0" w:line="240" w:lineRule="auto"/>
              <w:jc w:val="center"/>
              <w:rPr>
                <w:rFonts w:ascii="Times New Roman" w:eastAsia="Times New Roman" w:hAnsi="Times New Roman" w:cs="Times New Roman"/>
                <w:b/>
                <w:bCs/>
                <w:sz w:val="20"/>
                <w:szCs w:val="20"/>
              </w:rPr>
            </w:pPr>
          </w:p>
        </w:tc>
        <w:tc>
          <w:tcPr>
            <w:tcW w:w="3000" w:type="dxa"/>
            <w:shd w:val="clear" w:color="auto" w:fill="auto"/>
            <w:vAlign w:val="center"/>
            <w:hideMark/>
          </w:tcPr>
          <w:p w14:paraId="50AAA796"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p>
        </w:tc>
        <w:tc>
          <w:tcPr>
            <w:tcW w:w="3000" w:type="dxa"/>
            <w:shd w:val="clear" w:color="auto" w:fill="auto"/>
            <w:noWrap/>
            <w:hideMark/>
          </w:tcPr>
          <w:p w14:paraId="3DEC1609"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p>
        </w:tc>
        <w:tc>
          <w:tcPr>
            <w:tcW w:w="2080" w:type="dxa"/>
            <w:shd w:val="clear" w:color="auto" w:fill="auto"/>
            <w:hideMark/>
          </w:tcPr>
          <w:p w14:paraId="25162A5E"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p>
        </w:tc>
      </w:tr>
      <w:tr w:rsidR="0055428F" w:rsidRPr="0055428F" w14:paraId="61250614" w14:textId="77777777" w:rsidTr="000F1D8B">
        <w:trPr>
          <w:trHeight w:val="288"/>
        </w:trPr>
        <w:tc>
          <w:tcPr>
            <w:tcW w:w="1640" w:type="dxa"/>
            <w:shd w:val="clear" w:color="auto" w:fill="auto"/>
            <w:vAlign w:val="center"/>
            <w:hideMark/>
          </w:tcPr>
          <w:p w14:paraId="41A58DB3" w14:textId="77777777" w:rsidR="00054C13" w:rsidRPr="0055428F" w:rsidRDefault="00054C13" w:rsidP="000F1D8B">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Factor 4</w:t>
            </w:r>
          </w:p>
        </w:tc>
        <w:tc>
          <w:tcPr>
            <w:tcW w:w="3000" w:type="dxa"/>
            <w:shd w:val="clear" w:color="auto" w:fill="auto"/>
            <w:vAlign w:val="center"/>
            <w:hideMark/>
          </w:tcPr>
          <w:p w14:paraId="0739DEE7"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Word Fluency</w:t>
            </w:r>
          </w:p>
        </w:tc>
        <w:tc>
          <w:tcPr>
            <w:tcW w:w="3000" w:type="dxa"/>
            <w:shd w:val="clear" w:color="auto" w:fill="auto"/>
            <w:hideMark/>
          </w:tcPr>
          <w:p w14:paraId="5228F359"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0.021 ± 0.016</w:t>
            </w:r>
          </w:p>
        </w:tc>
        <w:tc>
          <w:tcPr>
            <w:tcW w:w="2080" w:type="dxa"/>
            <w:shd w:val="clear" w:color="auto" w:fill="auto"/>
            <w:hideMark/>
          </w:tcPr>
          <w:p w14:paraId="080C765A"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0.19</w:t>
            </w:r>
          </w:p>
        </w:tc>
      </w:tr>
      <w:tr w:rsidR="0055428F" w:rsidRPr="0055428F" w14:paraId="45D629D8" w14:textId="77777777" w:rsidTr="000F1D8B">
        <w:trPr>
          <w:trHeight w:val="288"/>
        </w:trPr>
        <w:tc>
          <w:tcPr>
            <w:tcW w:w="1640" w:type="dxa"/>
            <w:shd w:val="clear" w:color="auto" w:fill="auto"/>
            <w:vAlign w:val="center"/>
            <w:hideMark/>
          </w:tcPr>
          <w:p w14:paraId="64670D9F"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p>
        </w:tc>
        <w:tc>
          <w:tcPr>
            <w:tcW w:w="3000" w:type="dxa"/>
            <w:shd w:val="clear" w:color="auto" w:fill="auto"/>
            <w:vAlign w:val="center"/>
            <w:hideMark/>
          </w:tcPr>
          <w:p w14:paraId="60827D3A"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Digit Symbol</w:t>
            </w:r>
          </w:p>
        </w:tc>
        <w:tc>
          <w:tcPr>
            <w:tcW w:w="3000" w:type="dxa"/>
            <w:shd w:val="clear" w:color="auto" w:fill="auto"/>
            <w:hideMark/>
          </w:tcPr>
          <w:p w14:paraId="090B0C90"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0.054 ± 0.014</w:t>
            </w:r>
          </w:p>
        </w:tc>
        <w:tc>
          <w:tcPr>
            <w:tcW w:w="2080" w:type="dxa"/>
            <w:shd w:val="clear" w:color="auto" w:fill="auto"/>
            <w:hideMark/>
          </w:tcPr>
          <w:p w14:paraId="07EDB8C6"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0.0002</w:t>
            </w:r>
          </w:p>
        </w:tc>
      </w:tr>
      <w:tr w:rsidR="0055428F" w:rsidRPr="0055428F" w14:paraId="35C05239" w14:textId="77777777" w:rsidTr="000F1D8B">
        <w:trPr>
          <w:trHeight w:val="288"/>
        </w:trPr>
        <w:tc>
          <w:tcPr>
            <w:tcW w:w="1640" w:type="dxa"/>
            <w:shd w:val="clear" w:color="auto" w:fill="auto"/>
            <w:vAlign w:val="center"/>
            <w:hideMark/>
          </w:tcPr>
          <w:p w14:paraId="441019DC"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p>
        </w:tc>
        <w:tc>
          <w:tcPr>
            <w:tcW w:w="3000" w:type="dxa"/>
            <w:shd w:val="clear" w:color="auto" w:fill="auto"/>
            <w:vAlign w:val="center"/>
            <w:hideMark/>
          </w:tcPr>
          <w:p w14:paraId="38BCF752"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B-SEVLT-Sum</w:t>
            </w:r>
          </w:p>
        </w:tc>
        <w:tc>
          <w:tcPr>
            <w:tcW w:w="3000" w:type="dxa"/>
            <w:shd w:val="clear" w:color="auto" w:fill="auto"/>
            <w:noWrap/>
            <w:hideMark/>
          </w:tcPr>
          <w:p w14:paraId="4468DBEE"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0.0045 ± 0.017</w:t>
            </w:r>
          </w:p>
        </w:tc>
        <w:tc>
          <w:tcPr>
            <w:tcW w:w="2080" w:type="dxa"/>
            <w:shd w:val="clear" w:color="auto" w:fill="auto"/>
            <w:hideMark/>
          </w:tcPr>
          <w:p w14:paraId="05CA1CD2"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0.79</w:t>
            </w:r>
          </w:p>
        </w:tc>
      </w:tr>
      <w:tr w:rsidR="0055428F" w:rsidRPr="0055428F" w14:paraId="5E8F8E1F" w14:textId="77777777" w:rsidTr="000F1D8B">
        <w:trPr>
          <w:trHeight w:val="288"/>
        </w:trPr>
        <w:tc>
          <w:tcPr>
            <w:tcW w:w="1640" w:type="dxa"/>
            <w:tcBorders>
              <w:bottom w:val="single" w:sz="4" w:space="0" w:color="auto"/>
            </w:tcBorders>
            <w:shd w:val="clear" w:color="auto" w:fill="auto"/>
            <w:vAlign w:val="center"/>
            <w:hideMark/>
          </w:tcPr>
          <w:p w14:paraId="2E1F1572"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p>
        </w:tc>
        <w:tc>
          <w:tcPr>
            <w:tcW w:w="3000" w:type="dxa"/>
            <w:tcBorders>
              <w:bottom w:val="single" w:sz="4" w:space="0" w:color="auto"/>
            </w:tcBorders>
            <w:shd w:val="clear" w:color="auto" w:fill="auto"/>
            <w:vAlign w:val="center"/>
            <w:hideMark/>
          </w:tcPr>
          <w:p w14:paraId="79868DDA"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B-SEVLT-Recall</w:t>
            </w:r>
          </w:p>
        </w:tc>
        <w:tc>
          <w:tcPr>
            <w:tcW w:w="3000" w:type="dxa"/>
            <w:tcBorders>
              <w:bottom w:val="single" w:sz="4" w:space="0" w:color="auto"/>
            </w:tcBorders>
            <w:shd w:val="clear" w:color="auto" w:fill="auto"/>
            <w:hideMark/>
          </w:tcPr>
          <w:p w14:paraId="39FCE36D"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0.0034 ± 0.018</w:t>
            </w:r>
          </w:p>
        </w:tc>
        <w:tc>
          <w:tcPr>
            <w:tcW w:w="2080" w:type="dxa"/>
            <w:tcBorders>
              <w:bottom w:val="single" w:sz="4" w:space="0" w:color="auto"/>
            </w:tcBorders>
            <w:shd w:val="clear" w:color="auto" w:fill="auto"/>
            <w:hideMark/>
          </w:tcPr>
          <w:p w14:paraId="35AD908F" w14:textId="77777777" w:rsidR="00054C13" w:rsidRPr="0055428F" w:rsidRDefault="00054C13" w:rsidP="000F1D8B">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0.85</w:t>
            </w:r>
          </w:p>
        </w:tc>
      </w:tr>
      <w:tr w:rsidR="0055428F" w:rsidRPr="0055428F" w14:paraId="10D4FA04" w14:textId="77777777" w:rsidTr="000F1D8B">
        <w:trPr>
          <w:trHeight w:val="288"/>
        </w:trPr>
        <w:tc>
          <w:tcPr>
            <w:tcW w:w="9720" w:type="dxa"/>
            <w:gridSpan w:val="4"/>
            <w:tcBorders>
              <w:top w:val="single" w:sz="4" w:space="0" w:color="auto"/>
            </w:tcBorders>
            <w:shd w:val="clear" w:color="auto" w:fill="auto"/>
            <w:vAlign w:val="center"/>
          </w:tcPr>
          <w:p w14:paraId="444C22BD" w14:textId="21B645E4" w:rsidR="00137B6D" w:rsidRPr="0055428F" w:rsidRDefault="00F66A7E" w:rsidP="00137B6D">
            <w:pPr>
              <w:contextualSpacing/>
              <w:rPr>
                <w:rFonts w:ascii="Times New Roman" w:eastAsia="Times New Roman" w:hAnsi="Times New Roman" w:cs="Times New Roman"/>
                <w:sz w:val="18"/>
                <w:szCs w:val="18"/>
                <w:vertAlign w:val="superscript"/>
              </w:rPr>
            </w:pPr>
            <w:r w:rsidRPr="0055428F">
              <w:rPr>
                <w:rFonts w:ascii="inherit" w:hAnsi="inherit" w:cs="Arial"/>
                <w:vertAlign w:val="superscript"/>
              </w:rPr>
              <w:t>†</w:t>
            </w:r>
            <w:r w:rsidR="00137B6D" w:rsidRPr="0055428F">
              <w:rPr>
                <w:rFonts w:ascii="Times New Roman" w:eastAsia="Times New Roman" w:hAnsi="Times New Roman" w:cs="Times New Roman"/>
                <w:sz w:val="18"/>
                <w:szCs w:val="18"/>
              </w:rPr>
              <w:t>Dietary fatty acid patterns were characterized by: long chain (13 to 20 C) SFA and MUFA, as well as animal-based MUFA and TFA (</w:t>
            </w:r>
            <w:r w:rsidR="00137B6D" w:rsidRPr="0055428F">
              <w:rPr>
                <w:rFonts w:ascii="Times New Roman" w:eastAsia="Times New Roman" w:hAnsi="Times New Roman" w:cs="Times New Roman"/>
                <w:b/>
                <w:bCs/>
                <w:sz w:val="18"/>
                <w:szCs w:val="18"/>
              </w:rPr>
              <w:t>Factor 1</w:t>
            </w:r>
            <w:r w:rsidR="00137B6D" w:rsidRPr="0055428F">
              <w:rPr>
                <w:rFonts w:ascii="Times New Roman" w:eastAsia="Times New Roman" w:hAnsi="Times New Roman" w:cs="Times New Roman"/>
                <w:sz w:val="18"/>
                <w:szCs w:val="18"/>
              </w:rPr>
              <w:t>);  short (&lt;6 C) and medium chain SFA (6-12 C) (</w:t>
            </w:r>
            <w:r w:rsidR="00137B6D" w:rsidRPr="0055428F">
              <w:rPr>
                <w:rFonts w:ascii="Times New Roman" w:eastAsia="Times New Roman" w:hAnsi="Times New Roman" w:cs="Times New Roman"/>
                <w:b/>
                <w:bCs/>
                <w:sz w:val="18"/>
                <w:szCs w:val="18"/>
              </w:rPr>
              <w:t>Factor 2</w:t>
            </w:r>
            <w:r w:rsidR="00137B6D" w:rsidRPr="0055428F">
              <w:rPr>
                <w:rFonts w:ascii="Times New Roman" w:eastAsia="Times New Roman" w:hAnsi="Times New Roman" w:cs="Times New Roman"/>
                <w:sz w:val="18"/>
                <w:szCs w:val="18"/>
              </w:rPr>
              <w:t>); animal-based omega-3 PUFA (EPA, DPA, and DHA), but also the omega-6 PUFA arachidonic acid (</w:t>
            </w:r>
            <w:r w:rsidR="00137B6D" w:rsidRPr="0055428F">
              <w:rPr>
                <w:rFonts w:ascii="Times New Roman" w:eastAsia="Times New Roman" w:hAnsi="Times New Roman" w:cs="Times New Roman"/>
                <w:b/>
                <w:bCs/>
                <w:sz w:val="18"/>
                <w:szCs w:val="18"/>
              </w:rPr>
              <w:t>Factor 3</w:t>
            </w:r>
            <w:r w:rsidR="00137B6D" w:rsidRPr="0055428F">
              <w:rPr>
                <w:rFonts w:ascii="Times New Roman" w:eastAsia="Times New Roman" w:hAnsi="Times New Roman" w:cs="Times New Roman"/>
                <w:sz w:val="18"/>
                <w:szCs w:val="18"/>
              </w:rPr>
              <w:t>); and long-chain plant-based MUFA, as well as PUFA found in plant food sources (linoleic and linolenic acid) (</w:t>
            </w:r>
            <w:r w:rsidR="00137B6D" w:rsidRPr="0055428F">
              <w:rPr>
                <w:rFonts w:ascii="Times New Roman" w:eastAsia="Times New Roman" w:hAnsi="Times New Roman" w:cs="Times New Roman"/>
                <w:b/>
                <w:bCs/>
                <w:sz w:val="18"/>
                <w:szCs w:val="18"/>
              </w:rPr>
              <w:t>Factor 4</w:t>
            </w:r>
            <w:r w:rsidR="00137B6D" w:rsidRPr="0055428F">
              <w:rPr>
                <w:rFonts w:ascii="Times New Roman" w:eastAsia="Times New Roman" w:hAnsi="Times New Roman" w:cs="Times New Roman"/>
                <w:sz w:val="18"/>
                <w:szCs w:val="18"/>
              </w:rPr>
              <w:t xml:space="preserve">).  </w:t>
            </w:r>
          </w:p>
          <w:p w14:paraId="37DD8095" w14:textId="2FCBF029" w:rsidR="00054C13" w:rsidRPr="0055428F" w:rsidRDefault="00F66A7E" w:rsidP="000F1D8B">
            <w:pPr>
              <w:contextualSpacing/>
              <w:rPr>
                <w:rFonts w:ascii="Times New Roman" w:hAnsi="Times New Roman" w:cs="Times New Roman"/>
                <w:sz w:val="18"/>
                <w:szCs w:val="18"/>
              </w:rPr>
            </w:pPr>
            <w:r w:rsidRPr="0055428F">
              <w:rPr>
                <w:rFonts w:ascii="inherit" w:hAnsi="inherit" w:cs="Arial"/>
                <w:vertAlign w:val="superscript"/>
              </w:rPr>
              <w:t>‡</w:t>
            </w:r>
            <w:r w:rsidR="00054C13" w:rsidRPr="0055428F">
              <w:rPr>
                <w:rFonts w:ascii="Times New Roman" w:eastAsia="Times New Roman" w:hAnsi="Times New Roman" w:cs="Times New Roman"/>
                <w:sz w:val="18"/>
                <w:szCs w:val="18"/>
              </w:rPr>
              <w:t xml:space="preserve">Survey linear regression was used to examine associations with factor and neurocognitive test scores treated as continuous variables. Models are adjusted for </w:t>
            </w:r>
            <w:r w:rsidR="00054C13" w:rsidRPr="0055428F">
              <w:rPr>
                <w:rFonts w:ascii="Times New Roman" w:hAnsi="Times New Roman" w:cs="Times New Roman"/>
                <w:sz w:val="18"/>
                <w:szCs w:val="18"/>
              </w:rPr>
              <w:t xml:space="preserve">age (years), sex (M/F), energy intake (kcals/d), physical activity (MET-min/d), education (&lt; high school, high school or equivalent, &gt; high school), Hispanic/Latino background (Central American, Cuban, Dominican, Mexican, Puerto Rican, South American, and multiple/other/missing), field site (Bronx, Chicago, Miami, San Diego), CES-D score, type 2 diabetes (y/n), current smoker (y/n), hypertension (y/n), household income (&lt; $30,000 or not), and dietary intakes of fruits (servings/d/kcal), vegetables (servings/d/kcal), alcohol (servings/d/kcal), added sugar (% of energy/d), B12 (mg/d/kcal), B6 (mg/d/kcal), and niacin (mg/d/kcal).   </w:t>
            </w:r>
          </w:p>
          <w:p w14:paraId="479A9863" w14:textId="77777777" w:rsidR="00054C13" w:rsidRPr="0055428F" w:rsidRDefault="00054C13" w:rsidP="000F1D8B">
            <w:pPr>
              <w:contextualSpacing/>
              <w:rPr>
                <w:rFonts w:ascii="Times New Roman" w:eastAsia="Times New Roman" w:hAnsi="Times New Roman" w:cs="Times New Roman"/>
                <w:sz w:val="20"/>
                <w:szCs w:val="20"/>
              </w:rPr>
            </w:pPr>
          </w:p>
        </w:tc>
      </w:tr>
    </w:tbl>
    <w:p w14:paraId="55881C15" w14:textId="77777777" w:rsidR="00B52D31" w:rsidRPr="0055428F" w:rsidRDefault="00B52D31">
      <w:pPr>
        <w:rPr>
          <w:rFonts w:ascii="Times New Roman" w:hAnsi="Times New Roman" w:cs="Times New Roman"/>
        </w:rPr>
      </w:pPr>
      <w:r w:rsidRPr="0055428F">
        <w:rPr>
          <w:rFonts w:ascii="Times New Roman" w:hAnsi="Times New Roman" w:cs="Times New Roman"/>
        </w:rPr>
        <w:br w:type="page"/>
      </w:r>
    </w:p>
    <w:tbl>
      <w:tblPr>
        <w:tblW w:w="9720" w:type="dxa"/>
        <w:tblLook w:val="04A0" w:firstRow="1" w:lastRow="0" w:firstColumn="1" w:lastColumn="0" w:noHBand="0" w:noVBand="1"/>
      </w:tblPr>
      <w:tblGrid>
        <w:gridCol w:w="1640"/>
        <w:gridCol w:w="3000"/>
        <w:gridCol w:w="3000"/>
        <w:gridCol w:w="2080"/>
      </w:tblGrid>
      <w:tr w:rsidR="0055428F" w:rsidRPr="0055428F" w14:paraId="02D5DE8C" w14:textId="77777777" w:rsidTr="000F1D8B">
        <w:trPr>
          <w:trHeight w:val="288"/>
        </w:trPr>
        <w:tc>
          <w:tcPr>
            <w:tcW w:w="9720" w:type="dxa"/>
            <w:gridSpan w:val="4"/>
            <w:tcBorders>
              <w:bottom w:val="single" w:sz="4" w:space="0" w:color="auto"/>
            </w:tcBorders>
            <w:shd w:val="clear" w:color="auto" w:fill="auto"/>
            <w:vAlign w:val="center"/>
          </w:tcPr>
          <w:p w14:paraId="57A8D3E5" w14:textId="76519298" w:rsidR="006D38F3" w:rsidRPr="0055428F" w:rsidRDefault="006D38F3" w:rsidP="000F1D8B">
            <w:pPr>
              <w:spacing w:after="0" w:line="240" w:lineRule="auto"/>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lastRenderedPageBreak/>
              <w:t xml:space="preserve">Supplementary Table </w:t>
            </w:r>
            <w:r w:rsidR="00CA1BCC" w:rsidRPr="0055428F">
              <w:rPr>
                <w:rFonts w:ascii="Times New Roman" w:eastAsia="Times New Roman" w:hAnsi="Times New Roman" w:cs="Times New Roman"/>
                <w:b/>
                <w:bCs/>
                <w:sz w:val="20"/>
                <w:szCs w:val="20"/>
              </w:rPr>
              <w:t>6</w:t>
            </w:r>
            <w:r w:rsidRPr="0055428F">
              <w:rPr>
                <w:rFonts w:ascii="Times New Roman" w:eastAsia="Times New Roman" w:hAnsi="Times New Roman" w:cs="Times New Roman"/>
                <w:b/>
                <w:bCs/>
                <w:sz w:val="20"/>
                <w:szCs w:val="20"/>
              </w:rPr>
              <w:t xml:space="preserve">. Associations between dietary fatty acid patterns and individual neurocognitive tests excluding individuals with less than a high school education (n=5,204) </w:t>
            </w:r>
          </w:p>
        </w:tc>
      </w:tr>
      <w:tr w:rsidR="0055428F" w:rsidRPr="0055428F" w14:paraId="4623E838" w14:textId="77777777" w:rsidTr="000F1D8B">
        <w:trPr>
          <w:trHeight w:val="288"/>
        </w:trPr>
        <w:tc>
          <w:tcPr>
            <w:tcW w:w="1640" w:type="dxa"/>
            <w:tcBorders>
              <w:top w:val="single" w:sz="4" w:space="0" w:color="auto"/>
              <w:bottom w:val="single" w:sz="4" w:space="0" w:color="auto"/>
            </w:tcBorders>
            <w:shd w:val="clear" w:color="auto" w:fill="auto"/>
            <w:vAlign w:val="center"/>
            <w:hideMark/>
          </w:tcPr>
          <w:p w14:paraId="61C758FB" w14:textId="29926E66" w:rsidR="006D38F3" w:rsidRPr="0055428F" w:rsidRDefault="00885EA2" w:rsidP="000F1D8B">
            <w:pPr>
              <w:spacing w:after="0" w:line="240" w:lineRule="auto"/>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Dietary Fatty Acid Pattern</w:t>
            </w:r>
            <w:r w:rsidR="00610AE1" w:rsidRPr="0055428F">
              <w:rPr>
                <w:rFonts w:ascii="inherit" w:hAnsi="inherit" w:cs="Arial"/>
                <w:vertAlign w:val="superscript"/>
              </w:rPr>
              <w:t>†</w:t>
            </w:r>
          </w:p>
        </w:tc>
        <w:tc>
          <w:tcPr>
            <w:tcW w:w="3000" w:type="dxa"/>
            <w:tcBorders>
              <w:top w:val="single" w:sz="4" w:space="0" w:color="auto"/>
              <w:bottom w:val="single" w:sz="4" w:space="0" w:color="auto"/>
            </w:tcBorders>
            <w:shd w:val="clear" w:color="auto" w:fill="auto"/>
            <w:vAlign w:val="center"/>
            <w:hideMark/>
          </w:tcPr>
          <w:p w14:paraId="37AD70E6" w14:textId="77777777" w:rsidR="006D38F3" w:rsidRPr="0055428F" w:rsidRDefault="006D38F3" w:rsidP="000F1D8B">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Neurocognitive Test</w:t>
            </w:r>
          </w:p>
        </w:tc>
        <w:tc>
          <w:tcPr>
            <w:tcW w:w="3000" w:type="dxa"/>
            <w:tcBorders>
              <w:top w:val="single" w:sz="4" w:space="0" w:color="auto"/>
              <w:bottom w:val="single" w:sz="4" w:space="0" w:color="auto"/>
            </w:tcBorders>
            <w:shd w:val="clear" w:color="auto" w:fill="auto"/>
            <w:vAlign w:val="center"/>
            <w:hideMark/>
          </w:tcPr>
          <w:p w14:paraId="13D0FEA0" w14:textId="15DE9C60" w:rsidR="006D38F3" w:rsidRPr="0055428F" w:rsidRDefault="006D38F3" w:rsidP="000F1D8B">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β ± SE</w:t>
            </w:r>
            <w:r w:rsidR="00610AE1" w:rsidRPr="0055428F">
              <w:rPr>
                <w:rFonts w:ascii="inherit" w:hAnsi="inherit" w:cs="Arial"/>
                <w:vertAlign w:val="superscript"/>
              </w:rPr>
              <w:t>‡</w:t>
            </w:r>
          </w:p>
        </w:tc>
        <w:tc>
          <w:tcPr>
            <w:tcW w:w="2080" w:type="dxa"/>
            <w:tcBorders>
              <w:top w:val="single" w:sz="4" w:space="0" w:color="auto"/>
              <w:bottom w:val="single" w:sz="4" w:space="0" w:color="auto"/>
            </w:tcBorders>
            <w:shd w:val="clear" w:color="auto" w:fill="auto"/>
            <w:vAlign w:val="center"/>
            <w:hideMark/>
          </w:tcPr>
          <w:p w14:paraId="53C4F626" w14:textId="56372E44" w:rsidR="006D38F3" w:rsidRPr="0055428F" w:rsidRDefault="006D38F3" w:rsidP="000F1D8B">
            <w:pPr>
              <w:spacing w:after="0" w:line="240" w:lineRule="auto"/>
              <w:jc w:val="center"/>
              <w:rPr>
                <w:rFonts w:ascii="Times New Roman" w:eastAsia="Times New Roman" w:hAnsi="Times New Roman" w:cs="Times New Roman"/>
                <w:b/>
                <w:bCs/>
                <w:i/>
                <w:iCs/>
                <w:sz w:val="20"/>
                <w:szCs w:val="20"/>
              </w:rPr>
            </w:pPr>
            <w:r w:rsidRPr="0055428F">
              <w:rPr>
                <w:rFonts w:ascii="Times New Roman" w:eastAsia="Times New Roman" w:hAnsi="Times New Roman" w:cs="Times New Roman"/>
                <w:b/>
                <w:bCs/>
                <w:i/>
                <w:iCs/>
                <w:sz w:val="20"/>
                <w:szCs w:val="20"/>
              </w:rPr>
              <w:t>P</w:t>
            </w:r>
          </w:p>
        </w:tc>
      </w:tr>
      <w:tr w:rsidR="0055428F" w:rsidRPr="0055428F" w14:paraId="7FBF7788" w14:textId="77777777" w:rsidTr="00207C09">
        <w:trPr>
          <w:trHeight w:val="288"/>
        </w:trPr>
        <w:tc>
          <w:tcPr>
            <w:tcW w:w="1640" w:type="dxa"/>
            <w:tcBorders>
              <w:top w:val="single" w:sz="4" w:space="0" w:color="auto"/>
            </w:tcBorders>
            <w:shd w:val="clear" w:color="auto" w:fill="auto"/>
            <w:vAlign w:val="center"/>
            <w:hideMark/>
          </w:tcPr>
          <w:p w14:paraId="6A909311" w14:textId="77777777" w:rsidR="00EC1A4D" w:rsidRPr="0055428F" w:rsidRDefault="00EC1A4D" w:rsidP="00EC1A4D">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Factor 1</w:t>
            </w:r>
          </w:p>
        </w:tc>
        <w:tc>
          <w:tcPr>
            <w:tcW w:w="3000" w:type="dxa"/>
            <w:tcBorders>
              <w:top w:val="single" w:sz="4" w:space="0" w:color="auto"/>
            </w:tcBorders>
            <w:shd w:val="clear" w:color="auto" w:fill="auto"/>
            <w:vAlign w:val="center"/>
          </w:tcPr>
          <w:p w14:paraId="4766F480"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Word Fluency</w:t>
            </w:r>
          </w:p>
        </w:tc>
        <w:tc>
          <w:tcPr>
            <w:tcW w:w="3000" w:type="dxa"/>
            <w:tcBorders>
              <w:top w:val="single" w:sz="4" w:space="0" w:color="auto"/>
            </w:tcBorders>
            <w:shd w:val="clear" w:color="auto" w:fill="auto"/>
          </w:tcPr>
          <w:p w14:paraId="53BEBFF8"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0.034 ± 0.021</w:t>
            </w:r>
          </w:p>
        </w:tc>
        <w:tc>
          <w:tcPr>
            <w:tcW w:w="2080" w:type="dxa"/>
            <w:tcBorders>
              <w:top w:val="single" w:sz="4" w:space="0" w:color="auto"/>
            </w:tcBorders>
            <w:shd w:val="clear" w:color="auto" w:fill="auto"/>
          </w:tcPr>
          <w:p w14:paraId="57D77565"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0.11</w:t>
            </w:r>
          </w:p>
        </w:tc>
      </w:tr>
      <w:tr w:rsidR="0055428F" w:rsidRPr="0055428F" w14:paraId="712D2DB0" w14:textId="77777777" w:rsidTr="00207C09">
        <w:trPr>
          <w:trHeight w:val="288"/>
        </w:trPr>
        <w:tc>
          <w:tcPr>
            <w:tcW w:w="1640" w:type="dxa"/>
            <w:shd w:val="clear" w:color="auto" w:fill="auto"/>
            <w:vAlign w:val="center"/>
            <w:hideMark/>
          </w:tcPr>
          <w:p w14:paraId="6F59A66C" w14:textId="77777777" w:rsidR="00EC1A4D" w:rsidRPr="0055428F" w:rsidRDefault="00EC1A4D" w:rsidP="00EC1A4D">
            <w:pPr>
              <w:spacing w:after="0" w:line="240" w:lineRule="auto"/>
              <w:jc w:val="center"/>
              <w:rPr>
                <w:rFonts w:ascii="Times New Roman" w:eastAsia="Times New Roman" w:hAnsi="Times New Roman" w:cs="Times New Roman"/>
                <w:b/>
                <w:bCs/>
                <w:sz w:val="20"/>
                <w:szCs w:val="20"/>
              </w:rPr>
            </w:pPr>
          </w:p>
        </w:tc>
        <w:tc>
          <w:tcPr>
            <w:tcW w:w="3000" w:type="dxa"/>
            <w:shd w:val="clear" w:color="auto" w:fill="auto"/>
            <w:vAlign w:val="center"/>
          </w:tcPr>
          <w:p w14:paraId="5D526D8D"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Digit Symbol</w:t>
            </w:r>
          </w:p>
        </w:tc>
        <w:tc>
          <w:tcPr>
            <w:tcW w:w="3000" w:type="dxa"/>
            <w:shd w:val="clear" w:color="auto" w:fill="auto"/>
          </w:tcPr>
          <w:p w14:paraId="3E419EDA"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0.033 ± 0.02</w:t>
            </w:r>
          </w:p>
        </w:tc>
        <w:tc>
          <w:tcPr>
            <w:tcW w:w="2080" w:type="dxa"/>
            <w:shd w:val="clear" w:color="auto" w:fill="auto"/>
          </w:tcPr>
          <w:p w14:paraId="7677E8DC"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0.092</w:t>
            </w:r>
          </w:p>
        </w:tc>
      </w:tr>
      <w:tr w:rsidR="0055428F" w:rsidRPr="0055428F" w14:paraId="7B07191B" w14:textId="77777777" w:rsidTr="00207C09">
        <w:trPr>
          <w:trHeight w:val="288"/>
        </w:trPr>
        <w:tc>
          <w:tcPr>
            <w:tcW w:w="1640" w:type="dxa"/>
            <w:shd w:val="clear" w:color="auto" w:fill="auto"/>
            <w:vAlign w:val="center"/>
            <w:hideMark/>
          </w:tcPr>
          <w:p w14:paraId="6D3EBD2F" w14:textId="77777777" w:rsidR="00EC1A4D" w:rsidRPr="0055428F" w:rsidRDefault="00EC1A4D" w:rsidP="00EC1A4D">
            <w:pPr>
              <w:spacing w:after="0" w:line="240" w:lineRule="auto"/>
              <w:jc w:val="center"/>
              <w:rPr>
                <w:rFonts w:ascii="Times New Roman" w:eastAsia="Times New Roman" w:hAnsi="Times New Roman" w:cs="Times New Roman"/>
                <w:b/>
                <w:bCs/>
                <w:sz w:val="20"/>
                <w:szCs w:val="20"/>
              </w:rPr>
            </w:pPr>
          </w:p>
        </w:tc>
        <w:tc>
          <w:tcPr>
            <w:tcW w:w="3000" w:type="dxa"/>
            <w:shd w:val="clear" w:color="auto" w:fill="auto"/>
            <w:vAlign w:val="center"/>
          </w:tcPr>
          <w:p w14:paraId="1AECA4D8"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B-SEVLT-Sum</w:t>
            </w:r>
          </w:p>
        </w:tc>
        <w:tc>
          <w:tcPr>
            <w:tcW w:w="3000" w:type="dxa"/>
            <w:shd w:val="clear" w:color="auto" w:fill="auto"/>
          </w:tcPr>
          <w:p w14:paraId="037CB42F"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0.011 ± 0.026</w:t>
            </w:r>
          </w:p>
        </w:tc>
        <w:tc>
          <w:tcPr>
            <w:tcW w:w="2080" w:type="dxa"/>
            <w:shd w:val="clear" w:color="auto" w:fill="auto"/>
          </w:tcPr>
          <w:p w14:paraId="62192E03"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0.66</w:t>
            </w:r>
          </w:p>
        </w:tc>
      </w:tr>
      <w:tr w:rsidR="0055428F" w:rsidRPr="0055428F" w14:paraId="11A02FCC" w14:textId="77777777" w:rsidTr="00207C09">
        <w:trPr>
          <w:trHeight w:val="288"/>
        </w:trPr>
        <w:tc>
          <w:tcPr>
            <w:tcW w:w="1640" w:type="dxa"/>
            <w:shd w:val="clear" w:color="auto" w:fill="auto"/>
            <w:vAlign w:val="center"/>
            <w:hideMark/>
          </w:tcPr>
          <w:p w14:paraId="5A5B0FDA" w14:textId="77777777" w:rsidR="00EC1A4D" w:rsidRPr="0055428F" w:rsidRDefault="00EC1A4D" w:rsidP="00EC1A4D">
            <w:pPr>
              <w:spacing w:after="0" w:line="240" w:lineRule="auto"/>
              <w:jc w:val="center"/>
              <w:rPr>
                <w:rFonts w:ascii="Times New Roman" w:eastAsia="Times New Roman" w:hAnsi="Times New Roman" w:cs="Times New Roman"/>
                <w:b/>
                <w:bCs/>
                <w:sz w:val="20"/>
                <w:szCs w:val="20"/>
              </w:rPr>
            </w:pPr>
          </w:p>
        </w:tc>
        <w:tc>
          <w:tcPr>
            <w:tcW w:w="3000" w:type="dxa"/>
            <w:shd w:val="clear" w:color="auto" w:fill="auto"/>
            <w:vAlign w:val="center"/>
          </w:tcPr>
          <w:p w14:paraId="727BFF86"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B-SEVLT-Recall</w:t>
            </w:r>
          </w:p>
        </w:tc>
        <w:tc>
          <w:tcPr>
            <w:tcW w:w="3000" w:type="dxa"/>
            <w:shd w:val="clear" w:color="auto" w:fill="auto"/>
            <w:noWrap/>
          </w:tcPr>
          <w:p w14:paraId="1A06B603"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0.0014 ± 0.021</w:t>
            </w:r>
          </w:p>
        </w:tc>
        <w:tc>
          <w:tcPr>
            <w:tcW w:w="2080" w:type="dxa"/>
            <w:shd w:val="clear" w:color="auto" w:fill="auto"/>
          </w:tcPr>
          <w:p w14:paraId="0E814E29"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0.95</w:t>
            </w:r>
          </w:p>
        </w:tc>
      </w:tr>
      <w:tr w:rsidR="0055428F" w:rsidRPr="0055428F" w14:paraId="53DD9E2D" w14:textId="77777777" w:rsidTr="00207C09">
        <w:trPr>
          <w:trHeight w:val="288"/>
        </w:trPr>
        <w:tc>
          <w:tcPr>
            <w:tcW w:w="1640" w:type="dxa"/>
            <w:shd w:val="clear" w:color="auto" w:fill="auto"/>
            <w:vAlign w:val="center"/>
            <w:hideMark/>
          </w:tcPr>
          <w:p w14:paraId="495661BA" w14:textId="77777777" w:rsidR="00EC1A4D" w:rsidRPr="0055428F" w:rsidRDefault="00EC1A4D" w:rsidP="00EC1A4D">
            <w:pPr>
              <w:spacing w:after="0" w:line="240" w:lineRule="auto"/>
              <w:jc w:val="center"/>
              <w:rPr>
                <w:rFonts w:ascii="Times New Roman" w:eastAsia="Times New Roman" w:hAnsi="Times New Roman" w:cs="Times New Roman"/>
                <w:b/>
                <w:bCs/>
                <w:sz w:val="20"/>
                <w:szCs w:val="20"/>
              </w:rPr>
            </w:pPr>
          </w:p>
        </w:tc>
        <w:tc>
          <w:tcPr>
            <w:tcW w:w="3000" w:type="dxa"/>
            <w:shd w:val="clear" w:color="auto" w:fill="auto"/>
            <w:vAlign w:val="center"/>
          </w:tcPr>
          <w:p w14:paraId="11EFF464"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p>
        </w:tc>
        <w:tc>
          <w:tcPr>
            <w:tcW w:w="3000" w:type="dxa"/>
            <w:shd w:val="clear" w:color="auto" w:fill="auto"/>
            <w:noWrap/>
          </w:tcPr>
          <w:p w14:paraId="3D7F4F4F"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p>
        </w:tc>
        <w:tc>
          <w:tcPr>
            <w:tcW w:w="2080" w:type="dxa"/>
            <w:shd w:val="clear" w:color="auto" w:fill="auto"/>
          </w:tcPr>
          <w:p w14:paraId="58125F44"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p>
        </w:tc>
      </w:tr>
      <w:tr w:rsidR="0055428F" w:rsidRPr="0055428F" w14:paraId="6BD881CE" w14:textId="77777777" w:rsidTr="00207C09">
        <w:trPr>
          <w:trHeight w:val="288"/>
        </w:trPr>
        <w:tc>
          <w:tcPr>
            <w:tcW w:w="1640" w:type="dxa"/>
            <w:shd w:val="clear" w:color="auto" w:fill="auto"/>
            <w:vAlign w:val="center"/>
            <w:hideMark/>
          </w:tcPr>
          <w:p w14:paraId="780A0274" w14:textId="77777777" w:rsidR="00EC1A4D" w:rsidRPr="0055428F" w:rsidRDefault="00EC1A4D" w:rsidP="00EC1A4D">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Factor 2</w:t>
            </w:r>
          </w:p>
        </w:tc>
        <w:tc>
          <w:tcPr>
            <w:tcW w:w="3000" w:type="dxa"/>
            <w:shd w:val="clear" w:color="auto" w:fill="auto"/>
            <w:vAlign w:val="center"/>
          </w:tcPr>
          <w:p w14:paraId="330D21BD"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Word Fluency</w:t>
            </w:r>
          </w:p>
        </w:tc>
        <w:tc>
          <w:tcPr>
            <w:tcW w:w="3000" w:type="dxa"/>
            <w:shd w:val="clear" w:color="auto" w:fill="auto"/>
          </w:tcPr>
          <w:p w14:paraId="19D42468"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0.049 ± 0.019</w:t>
            </w:r>
          </w:p>
        </w:tc>
        <w:tc>
          <w:tcPr>
            <w:tcW w:w="2080" w:type="dxa"/>
            <w:shd w:val="clear" w:color="auto" w:fill="auto"/>
          </w:tcPr>
          <w:p w14:paraId="7A856DF6"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0.011</w:t>
            </w:r>
          </w:p>
        </w:tc>
      </w:tr>
      <w:tr w:rsidR="0055428F" w:rsidRPr="0055428F" w14:paraId="392FB799" w14:textId="77777777" w:rsidTr="00207C09">
        <w:trPr>
          <w:trHeight w:val="288"/>
        </w:trPr>
        <w:tc>
          <w:tcPr>
            <w:tcW w:w="1640" w:type="dxa"/>
            <w:shd w:val="clear" w:color="auto" w:fill="auto"/>
            <w:vAlign w:val="center"/>
            <w:hideMark/>
          </w:tcPr>
          <w:p w14:paraId="6BF8BD62" w14:textId="77777777" w:rsidR="00EC1A4D" w:rsidRPr="0055428F" w:rsidRDefault="00EC1A4D" w:rsidP="00EC1A4D">
            <w:pPr>
              <w:spacing w:after="0" w:line="240" w:lineRule="auto"/>
              <w:jc w:val="center"/>
              <w:rPr>
                <w:rFonts w:ascii="Times New Roman" w:eastAsia="Times New Roman" w:hAnsi="Times New Roman" w:cs="Times New Roman"/>
                <w:b/>
                <w:bCs/>
                <w:sz w:val="20"/>
                <w:szCs w:val="20"/>
              </w:rPr>
            </w:pPr>
          </w:p>
        </w:tc>
        <w:tc>
          <w:tcPr>
            <w:tcW w:w="3000" w:type="dxa"/>
            <w:shd w:val="clear" w:color="auto" w:fill="auto"/>
            <w:vAlign w:val="center"/>
          </w:tcPr>
          <w:p w14:paraId="40865B0D"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Digit Symbol</w:t>
            </w:r>
          </w:p>
        </w:tc>
        <w:tc>
          <w:tcPr>
            <w:tcW w:w="3000" w:type="dxa"/>
            <w:shd w:val="clear" w:color="auto" w:fill="auto"/>
          </w:tcPr>
          <w:p w14:paraId="7D5FE4B3"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0.069 ± 0.022</w:t>
            </w:r>
          </w:p>
        </w:tc>
        <w:tc>
          <w:tcPr>
            <w:tcW w:w="2080" w:type="dxa"/>
            <w:shd w:val="clear" w:color="auto" w:fill="auto"/>
          </w:tcPr>
          <w:p w14:paraId="62D5A534"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0.0022</w:t>
            </w:r>
          </w:p>
        </w:tc>
      </w:tr>
      <w:tr w:rsidR="0055428F" w:rsidRPr="0055428F" w14:paraId="43505299" w14:textId="77777777" w:rsidTr="00207C09">
        <w:trPr>
          <w:trHeight w:val="288"/>
        </w:trPr>
        <w:tc>
          <w:tcPr>
            <w:tcW w:w="1640" w:type="dxa"/>
            <w:shd w:val="clear" w:color="auto" w:fill="auto"/>
            <w:vAlign w:val="center"/>
            <w:hideMark/>
          </w:tcPr>
          <w:p w14:paraId="76A33E26" w14:textId="77777777" w:rsidR="00EC1A4D" w:rsidRPr="0055428F" w:rsidRDefault="00EC1A4D" w:rsidP="00EC1A4D">
            <w:pPr>
              <w:spacing w:after="0" w:line="240" w:lineRule="auto"/>
              <w:jc w:val="center"/>
              <w:rPr>
                <w:rFonts w:ascii="Times New Roman" w:eastAsia="Times New Roman" w:hAnsi="Times New Roman" w:cs="Times New Roman"/>
                <w:b/>
                <w:bCs/>
                <w:sz w:val="20"/>
                <w:szCs w:val="20"/>
              </w:rPr>
            </w:pPr>
          </w:p>
        </w:tc>
        <w:tc>
          <w:tcPr>
            <w:tcW w:w="3000" w:type="dxa"/>
            <w:shd w:val="clear" w:color="auto" w:fill="auto"/>
            <w:vAlign w:val="center"/>
          </w:tcPr>
          <w:p w14:paraId="6F942246"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B-SEVLT-Sum</w:t>
            </w:r>
          </w:p>
        </w:tc>
        <w:tc>
          <w:tcPr>
            <w:tcW w:w="3000" w:type="dxa"/>
            <w:shd w:val="clear" w:color="auto" w:fill="auto"/>
          </w:tcPr>
          <w:p w14:paraId="20F3DBFB"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0.065 ± 0.026</w:t>
            </w:r>
          </w:p>
        </w:tc>
        <w:tc>
          <w:tcPr>
            <w:tcW w:w="2080" w:type="dxa"/>
            <w:shd w:val="clear" w:color="auto" w:fill="auto"/>
          </w:tcPr>
          <w:p w14:paraId="464AEC19"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0.013</w:t>
            </w:r>
          </w:p>
        </w:tc>
      </w:tr>
      <w:tr w:rsidR="0055428F" w:rsidRPr="0055428F" w14:paraId="69AA9D2B" w14:textId="77777777" w:rsidTr="00207C09">
        <w:trPr>
          <w:trHeight w:val="288"/>
        </w:trPr>
        <w:tc>
          <w:tcPr>
            <w:tcW w:w="1640" w:type="dxa"/>
            <w:shd w:val="clear" w:color="auto" w:fill="auto"/>
            <w:vAlign w:val="center"/>
            <w:hideMark/>
          </w:tcPr>
          <w:p w14:paraId="7B7D9769" w14:textId="77777777" w:rsidR="00EC1A4D" w:rsidRPr="0055428F" w:rsidRDefault="00EC1A4D" w:rsidP="00EC1A4D">
            <w:pPr>
              <w:spacing w:after="0" w:line="240" w:lineRule="auto"/>
              <w:jc w:val="center"/>
              <w:rPr>
                <w:rFonts w:ascii="Times New Roman" w:eastAsia="Times New Roman" w:hAnsi="Times New Roman" w:cs="Times New Roman"/>
                <w:b/>
                <w:bCs/>
                <w:sz w:val="20"/>
                <w:szCs w:val="20"/>
              </w:rPr>
            </w:pPr>
          </w:p>
        </w:tc>
        <w:tc>
          <w:tcPr>
            <w:tcW w:w="3000" w:type="dxa"/>
            <w:shd w:val="clear" w:color="auto" w:fill="auto"/>
            <w:vAlign w:val="center"/>
          </w:tcPr>
          <w:p w14:paraId="1C26A390"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B-SEVLT-Recall</w:t>
            </w:r>
          </w:p>
        </w:tc>
        <w:tc>
          <w:tcPr>
            <w:tcW w:w="3000" w:type="dxa"/>
            <w:shd w:val="clear" w:color="auto" w:fill="auto"/>
          </w:tcPr>
          <w:p w14:paraId="115D8E14"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0.044 ± 0.022</w:t>
            </w:r>
          </w:p>
        </w:tc>
        <w:tc>
          <w:tcPr>
            <w:tcW w:w="2080" w:type="dxa"/>
            <w:shd w:val="clear" w:color="auto" w:fill="auto"/>
          </w:tcPr>
          <w:p w14:paraId="4D2042AC"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0.051</w:t>
            </w:r>
          </w:p>
        </w:tc>
      </w:tr>
      <w:tr w:rsidR="0055428F" w:rsidRPr="0055428F" w14:paraId="3039B64A" w14:textId="77777777" w:rsidTr="00207C09">
        <w:trPr>
          <w:trHeight w:val="288"/>
        </w:trPr>
        <w:tc>
          <w:tcPr>
            <w:tcW w:w="1640" w:type="dxa"/>
            <w:shd w:val="clear" w:color="auto" w:fill="auto"/>
            <w:vAlign w:val="center"/>
            <w:hideMark/>
          </w:tcPr>
          <w:p w14:paraId="515C6EE9" w14:textId="77777777" w:rsidR="00EC1A4D" w:rsidRPr="0055428F" w:rsidRDefault="00EC1A4D" w:rsidP="00EC1A4D">
            <w:pPr>
              <w:spacing w:after="0" w:line="240" w:lineRule="auto"/>
              <w:jc w:val="center"/>
              <w:rPr>
                <w:rFonts w:ascii="Times New Roman" w:eastAsia="Times New Roman" w:hAnsi="Times New Roman" w:cs="Times New Roman"/>
                <w:b/>
                <w:bCs/>
                <w:sz w:val="20"/>
                <w:szCs w:val="20"/>
              </w:rPr>
            </w:pPr>
          </w:p>
        </w:tc>
        <w:tc>
          <w:tcPr>
            <w:tcW w:w="3000" w:type="dxa"/>
            <w:shd w:val="clear" w:color="auto" w:fill="auto"/>
            <w:vAlign w:val="center"/>
          </w:tcPr>
          <w:p w14:paraId="6217B6E3"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p>
        </w:tc>
        <w:tc>
          <w:tcPr>
            <w:tcW w:w="3000" w:type="dxa"/>
            <w:shd w:val="clear" w:color="auto" w:fill="auto"/>
          </w:tcPr>
          <w:p w14:paraId="42CFFEED"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p>
        </w:tc>
        <w:tc>
          <w:tcPr>
            <w:tcW w:w="2080" w:type="dxa"/>
            <w:shd w:val="clear" w:color="auto" w:fill="auto"/>
          </w:tcPr>
          <w:p w14:paraId="4073A97B"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p>
        </w:tc>
      </w:tr>
      <w:tr w:rsidR="0055428F" w:rsidRPr="0055428F" w14:paraId="6C00961C" w14:textId="77777777" w:rsidTr="00207C09">
        <w:trPr>
          <w:trHeight w:val="288"/>
        </w:trPr>
        <w:tc>
          <w:tcPr>
            <w:tcW w:w="1640" w:type="dxa"/>
            <w:shd w:val="clear" w:color="auto" w:fill="auto"/>
            <w:vAlign w:val="center"/>
            <w:hideMark/>
          </w:tcPr>
          <w:p w14:paraId="31131039" w14:textId="77777777" w:rsidR="00EC1A4D" w:rsidRPr="0055428F" w:rsidRDefault="00EC1A4D" w:rsidP="00EC1A4D">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Factor 3</w:t>
            </w:r>
          </w:p>
        </w:tc>
        <w:tc>
          <w:tcPr>
            <w:tcW w:w="3000" w:type="dxa"/>
            <w:shd w:val="clear" w:color="auto" w:fill="auto"/>
            <w:vAlign w:val="center"/>
          </w:tcPr>
          <w:p w14:paraId="43621E4B"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Word Fluency</w:t>
            </w:r>
          </w:p>
        </w:tc>
        <w:tc>
          <w:tcPr>
            <w:tcW w:w="3000" w:type="dxa"/>
            <w:shd w:val="clear" w:color="auto" w:fill="auto"/>
            <w:noWrap/>
          </w:tcPr>
          <w:p w14:paraId="2630F6F1"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0.0073 ± 0.023</w:t>
            </w:r>
          </w:p>
        </w:tc>
        <w:tc>
          <w:tcPr>
            <w:tcW w:w="2080" w:type="dxa"/>
            <w:shd w:val="clear" w:color="auto" w:fill="auto"/>
          </w:tcPr>
          <w:p w14:paraId="3F7E5145"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0.76</w:t>
            </w:r>
          </w:p>
        </w:tc>
      </w:tr>
      <w:tr w:rsidR="0055428F" w:rsidRPr="0055428F" w14:paraId="14E860D1" w14:textId="77777777" w:rsidTr="00207C09">
        <w:trPr>
          <w:trHeight w:val="288"/>
        </w:trPr>
        <w:tc>
          <w:tcPr>
            <w:tcW w:w="1640" w:type="dxa"/>
            <w:shd w:val="clear" w:color="auto" w:fill="auto"/>
            <w:vAlign w:val="center"/>
            <w:hideMark/>
          </w:tcPr>
          <w:p w14:paraId="6D8BAC67" w14:textId="77777777" w:rsidR="00EC1A4D" w:rsidRPr="0055428F" w:rsidRDefault="00EC1A4D" w:rsidP="00EC1A4D">
            <w:pPr>
              <w:spacing w:after="0" w:line="240" w:lineRule="auto"/>
              <w:jc w:val="center"/>
              <w:rPr>
                <w:rFonts w:ascii="Times New Roman" w:eastAsia="Times New Roman" w:hAnsi="Times New Roman" w:cs="Times New Roman"/>
                <w:b/>
                <w:bCs/>
                <w:sz w:val="20"/>
                <w:szCs w:val="20"/>
              </w:rPr>
            </w:pPr>
          </w:p>
        </w:tc>
        <w:tc>
          <w:tcPr>
            <w:tcW w:w="3000" w:type="dxa"/>
            <w:shd w:val="clear" w:color="auto" w:fill="auto"/>
            <w:vAlign w:val="center"/>
          </w:tcPr>
          <w:p w14:paraId="2261CB8E"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Digit Symbol</w:t>
            </w:r>
          </w:p>
        </w:tc>
        <w:tc>
          <w:tcPr>
            <w:tcW w:w="3000" w:type="dxa"/>
            <w:shd w:val="clear" w:color="auto" w:fill="auto"/>
            <w:noWrap/>
          </w:tcPr>
          <w:p w14:paraId="1CCABBDD"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 ± 0.021</w:t>
            </w:r>
          </w:p>
        </w:tc>
        <w:tc>
          <w:tcPr>
            <w:tcW w:w="2080" w:type="dxa"/>
            <w:shd w:val="clear" w:color="auto" w:fill="auto"/>
          </w:tcPr>
          <w:p w14:paraId="2895C662"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0.16</w:t>
            </w:r>
          </w:p>
        </w:tc>
      </w:tr>
      <w:tr w:rsidR="0055428F" w:rsidRPr="0055428F" w14:paraId="677496DF" w14:textId="77777777" w:rsidTr="00207C09">
        <w:trPr>
          <w:trHeight w:val="288"/>
        </w:trPr>
        <w:tc>
          <w:tcPr>
            <w:tcW w:w="1640" w:type="dxa"/>
            <w:shd w:val="clear" w:color="auto" w:fill="auto"/>
            <w:vAlign w:val="center"/>
            <w:hideMark/>
          </w:tcPr>
          <w:p w14:paraId="31D6E2C8" w14:textId="77777777" w:rsidR="00EC1A4D" w:rsidRPr="0055428F" w:rsidRDefault="00EC1A4D" w:rsidP="00EC1A4D">
            <w:pPr>
              <w:spacing w:after="0" w:line="240" w:lineRule="auto"/>
              <w:jc w:val="center"/>
              <w:rPr>
                <w:rFonts w:ascii="Times New Roman" w:eastAsia="Times New Roman" w:hAnsi="Times New Roman" w:cs="Times New Roman"/>
                <w:b/>
                <w:bCs/>
                <w:sz w:val="20"/>
                <w:szCs w:val="20"/>
              </w:rPr>
            </w:pPr>
          </w:p>
        </w:tc>
        <w:tc>
          <w:tcPr>
            <w:tcW w:w="3000" w:type="dxa"/>
            <w:shd w:val="clear" w:color="auto" w:fill="auto"/>
            <w:vAlign w:val="center"/>
          </w:tcPr>
          <w:p w14:paraId="1BC6D69E"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B-SEVLT-Sum</w:t>
            </w:r>
          </w:p>
        </w:tc>
        <w:tc>
          <w:tcPr>
            <w:tcW w:w="3000" w:type="dxa"/>
            <w:shd w:val="clear" w:color="auto" w:fill="auto"/>
            <w:noWrap/>
          </w:tcPr>
          <w:p w14:paraId="36243B93"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-0.0045 ± 0.024</w:t>
            </w:r>
          </w:p>
        </w:tc>
        <w:tc>
          <w:tcPr>
            <w:tcW w:w="2080" w:type="dxa"/>
            <w:shd w:val="clear" w:color="auto" w:fill="auto"/>
          </w:tcPr>
          <w:p w14:paraId="270E3784"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0.85</w:t>
            </w:r>
          </w:p>
        </w:tc>
      </w:tr>
      <w:tr w:rsidR="0055428F" w:rsidRPr="0055428F" w14:paraId="696E5F1C" w14:textId="77777777" w:rsidTr="00207C09">
        <w:trPr>
          <w:trHeight w:val="288"/>
        </w:trPr>
        <w:tc>
          <w:tcPr>
            <w:tcW w:w="1640" w:type="dxa"/>
            <w:shd w:val="clear" w:color="auto" w:fill="auto"/>
            <w:vAlign w:val="center"/>
            <w:hideMark/>
          </w:tcPr>
          <w:p w14:paraId="7ECCD3A2" w14:textId="77777777" w:rsidR="00EC1A4D" w:rsidRPr="0055428F" w:rsidRDefault="00EC1A4D" w:rsidP="00EC1A4D">
            <w:pPr>
              <w:spacing w:after="0" w:line="240" w:lineRule="auto"/>
              <w:jc w:val="center"/>
              <w:rPr>
                <w:rFonts w:ascii="Times New Roman" w:eastAsia="Times New Roman" w:hAnsi="Times New Roman" w:cs="Times New Roman"/>
                <w:b/>
                <w:bCs/>
                <w:sz w:val="20"/>
                <w:szCs w:val="20"/>
              </w:rPr>
            </w:pPr>
          </w:p>
        </w:tc>
        <w:tc>
          <w:tcPr>
            <w:tcW w:w="3000" w:type="dxa"/>
            <w:shd w:val="clear" w:color="auto" w:fill="auto"/>
            <w:vAlign w:val="center"/>
          </w:tcPr>
          <w:p w14:paraId="12DFD9E7"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B-SEVLT-Recall</w:t>
            </w:r>
          </w:p>
        </w:tc>
        <w:tc>
          <w:tcPr>
            <w:tcW w:w="3000" w:type="dxa"/>
            <w:shd w:val="clear" w:color="auto" w:fill="auto"/>
            <w:noWrap/>
          </w:tcPr>
          <w:p w14:paraId="30B723B3"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-0.012 ± 0.026</w:t>
            </w:r>
          </w:p>
        </w:tc>
        <w:tc>
          <w:tcPr>
            <w:tcW w:w="2080" w:type="dxa"/>
            <w:shd w:val="clear" w:color="auto" w:fill="auto"/>
          </w:tcPr>
          <w:p w14:paraId="7CE14704"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0.63</w:t>
            </w:r>
          </w:p>
        </w:tc>
      </w:tr>
      <w:tr w:rsidR="0055428F" w:rsidRPr="0055428F" w14:paraId="35BC04FB" w14:textId="77777777" w:rsidTr="00207C09">
        <w:trPr>
          <w:trHeight w:val="288"/>
        </w:trPr>
        <w:tc>
          <w:tcPr>
            <w:tcW w:w="1640" w:type="dxa"/>
            <w:shd w:val="clear" w:color="auto" w:fill="auto"/>
            <w:vAlign w:val="center"/>
            <w:hideMark/>
          </w:tcPr>
          <w:p w14:paraId="4A439C59" w14:textId="77777777" w:rsidR="00EC1A4D" w:rsidRPr="0055428F" w:rsidRDefault="00EC1A4D" w:rsidP="00EC1A4D">
            <w:pPr>
              <w:spacing w:after="0" w:line="240" w:lineRule="auto"/>
              <w:jc w:val="center"/>
              <w:rPr>
                <w:rFonts w:ascii="Times New Roman" w:eastAsia="Times New Roman" w:hAnsi="Times New Roman" w:cs="Times New Roman"/>
                <w:b/>
                <w:bCs/>
                <w:sz w:val="20"/>
                <w:szCs w:val="20"/>
              </w:rPr>
            </w:pPr>
          </w:p>
        </w:tc>
        <w:tc>
          <w:tcPr>
            <w:tcW w:w="3000" w:type="dxa"/>
            <w:shd w:val="clear" w:color="auto" w:fill="auto"/>
            <w:vAlign w:val="center"/>
          </w:tcPr>
          <w:p w14:paraId="1ED1E0BE"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p>
        </w:tc>
        <w:tc>
          <w:tcPr>
            <w:tcW w:w="3000" w:type="dxa"/>
            <w:shd w:val="clear" w:color="auto" w:fill="auto"/>
            <w:noWrap/>
          </w:tcPr>
          <w:p w14:paraId="74A7ADC4"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p>
        </w:tc>
        <w:tc>
          <w:tcPr>
            <w:tcW w:w="2080" w:type="dxa"/>
            <w:shd w:val="clear" w:color="auto" w:fill="auto"/>
          </w:tcPr>
          <w:p w14:paraId="5FC222C0"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p>
        </w:tc>
      </w:tr>
      <w:tr w:rsidR="0055428F" w:rsidRPr="0055428F" w14:paraId="2006A3A7" w14:textId="77777777" w:rsidTr="00207C09">
        <w:trPr>
          <w:trHeight w:val="288"/>
        </w:trPr>
        <w:tc>
          <w:tcPr>
            <w:tcW w:w="1640" w:type="dxa"/>
            <w:shd w:val="clear" w:color="auto" w:fill="auto"/>
            <w:vAlign w:val="center"/>
            <w:hideMark/>
          </w:tcPr>
          <w:p w14:paraId="0917D3E0" w14:textId="77777777" w:rsidR="00EC1A4D" w:rsidRPr="0055428F" w:rsidRDefault="00EC1A4D" w:rsidP="00EC1A4D">
            <w:pPr>
              <w:spacing w:after="0" w:line="240" w:lineRule="auto"/>
              <w:jc w:val="center"/>
              <w:rPr>
                <w:rFonts w:ascii="Times New Roman" w:eastAsia="Times New Roman" w:hAnsi="Times New Roman" w:cs="Times New Roman"/>
                <w:b/>
                <w:bCs/>
                <w:sz w:val="20"/>
                <w:szCs w:val="20"/>
              </w:rPr>
            </w:pPr>
            <w:r w:rsidRPr="0055428F">
              <w:rPr>
                <w:rFonts w:ascii="Times New Roman" w:eastAsia="Times New Roman" w:hAnsi="Times New Roman" w:cs="Times New Roman"/>
                <w:b/>
                <w:bCs/>
                <w:sz w:val="20"/>
                <w:szCs w:val="20"/>
              </w:rPr>
              <w:t>Factor 4</w:t>
            </w:r>
          </w:p>
        </w:tc>
        <w:tc>
          <w:tcPr>
            <w:tcW w:w="3000" w:type="dxa"/>
            <w:shd w:val="clear" w:color="auto" w:fill="auto"/>
            <w:vAlign w:val="center"/>
          </w:tcPr>
          <w:p w14:paraId="7227DECF"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Word Fluency</w:t>
            </w:r>
          </w:p>
        </w:tc>
        <w:tc>
          <w:tcPr>
            <w:tcW w:w="3000" w:type="dxa"/>
            <w:shd w:val="clear" w:color="auto" w:fill="auto"/>
          </w:tcPr>
          <w:p w14:paraId="7E9BB25E"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0.038 ± 0.02</w:t>
            </w:r>
          </w:p>
        </w:tc>
        <w:tc>
          <w:tcPr>
            <w:tcW w:w="2080" w:type="dxa"/>
            <w:shd w:val="clear" w:color="auto" w:fill="auto"/>
          </w:tcPr>
          <w:p w14:paraId="3616B410"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0.064</w:t>
            </w:r>
          </w:p>
        </w:tc>
      </w:tr>
      <w:tr w:rsidR="0055428F" w:rsidRPr="0055428F" w14:paraId="06321A9D" w14:textId="77777777" w:rsidTr="00207C09">
        <w:trPr>
          <w:trHeight w:val="288"/>
        </w:trPr>
        <w:tc>
          <w:tcPr>
            <w:tcW w:w="1640" w:type="dxa"/>
            <w:shd w:val="clear" w:color="auto" w:fill="auto"/>
            <w:vAlign w:val="center"/>
            <w:hideMark/>
          </w:tcPr>
          <w:p w14:paraId="39C10F57"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p>
        </w:tc>
        <w:tc>
          <w:tcPr>
            <w:tcW w:w="3000" w:type="dxa"/>
            <w:shd w:val="clear" w:color="auto" w:fill="auto"/>
            <w:vAlign w:val="center"/>
          </w:tcPr>
          <w:p w14:paraId="3E7655FF"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Digit Symbol</w:t>
            </w:r>
          </w:p>
        </w:tc>
        <w:tc>
          <w:tcPr>
            <w:tcW w:w="3000" w:type="dxa"/>
            <w:shd w:val="clear" w:color="auto" w:fill="auto"/>
          </w:tcPr>
          <w:p w14:paraId="5CCDE5DC"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0.047 ± 0.018</w:t>
            </w:r>
          </w:p>
        </w:tc>
        <w:tc>
          <w:tcPr>
            <w:tcW w:w="2080" w:type="dxa"/>
            <w:shd w:val="clear" w:color="auto" w:fill="auto"/>
          </w:tcPr>
          <w:p w14:paraId="61F81B09"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0.008</w:t>
            </w:r>
          </w:p>
        </w:tc>
      </w:tr>
      <w:tr w:rsidR="0055428F" w:rsidRPr="0055428F" w14:paraId="58DBEF55" w14:textId="77777777" w:rsidTr="00207C09">
        <w:trPr>
          <w:trHeight w:val="288"/>
        </w:trPr>
        <w:tc>
          <w:tcPr>
            <w:tcW w:w="1640" w:type="dxa"/>
            <w:shd w:val="clear" w:color="auto" w:fill="auto"/>
            <w:vAlign w:val="center"/>
            <w:hideMark/>
          </w:tcPr>
          <w:p w14:paraId="4B33B38E"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p>
        </w:tc>
        <w:tc>
          <w:tcPr>
            <w:tcW w:w="3000" w:type="dxa"/>
            <w:shd w:val="clear" w:color="auto" w:fill="auto"/>
            <w:vAlign w:val="center"/>
          </w:tcPr>
          <w:p w14:paraId="197C231C"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B-SEVLT-Sum</w:t>
            </w:r>
          </w:p>
        </w:tc>
        <w:tc>
          <w:tcPr>
            <w:tcW w:w="3000" w:type="dxa"/>
            <w:shd w:val="clear" w:color="auto" w:fill="auto"/>
            <w:noWrap/>
          </w:tcPr>
          <w:p w14:paraId="4A5B9874"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0.031 ± 0.021</w:t>
            </w:r>
          </w:p>
        </w:tc>
        <w:tc>
          <w:tcPr>
            <w:tcW w:w="2080" w:type="dxa"/>
            <w:shd w:val="clear" w:color="auto" w:fill="auto"/>
          </w:tcPr>
          <w:p w14:paraId="36F46538"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0.14</w:t>
            </w:r>
          </w:p>
        </w:tc>
      </w:tr>
      <w:tr w:rsidR="0055428F" w:rsidRPr="0055428F" w14:paraId="365D6D55" w14:textId="77777777" w:rsidTr="00207C09">
        <w:trPr>
          <w:trHeight w:val="288"/>
        </w:trPr>
        <w:tc>
          <w:tcPr>
            <w:tcW w:w="1640" w:type="dxa"/>
            <w:tcBorders>
              <w:bottom w:val="single" w:sz="4" w:space="0" w:color="auto"/>
            </w:tcBorders>
            <w:shd w:val="clear" w:color="auto" w:fill="auto"/>
            <w:vAlign w:val="center"/>
            <w:hideMark/>
          </w:tcPr>
          <w:p w14:paraId="08796F7E"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p>
        </w:tc>
        <w:tc>
          <w:tcPr>
            <w:tcW w:w="3000" w:type="dxa"/>
            <w:tcBorders>
              <w:bottom w:val="single" w:sz="4" w:space="0" w:color="auto"/>
            </w:tcBorders>
            <w:shd w:val="clear" w:color="auto" w:fill="auto"/>
            <w:vAlign w:val="center"/>
          </w:tcPr>
          <w:p w14:paraId="35B6DF8F"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B-SEVLT-Recall</w:t>
            </w:r>
          </w:p>
        </w:tc>
        <w:tc>
          <w:tcPr>
            <w:tcW w:w="3000" w:type="dxa"/>
            <w:tcBorders>
              <w:bottom w:val="single" w:sz="4" w:space="0" w:color="auto"/>
            </w:tcBorders>
            <w:shd w:val="clear" w:color="auto" w:fill="auto"/>
          </w:tcPr>
          <w:p w14:paraId="43AB3FEC"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0.02 ± 0.021</w:t>
            </w:r>
          </w:p>
        </w:tc>
        <w:tc>
          <w:tcPr>
            <w:tcW w:w="2080" w:type="dxa"/>
            <w:tcBorders>
              <w:bottom w:val="single" w:sz="4" w:space="0" w:color="auto"/>
            </w:tcBorders>
            <w:shd w:val="clear" w:color="auto" w:fill="auto"/>
          </w:tcPr>
          <w:p w14:paraId="1BC02BCF" w14:textId="77777777" w:rsidR="00EC1A4D" w:rsidRPr="0055428F" w:rsidRDefault="00EC1A4D" w:rsidP="00EC1A4D">
            <w:pPr>
              <w:spacing w:after="0" w:line="240" w:lineRule="auto"/>
              <w:jc w:val="center"/>
              <w:rPr>
                <w:rFonts w:ascii="Times New Roman" w:eastAsia="Times New Roman" w:hAnsi="Times New Roman" w:cs="Times New Roman"/>
                <w:sz w:val="20"/>
                <w:szCs w:val="20"/>
              </w:rPr>
            </w:pPr>
            <w:r w:rsidRPr="0055428F">
              <w:rPr>
                <w:rFonts w:ascii="Times New Roman" w:hAnsi="Times New Roman" w:cs="Times New Roman"/>
                <w:sz w:val="20"/>
                <w:szCs w:val="20"/>
              </w:rPr>
              <w:t>0.34</w:t>
            </w:r>
          </w:p>
        </w:tc>
      </w:tr>
      <w:tr w:rsidR="001A492E" w:rsidRPr="0055428F" w14:paraId="10829F94" w14:textId="77777777" w:rsidTr="000F1D8B">
        <w:trPr>
          <w:trHeight w:val="288"/>
        </w:trPr>
        <w:tc>
          <w:tcPr>
            <w:tcW w:w="9720" w:type="dxa"/>
            <w:gridSpan w:val="4"/>
            <w:tcBorders>
              <w:top w:val="single" w:sz="4" w:space="0" w:color="auto"/>
            </w:tcBorders>
            <w:shd w:val="clear" w:color="auto" w:fill="auto"/>
            <w:vAlign w:val="center"/>
          </w:tcPr>
          <w:p w14:paraId="39381425" w14:textId="09D438A9" w:rsidR="00885EA2" w:rsidRPr="0055428F" w:rsidRDefault="00610AE1" w:rsidP="00885EA2">
            <w:pPr>
              <w:contextualSpacing/>
              <w:rPr>
                <w:rFonts w:ascii="Times New Roman" w:eastAsia="Times New Roman" w:hAnsi="Times New Roman" w:cs="Times New Roman"/>
                <w:sz w:val="18"/>
                <w:szCs w:val="18"/>
                <w:vertAlign w:val="superscript"/>
              </w:rPr>
            </w:pPr>
            <w:r w:rsidRPr="0055428F">
              <w:rPr>
                <w:rFonts w:ascii="inherit" w:hAnsi="inherit" w:cs="Arial"/>
                <w:vertAlign w:val="superscript"/>
              </w:rPr>
              <w:t>†</w:t>
            </w:r>
            <w:r w:rsidR="00885EA2" w:rsidRPr="0055428F">
              <w:rPr>
                <w:rFonts w:ascii="Times New Roman" w:eastAsia="Times New Roman" w:hAnsi="Times New Roman" w:cs="Times New Roman"/>
                <w:sz w:val="18"/>
                <w:szCs w:val="18"/>
              </w:rPr>
              <w:t>Dietary fatty acid patterns were characterized by: long chain (13 to 20 C) SFA and MUFA, as well as animal-based MUFA and TFA (</w:t>
            </w:r>
            <w:r w:rsidR="00885EA2" w:rsidRPr="0055428F">
              <w:rPr>
                <w:rFonts w:ascii="Times New Roman" w:eastAsia="Times New Roman" w:hAnsi="Times New Roman" w:cs="Times New Roman"/>
                <w:b/>
                <w:bCs/>
                <w:sz w:val="18"/>
                <w:szCs w:val="18"/>
              </w:rPr>
              <w:t>Factor 1</w:t>
            </w:r>
            <w:r w:rsidR="00885EA2" w:rsidRPr="0055428F">
              <w:rPr>
                <w:rFonts w:ascii="Times New Roman" w:eastAsia="Times New Roman" w:hAnsi="Times New Roman" w:cs="Times New Roman"/>
                <w:sz w:val="18"/>
                <w:szCs w:val="18"/>
              </w:rPr>
              <w:t>);  short (&lt;6 C) and medium chain SFA (6-12 C) (</w:t>
            </w:r>
            <w:r w:rsidR="00885EA2" w:rsidRPr="0055428F">
              <w:rPr>
                <w:rFonts w:ascii="Times New Roman" w:eastAsia="Times New Roman" w:hAnsi="Times New Roman" w:cs="Times New Roman"/>
                <w:b/>
                <w:bCs/>
                <w:sz w:val="18"/>
                <w:szCs w:val="18"/>
              </w:rPr>
              <w:t>Factor 2</w:t>
            </w:r>
            <w:r w:rsidR="00885EA2" w:rsidRPr="0055428F">
              <w:rPr>
                <w:rFonts w:ascii="Times New Roman" w:eastAsia="Times New Roman" w:hAnsi="Times New Roman" w:cs="Times New Roman"/>
                <w:sz w:val="18"/>
                <w:szCs w:val="18"/>
              </w:rPr>
              <w:t>); animal-based omega-3 PUFA (EPA, DPA, and DHA), but also the omega-6 PUFA arachidonic acid (</w:t>
            </w:r>
            <w:r w:rsidR="00885EA2" w:rsidRPr="0055428F">
              <w:rPr>
                <w:rFonts w:ascii="Times New Roman" w:eastAsia="Times New Roman" w:hAnsi="Times New Roman" w:cs="Times New Roman"/>
                <w:b/>
                <w:bCs/>
                <w:sz w:val="18"/>
                <w:szCs w:val="18"/>
              </w:rPr>
              <w:t>Factor 3</w:t>
            </w:r>
            <w:r w:rsidR="00885EA2" w:rsidRPr="0055428F">
              <w:rPr>
                <w:rFonts w:ascii="Times New Roman" w:eastAsia="Times New Roman" w:hAnsi="Times New Roman" w:cs="Times New Roman"/>
                <w:sz w:val="18"/>
                <w:szCs w:val="18"/>
              </w:rPr>
              <w:t>); and long-chain plant-based MUFA, as well as PUFA found in plant food sources (linoleic and linolenic acid) (</w:t>
            </w:r>
            <w:r w:rsidR="00885EA2" w:rsidRPr="0055428F">
              <w:rPr>
                <w:rFonts w:ascii="Times New Roman" w:eastAsia="Times New Roman" w:hAnsi="Times New Roman" w:cs="Times New Roman"/>
                <w:b/>
                <w:bCs/>
                <w:sz w:val="18"/>
                <w:szCs w:val="18"/>
              </w:rPr>
              <w:t>Factor 4</w:t>
            </w:r>
            <w:r w:rsidR="00885EA2" w:rsidRPr="0055428F">
              <w:rPr>
                <w:rFonts w:ascii="Times New Roman" w:eastAsia="Times New Roman" w:hAnsi="Times New Roman" w:cs="Times New Roman"/>
                <w:sz w:val="18"/>
                <w:szCs w:val="18"/>
              </w:rPr>
              <w:t xml:space="preserve">).  </w:t>
            </w:r>
          </w:p>
          <w:p w14:paraId="3769A71C" w14:textId="2B947C97" w:rsidR="001A492E" w:rsidRPr="0055428F" w:rsidRDefault="00610AE1" w:rsidP="001A492E">
            <w:pPr>
              <w:contextualSpacing/>
              <w:rPr>
                <w:rFonts w:ascii="Times New Roman" w:hAnsi="Times New Roman" w:cs="Times New Roman"/>
                <w:sz w:val="18"/>
                <w:szCs w:val="18"/>
              </w:rPr>
            </w:pPr>
            <w:r w:rsidRPr="0055428F">
              <w:rPr>
                <w:rFonts w:ascii="inherit" w:hAnsi="inherit" w:cs="Arial"/>
                <w:vertAlign w:val="superscript"/>
              </w:rPr>
              <w:t>‡</w:t>
            </w:r>
            <w:r w:rsidR="001A492E" w:rsidRPr="0055428F">
              <w:rPr>
                <w:rFonts w:ascii="Times New Roman" w:eastAsia="Times New Roman" w:hAnsi="Times New Roman" w:cs="Times New Roman"/>
                <w:sz w:val="18"/>
                <w:szCs w:val="18"/>
              </w:rPr>
              <w:t xml:space="preserve">Survey linear regression was used to examine associations with factor and neurocognitive test scores treated as continuous variables. Models are adjusted for </w:t>
            </w:r>
            <w:r w:rsidR="001A492E" w:rsidRPr="0055428F">
              <w:rPr>
                <w:rFonts w:ascii="Times New Roman" w:hAnsi="Times New Roman" w:cs="Times New Roman"/>
                <w:sz w:val="18"/>
                <w:szCs w:val="18"/>
              </w:rPr>
              <w:t xml:space="preserve">age (years), sex (M/F), energy intake (kcals/d), physical activity (MET-min/d), Hispanic/Latino background (Central American, Cuban, Dominican, Mexican, Puerto Rican, South American, and multiple/other/missing), field site (Bronx, Chicago, Miami, San Diego), CES-D score, type 2 diabetes (y/n), </w:t>
            </w:r>
            <w:r w:rsidR="006E4F3A" w:rsidRPr="0055428F">
              <w:rPr>
                <w:rFonts w:ascii="Times New Roman" w:hAnsi="Times New Roman" w:cs="Times New Roman"/>
                <w:sz w:val="18"/>
                <w:szCs w:val="18"/>
              </w:rPr>
              <w:t xml:space="preserve">CVD (y/n), </w:t>
            </w:r>
            <w:r w:rsidR="001A492E" w:rsidRPr="0055428F">
              <w:rPr>
                <w:rFonts w:ascii="Times New Roman" w:hAnsi="Times New Roman" w:cs="Times New Roman"/>
                <w:sz w:val="18"/>
                <w:szCs w:val="18"/>
              </w:rPr>
              <w:t xml:space="preserve">current smoker (y/n), hypertension (y/n), household income (&lt; $30,000 or not), and dietary intakes of fruits (servings/d/kcal), vegetables (servings/d/kcal), alcohol (servings/d/kcal), added sugar (% of energy/d), B12 (mg/d/kcal), B6 (mg/d/kcal), and niacin (mg/d/kcal).   </w:t>
            </w:r>
          </w:p>
          <w:p w14:paraId="6B3CA494" w14:textId="77777777" w:rsidR="001A492E" w:rsidRPr="0055428F" w:rsidRDefault="001A492E" w:rsidP="001A492E">
            <w:pPr>
              <w:contextualSpacing/>
              <w:rPr>
                <w:rFonts w:ascii="Times New Roman" w:eastAsia="Times New Roman" w:hAnsi="Times New Roman" w:cs="Times New Roman"/>
                <w:sz w:val="20"/>
                <w:szCs w:val="20"/>
              </w:rPr>
            </w:pPr>
          </w:p>
        </w:tc>
      </w:tr>
    </w:tbl>
    <w:p w14:paraId="7E30B41F" w14:textId="2055811A" w:rsidR="00506904" w:rsidRPr="0055428F" w:rsidRDefault="00506904" w:rsidP="006A0D34">
      <w:pPr>
        <w:rPr>
          <w:rFonts w:ascii="Times New Roman" w:hAnsi="Times New Roman" w:cs="Times New Roman"/>
        </w:rPr>
      </w:pPr>
    </w:p>
    <w:p w14:paraId="0B46850F" w14:textId="77777777" w:rsidR="00506904" w:rsidRPr="0055428F" w:rsidRDefault="00506904">
      <w:pPr>
        <w:rPr>
          <w:rFonts w:ascii="Times New Roman" w:hAnsi="Times New Roman" w:cs="Times New Roman"/>
        </w:rPr>
      </w:pPr>
      <w:r w:rsidRPr="0055428F">
        <w:rPr>
          <w:rFonts w:ascii="Times New Roman" w:hAnsi="Times New Roman" w:cs="Times New Roman"/>
        </w:rPr>
        <w:br w:type="page"/>
      </w:r>
    </w:p>
    <w:tbl>
      <w:tblPr>
        <w:tblW w:w="7851" w:type="dxa"/>
        <w:tblLook w:val="04A0" w:firstRow="1" w:lastRow="0" w:firstColumn="1" w:lastColumn="0" w:noHBand="0" w:noVBand="1"/>
      </w:tblPr>
      <w:tblGrid>
        <w:gridCol w:w="3657"/>
        <w:gridCol w:w="1530"/>
        <w:gridCol w:w="1674"/>
        <w:gridCol w:w="990"/>
      </w:tblGrid>
      <w:tr w:rsidR="0055428F" w:rsidRPr="0055428F" w14:paraId="79D37BE3" w14:textId="77777777" w:rsidTr="00FB7A8C">
        <w:trPr>
          <w:trHeight w:val="250"/>
        </w:trPr>
        <w:tc>
          <w:tcPr>
            <w:tcW w:w="7851" w:type="dxa"/>
            <w:gridSpan w:val="4"/>
            <w:tcBorders>
              <w:top w:val="nil"/>
              <w:left w:val="nil"/>
              <w:bottom w:val="single" w:sz="4" w:space="0" w:color="auto"/>
              <w:right w:val="nil"/>
            </w:tcBorders>
          </w:tcPr>
          <w:p w14:paraId="4CE7F5F4" w14:textId="77777777" w:rsidR="00386B3F" w:rsidRPr="0055428F" w:rsidRDefault="00386B3F" w:rsidP="00AA3FD8">
            <w:pPr>
              <w:spacing w:after="0" w:line="240" w:lineRule="auto"/>
              <w:rPr>
                <w:rFonts w:ascii="Times New Roman" w:eastAsia="Times New Roman" w:hAnsi="Times New Roman" w:cs="Times New Roman"/>
              </w:rPr>
            </w:pPr>
            <w:r w:rsidRPr="0055428F">
              <w:rPr>
                <w:rFonts w:ascii="Times New Roman" w:hAnsi="Times New Roman" w:cs="Times New Roman"/>
                <w:b/>
                <w:bCs/>
              </w:rPr>
              <w:lastRenderedPageBreak/>
              <w:t>Supplementary Table 7. Associations between fatty acid groupings and global cognitive function</w:t>
            </w:r>
            <w:r w:rsidRPr="0055428F">
              <w:rPr>
                <w:rFonts w:ascii="inherit" w:hAnsi="inherit" w:cs="Arial"/>
                <w:b/>
                <w:bCs/>
                <w:vertAlign w:val="superscript"/>
              </w:rPr>
              <w:t>†</w:t>
            </w:r>
          </w:p>
        </w:tc>
      </w:tr>
      <w:tr w:rsidR="0055428F" w:rsidRPr="0055428F" w14:paraId="06CDECA4" w14:textId="77777777" w:rsidTr="00FB7A8C">
        <w:trPr>
          <w:trHeight w:val="250"/>
        </w:trPr>
        <w:tc>
          <w:tcPr>
            <w:tcW w:w="3657" w:type="dxa"/>
            <w:vMerge w:val="restart"/>
            <w:tcBorders>
              <w:top w:val="single" w:sz="4" w:space="0" w:color="auto"/>
              <w:left w:val="nil"/>
              <w:right w:val="nil"/>
            </w:tcBorders>
            <w:shd w:val="clear" w:color="auto" w:fill="auto"/>
            <w:noWrap/>
            <w:vAlign w:val="center"/>
          </w:tcPr>
          <w:p w14:paraId="4144A309" w14:textId="77777777" w:rsidR="00FB7A8C" w:rsidRPr="0055428F" w:rsidRDefault="00FB7A8C" w:rsidP="00AA3FD8">
            <w:pPr>
              <w:spacing w:after="0" w:line="240" w:lineRule="auto"/>
              <w:jc w:val="center"/>
              <w:rPr>
                <w:rFonts w:ascii="Times New Roman" w:eastAsia="Times New Roman" w:hAnsi="Times New Roman" w:cs="Times New Roman"/>
              </w:rPr>
            </w:pPr>
            <w:r w:rsidRPr="0055428F">
              <w:rPr>
                <w:rFonts w:ascii="Times New Roman" w:eastAsia="Times New Roman" w:hAnsi="Times New Roman" w:cs="Times New Roman"/>
              </w:rPr>
              <w:t>Fatty Acid Categories (% of energy)</w:t>
            </w:r>
          </w:p>
        </w:tc>
        <w:tc>
          <w:tcPr>
            <w:tcW w:w="1530" w:type="dxa"/>
            <w:tcBorders>
              <w:top w:val="single" w:sz="4" w:space="0" w:color="auto"/>
              <w:left w:val="nil"/>
              <w:right w:val="nil"/>
            </w:tcBorders>
            <w:shd w:val="clear" w:color="auto" w:fill="auto"/>
            <w:noWrap/>
            <w:vAlign w:val="center"/>
          </w:tcPr>
          <w:p w14:paraId="012F5595" w14:textId="77777777" w:rsidR="00FB7A8C" w:rsidRPr="0055428F" w:rsidRDefault="00FB7A8C" w:rsidP="00AA3FD8">
            <w:pPr>
              <w:spacing w:after="0" w:line="240" w:lineRule="auto"/>
              <w:jc w:val="center"/>
              <w:rPr>
                <w:rFonts w:ascii="Times New Roman" w:eastAsia="Times New Roman" w:hAnsi="Times New Roman" w:cs="Times New Roman"/>
              </w:rPr>
            </w:pPr>
            <w:r w:rsidRPr="0055428F">
              <w:rPr>
                <w:rFonts w:ascii="Times New Roman" w:eastAsia="Times New Roman" w:hAnsi="Times New Roman" w:cs="Times New Roman"/>
              </w:rPr>
              <w:t>Distribution of Fatty Acids, % of energy</w:t>
            </w:r>
          </w:p>
        </w:tc>
        <w:tc>
          <w:tcPr>
            <w:tcW w:w="1674" w:type="dxa"/>
            <w:vMerge w:val="restart"/>
            <w:tcBorders>
              <w:top w:val="single" w:sz="4" w:space="0" w:color="auto"/>
              <w:left w:val="nil"/>
              <w:right w:val="nil"/>
            </w:tcBorders>
            <w:vAlign w:val="center"/>
          </w:tcPr>
          <w:p w14:paraId="74EC32D1" w14:textId="05D96544" w:rsidR="00FB7A8C" w:rsidRPr="0055428F" w:rsidRDefault="00FB7A8C" w:rsidP="00AA3FD8">
            <w:pPr>
              <w:spacing w:after="0" w:line="240" w:lineRule="auto"/>
              <w:jc w:val="center"/>
              <w:rPr>
                <w:rFonts w:ascii="Times New Roman" w:eastAsia="Times New Roman" w:hAnsi="Times New Roman" w:cs="Times New Roman"/>
              </w:rPr>
            </w:pPr>
            <w:r w:rsidRPr="0055428F">
              <w:rPr>
                <w:rFonts w:ascii="Times New Roman" w:eastAsia="Times New Roman" w:hAnsi="Times New Roman" w:cs="Times New Roman"/>
              </w:rPr>
              <w:t>β ± SE</w:t>
            </w:r>
            <w:r w:rsidR="006623D8" w:rsidRPr="0055428F">
              <w:rPr>
                <w:rFonts w:ascii="inherit" w:hAnsi="inherit" w:cs="Arial"/>
                <w:vertAlign w:val="superscript"/>
              </w:rPr>
              <w:t>§</w:t>
            </w:r>
          </w:p>
        </w:tc>
        <w:tc>
          <w:tcPr>
            <w:tcW w:w="990" w:type="dxa"/>
            <w:vMerge w:val="restart"/>
            <w:tcBorders>
              <w:top w:val="single" w:sz="4" w:space="0" w:color="auto"/>
              <w:left w:val="nil"/>
              <w:right w:val="nil"/>
            </w:tcBorders>
            <w:shd w:val="clear" w:color="auto" w:fill="auto"/>
            <w:noWrap/>
            <w:vAlign w:val="center"/>
          </w:tcPr>
          <w:p w14:paraId="24666218" w14:textId="77777777" w:rsidR="00FB7A8C" w:rsidRPr="0055428F" w:rsidRDefault="00FB7A8C" w:rsidP="00AA3FD8">
            <w:pPr>
              <w:spacing w:after="0" w:line="240" w:lineRule="auto"/>
              <w:jc w:val="center"/>
              <w:rPr>
                <w:rFonts w:ascii="Times New Roman" w:eastAsia="Times New Roman" w:hAnsi="Times New Roman" w:cs="Times New Roman"/>
                <w:i/>
                <w:iCs/>
              </w:rPr>
            </w:pPr>
            <w:r w:rsidRPr="0055428F">
              <w:rPr>
                <w:rFonts w:ascii="Times New Roman" w:eastAsia="Times New Roman" w:hAnsi="Times New Roman" w:cs="Times New Roman"/>
                <w:i/>
                <w:iCs/>
              </w:rPr>
              <w:t>P</w:t>
            </w:r>
          </w:p>
        </w:tc>
      </w:tr>
      <w:tr w:rsidR="0055428F" w:rsidRPr="0055428F" w14:paraId="46769B32" w14:textId="77777777" w:rsidTr="00FB7A8C">
        <w:trPr>
          <w:trHeight w:val="250"/>
        </w:trPr>
        <w:tc>
          <w:tcPr>
            <w:tcW w:w="3657" w:type="dxa"/>
            <w:vMerge/>
            <w:tcBorders>
              <w:left w:val="nil"/>
              <w:bottom w:val="single" w:sz="4" w:space="0" w:color="auto"/>
              <w:right w:val="nil"/>
            </w:tcBorders>
            <w:shd w:val="clear" w:color="auto" w:fill="auto"/>
            <w:noWrap/>
            <w:vAlign w:val="center"/>
            <w:hideMark/>
          </w:tcPr>
          <w:p w14:paraId="24FC12B7" w14:textId="77777777" w:rsidR="00FB7A8C" w:rsidRPr="0055428F" w:rsidRDefault="00FB7A8C" w:rsidP="00AA3FD8">
            <w:pPr>
              <w:spacing w:after="0" w:line="240" w:lineRule="auto"/>
              <w:rPr>
                <w:rFonts w:ascii="Times New Roman" w:eastAsia="Times New Roman" w:hAnsi="Times New Roman" w:cs="Times New Roman"/>
              </w:rPr>
            </w:pPr>
          </w:p>
        </w:tc>
        <w:tc>
          <w:tcPr>
            <w:tcW w:w="1530" w:type="dxa"/>
            <w:tcBorders>
              <w:top w:val="nil"/>
              <w:left w:val="nil"/>
              <w:bottom w:val="single" w:sz="4" w:space="0" w:color="auto"/>
              <w:right w:val="nil"/>
            </w:tcBorders>
            <w:shd w:val="clear" w:color="auto" w:fill="auto"/>
            <w:noWrap/>
            <w:vAlign w:val="center"/>
            <w:hideMark/>
          </w:tcPr>
          <w:p w14:paraId="7566C6BA" w14:textId="77777777" w:rsidR="00FB7A8C" w:rsidRPr="0055428F" w:rsidRDefault="00FB7A8C" w:rsidP="00AA3FD8">
            <w:pPr>
              <w:spacing w:after="0" w:line="240" w:lineRule="auto"/>
              <w:jc w:val="center"/>
              <w:rPr>
                <w:rFonts w:ascii="Times New Roman" w:eastAsia="Times New Roman" w:hAnsi="Times New Roman" w:cs="Times New Roman"/>
              </w:rPr>
            </w:pPr>
            <w:r w:rsidRPr="0055428F">
              <w:rPr>
                <w:rFonts w:ascii="Times New Roman" w:eastAsia="Times New Roman" w:hAnsi="Times New Roman" w:cs="Times New Roman"/>
              </w:rPr>
              <w:t>(Mean ± SD)</w:t>
            </w:r>
          </w:p>
        </w:tc>
        <w:tc>
          <w:tcPr>
            <w:tcW w:w="1674" w:type="dxa"/>
            <w:vMerge/>
            <w:tcBorders>
              <w:left w:val="nil"/>
              <w:bottom w:val="single" w:sz="4" w:space="0" w:color="auto"/>
              <w:right w:val="nil"/>
            </w:tcBorders>
          </w:tcPr>
          <w:p w14:paraId="4F53B567" w14:textId="77777777" w:rsidR="00FB7A8C" w:rsidRPr="0055428F" w:rsidRDefault="00FB7A8C" w:rsidP="00AA3FD8">
            <w:pPr>
              <w:spacing w:after="0" w:line="240" w:lineRule="auto"/>
              <w:jc w:val="center"/>
              <w:rPr>
                <w:rFonts w:ascii="Times New Roman" w:eastAsia="Times New Roman" w:hAnsi="Times New Roman" w:cs="Times New Roman"/>
              </w:rPr>
            </w:pPr>
          </w:p>
        </w:tc>
        <w:tc>
          <w:tcPr>
            <w:tcW w:w="990" w:type="dxa"/>
            <w:vMerge/>
            <w:tcBorders>
              <w:left w:val="nil"/>
              <w:bottom w:val="single" w:sz="4" w:space="0" w:color="auto"/>
              <w:right w:val="nil"/>
            </w:tcBorders>
            <w:shd w:val="clear" w:color="auto" w:fill="auto"/>
            <w:noWrap/>
            <w:vAlign w:val="center"/>
            <w:hideMark/>
          </w:tcPr>
          <w:p w14:paraId="596302FD" w14:textId="77777777" w:rsidR="00FB7A8C" w:rsidRPr="0055428F" w:rsidRDefault="00FB7A8C" w:rsidP="00AA3FD8">
            <w:pPr>
              <w:spacing w:after="0" w:line="240" w:lineRule="auto"/>
              <w:jc w:val="center"/>
              <w:rPr>
                <w:rFonts w:ascii="Times New Roman" w:eastAsia="Times New Roman" w:hAnsi="Times New Roman" w:cs="Times New Roman"/>
              </w:rPr>
            </w:pPr>
          </w:p>
        </w:tc>
      </w:tr>
      <w:tr w:rsidR="0055428F" w:rsidRPr="0055428F" w14:paraId="1D3D34E7" w14:textId="77777777" w:rsidTr="00FB7A8C">
        <w:trPr>
          <w:trHeight w:val="250"/>
        </w:trPr>
        <w:tc>
          <w:tcPr>
            <w:tcW w:w="3657" w:type="dxa"/>
            <w:tcBorders>
              <w:top w:val="single" w:sz="4" w:space="0" w:color="auto"/>
              <w:left w:val="nil"/>
              <w:right w:val="nil"/>
            </w:tcBorders>
            <w:shd w:val="clear" w:color="auto" w:fill="auto"/>
            <w:noWrap/>
            <w:vAlign w:val="center"/>
          </w:tcPr>
          <w:p w14:paraId="4F2CAD99" w14:textId="77777777" w:rsidR="00FB7A8C" w:rsidRPr="0055428F" w:rsidRDefault="00FB7A8C" w:rsidP="00AA3FD8">
            <w:pPr>
              <w:spacing w:after="0" w:line="240" w:lineRule="auto"/>
              <w:rPr>
                <w:rFonts w:ascii="Times New Roman" w:eastAsia="Times New Roman" w:hAnsi="Times New Roman" w:cs="Times New Roman"/>
              </w:rPr>
            </w:pPr>
            <w:r w:rsidRPr="0055428F">
              <w:rPr>
                <w:rFonts w:ascii="Times New Roman" w:hAnsi="Times New Roman" w:cs="Times New Roman"/>
              </w:rPr>
              <w:t>Saturated Fatty Acids</w:t>
            </w:r>
          </w:p>
        </w:tc>
        <w:tc>
          <w:tcPr>
            <w:tcW w:w="1530" w:type="dxa"/>
            <w:tcBorders>
              <w:top w:val="single" w:sz="4" w:space="0" w:color="auto"/>
              <w:left w:val="nil"/>
              <w:right w:val="nil"/>
            </w:tcBorders>
            <w:shd w:val="clear" w:color="auto" w:fill="auto"/>
            <w:noWrap/>
            <w:vAlign w:val="center"/>
          </w:tcPr>
          <w:p w14:paraId="000C97A9" w14:textId="77777777" w:rsidR="00FB7A8C" w:rsidRPr="0055428F" w:rsidRDefault="00FB7A8C" w:rsidP="00AA3FD8">
            <w:pPr>
              <w:spacing w:after="0" w:line="240" w:lineRule="auto"/>
              <w:jc w:val="center"/>
              <w:rPr>
                <w:rFonts w:ascii="Times New Roman" w:eastAsia="Times New Roman" w:hAnsi="Times New Roman" w:cs="Times New Roman"/>
              </w:rPr>
            </w:pPr>
          </w:p>
        </w:tc>
        <w:tc>
          <w:tcPr>
            <w:tcW w:w="1674" w:type="dxa"/>
            <w:tcBorders>
              <w:top w:val="single" w:sz="4" w:space="0" w:color="auto"/>
              <w:left w:val="nil"/>
              <w:right w:val="nil"/>
            </w:tcBorders>
          </w:tcPr>
          <w:p w14:paraId="1893D878" w14:textId="77777777" w:rsidR="00FB7A8C" w:rsidRPr="0055428F" w:rsidRDefault="00FB7A8C" w:rsidP="00AA3FD8">
            <w:pPr>
              <w:spacing w:after="0" w:line="240" w:lineRule="auto"/>
              <w:jc w:val="center"/>
              <w:rPr>
                <w:rFonts w:ascii="Times New Roman" w:eastAsia="Times New Roman" w:hAnsi="Times New Roman" w:cs="Times New Roman"/>
              </w:rPr>
            </w:pPr>
          </w:p>
        </w:tc>
        <w:tc>
          <w:tcPr>
            <w:tcW w:w="990" w:type="dxa"/>
            <w:tcBorders>
              <w:top w:val="single" w:sz="4" w:space="0" w:color="auto"/>
              <w:left w:val="nil"/>
              <w:right w:val="nil"/>
            </w:tcBorders>
            <w:shd w:val="clear" w:color="auto" w:fill="auto"/>
            <w:vAlign w:val="center"/>
          </w:tcPr>
          <w:p w14:paraId="7AE423C5" w14:textId="77777777" w:rsidR="00FB7A8C" w:rsidRPr="0055428F" w:rsidRDefault="00FB7A8C" w:rsidP="00AA3FD8">
            <w:pPr>
              <w:spacing w:after="0" w:line="240" w:lineRule="auto"/>
              <w:jc w:val="center"/>
              <w:rPr>
                <w:rFonts w:ascii="Times New Roman" w:eastAsia="Times New Roman" w:hAnsi="Times New Roman" w:cs="Times New Roman"/>
              </w:rPr>
            </w:pPr>
          </w:p>
        </w:tc>
      </w:tr>
      <w:tr w:rsidR="0055428F" w:rsidRPr="0055428F" w14:paraId="5A1726F8" w14:textId="77777777" w:rsidTr="00FB7A8C">
        <w:trPr>
          <w:trHeight w:val="250"/>
        </w:trPr>
        <w:tc>
          <w:tcPr>
            <w:tcW w:w="3657" w:type="dxa"/>
            <w:tcBorders>
              <w:left w:val="nil"/>
              <w:bottom w:val="nil"/>
              <w:right w:val="nil"/>
            </w:tcBorders>
            <w:shd w:val="clear" w:color="auto" w:fill="auto"/>
            <w:noWrap/>
            <w:vAlign w:val="center"/>
            <w:hideMark/>
          </w:tcPr>
          <w:p w14:paraId="502350F7" w14:textId="77777777" w:rsidR="00FB7A8C" w:rsidRPr="0055428F" w:rsidRDefault="00FB7A8C" w:rsidP="00FB7A8C">
            <w:pPr>
              <w:spacing w:after="0" w:line="240" w:lineRule="auto"/>
              <w:ind w:left="166"/>
              <w:rPr>
                <w:rFonts w:ascii="Times New Roman" w:eastAsia="Times New Roman" w:hAnsi="Times New Roman" w:cs="Times New Roman"/>
              </w:rPr>
            </w:pPr>
            <w:r w:rsidRPr="0055428F">
              <w:rPr>
                <w:rFonts w:ascii="Times New Roman" w:eastAsia="Times New Roman" w:hAnsi="Times New Roman" w:cs="Times New Roman"/>
              </w:rPr>
              <w:t>Short and Medium chain (≤12C)</w:t>
            </w:r>
          </w:p>
        </w:tc>
        <w:tc>
          <w:tcPr>
            <w:tcW w:w="1530" w:type="dxa"/>
            <w:tcBorders>
              <w:left w:val="nil"/>
              <w:bottom w:val="nil"/>
              <w:right w:val="nil"/>
            </w:tcBorders>
            <w:shd w:val="clear" w:color="auto" w:fill="auto"/>
            <w:noWrap/>
            <w:vAlign w:val="center"/>
            <w:hideMark/>
          </w:tcPr>
          <w:p w14:paraId="75E605C5" w14:textId="77777777"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hAnsi="Times New Roman" w:cs="Times New Roman"/>
              </w:rPr>
              <w:t>0.94 ± 0.28</w:t>
            </w:r>
          </w:p>
        </w:tc>
        <w:tc>
          <w:tcPr>
            <w:tcW w:w="1674" w:type="dxa"/>
            <w:tcBorders>
              <w:left w:val="nil"/>
              <w:bottom w:val="nil"/>
              <w:right w:val="nil"/>
            </w:tcBorders>
          </w:tcPr>
          <w:p w14:paraId="64867944" w14:textId="46C042DB" w:rsidR="00FB7A8C" w:rsidRPr="0055428F" w:rsidRDefault="00FB7A8C" w:rsidP="00FB7A8C">
            <w:pPr>
              <w:spacing w:after="0" w:line="240" w:lineRule="auto"/>
              <w:jc w:val="center"/>
              <w:rPr>
                <w:rFonts w:ascii="Times New Roman" w:eastAsia="Times New Roman" w:hAnsi="Times New Roman" w:cs="Times New Roman"/>
              </w:rPr>
            </w:pPr>
            <w:bookmarkStart w:id="0" w:name="_Hlk75548121"/>
            <w:r w:rsidRPr="0055428F">
              <w:rPr>
                <w:rFonts w:ascii="Times New Roman" w:eastAsia="Times New Roman" w:hAnsi="Times New Roman" w:cs="Times New Roman"/>
              </w:rPr>
              <w:t>0.13 ± 0.06</w:t>
            </w:r>
            <w:bookmarkEnd w:id="0"/>
          </w:p>
        </w:tc>
        <w:tc>
          <w:tcPr>
            <w:tcW w:w="990" w:type="dxa"/>
            <w:tcBorders>
              <w:left w:val="nil"/>
              <w:bottom w:val="nil"/>
              <w:right w:val="nil"/>
            </w:tcBorders>
            <w:shd w:val="clear" w:color="auto" w:fill="auto"/>
          </w:tcPr>
          <w:p w14:paraId="15E700D2" w14:textId="659C8891"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eastAsia="Times New Roman" w:hAnsi="Times New Roman" w:cs="Times New Roman"/>
              </w:rPr>
              <w:t>0.04</w:t>
            </w:r>
          </w:p>
        </w:tc>
      </w:tr>
      <w:tr w:rsidR="0055428F" w:rsidRPr="0055428F" w14:paraId="73498480" w14:textId="77777777" w:rsidTr="00FB7A8C">
        <w:trPr>
          <w:trHeight w:val="250"/>
        </w:trPr>
        <w:tc>
          <w:tcPr>
            <w:tcW w:w="3657" w:type="dxa"/>
            <w:tcBorders>
              <w:top w:val="nil"/>
              <w:left w:val="nil"/>
              <w:bottom w:val="nil"/>
              <w:right w:val="nil"/>
            </w:tcBorders>
            <w:shd w:val="clear" w:color="auto" w:fill="auto"/>
            <w:noWrap/>
            <w:vAlign w:val="center"/>
            <w:hideMark/>
          </w:tcPr>
          <w:p w14:paraId="453ED827" w14:textId="77777777" w:rsidR="00FB7A8C" w:rsidRPr="0055428F" w:rsidRDefault="00FB7A8C" w:rsidP="00FB7A8C">
            <w:pPr>
              <w:spacing w:after="0" w:line="240" w:lineRule="auto"/>
              <w:ind w:left="166"/>
              <w:rPr>
                <w:rFonts w:ascii="Times New Roman" w:eastAsia="Times New Roman" w:hAnsi="Times New Roman" w:cs="Times New Roman"/>
              </w:rPr>
            </w:pPr>
            <w:r w:rsidRPr="0055428F">
              <w:rPr>
                <w:rFonts w:ascii="Times New Roman" w:eastAsia="Times New Roman" w:hAnsi="Times New Roman" w:cs="Times New Roman"/>
              </w:rPr>
              <w:t>Long chain (&gt;12C to &lt;20C)</w:t>
            </w:r>
          </w:p>
        </w:tc>
        <w:tc>
          <w:tcPr>
            <w:tcW w:w="1530" w:type="dxa"/>
            <w:tcBorders>
              <w:top w:val="nil"/>
              <w:left w:val="nil"/>
              <w:bottom w:val="nil"/>
              <w:right w:val="nil"/>
            </w:tcBorders>
            <w:shd w:val="clear" w:color="auto" w:fill="auto"/>
            <w:noWrap/>
            <w:vAlign w:val="center"/>
            <w:hideMark/>
          </w:tcPr>
          <w:p w14:paraId="16F724C4" w14:textId="77777777"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hAnsi="Times New Roman" w:cs="Times New Roman"/>
              </w:rPr>
              <w:t>9.03 ± 1.2</w:t>
            </w:r>
          </w:p>
        </w:tc>
        <w:tc>
          <w:tcPr>
            <w:tcW w:w="1674" w:type="dxa"/>
            <w:tcBorders>
              <w:top w:val="nil"/>
              <w:left w:val="nil"/>
              <w:bottom w:val="nil"/>
              <w:right w:val="nil"/>
            </w:tcBorders>
          </w:tcPr>
          <w:p w14:paraId="12250E1A" w14:textId="4C7A849A"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eastAsia="Times New Roman" w:hAnsi="Times New Roman" w:cs="Times New Roman"/>
              </w:rPr>
              <w:t>0.006 ± 0.027</w:t>
            </w:r>
          </w:p>
        </w:tc>
        <w:tc>
          <w:tcPr>
            <w:tcW w:w="990" w:type="dxa"/>
            <w:tcBorders>
              <w:top w:val="nil"/>
              <w:left w:val="nil"/>
              <w:bottom w:val="nil"/>
              <w:right w:val="nil"/>
            </w:tcBorders>
            <w:shd w:val="clear" w:color="auto" w:fill="auto"/>
          </w:tcPr>
          <w:p w14:paraId="329AAF72" w14:textId="4994AD6D"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eastAsia="Times New Roman" w:hAnsi="Times New Roman" w:cs="Times New Roman"/>
              </w:rPr>
              <w:t>0.81</w:t>
            </w:r>
          </w:p>
        </w:tc>
      </w:tr>
      <w:tr w:rsidR="0055428F" w:rsidRPr="0055428F" w14:paraId="6895E902" w14:textId="77777777" w:rsidTr="00FB7A8C">
        <w:trPr>
          <w:trHeight w:val="250"/>
        </w:trPr>
        <w:tc>
          <w:tcPr>
            <w:tcW w:w="3657" w:type="dxa"/>
            <w:tcBorders>
              <w:top w:val="nil"/>
              <w:left w:val="nil"/>
              <w:bottom w:val="nil"/>
              <w:right w:val="nil"/>
            </w:tcBorders>
            <w:shd w:val="clear" w:color="auto" w:fill="auto"/>
            <w:noWrap/>
            <w:vAlign w:val="center"/>
            <w:hideMark/>
          </w:tcPr>
          <w:p w14:paraId="666D0567" w14:textId="77777777" w:rsidR="00FB7A8C" w:rsidRPr="0055428F" w:rsidRDefault="00FB7A8C" w:rsidP="00FB7A8C">
            <w:pPr>
              <w:spacing w:after="0" w:line="240" w:lineRule="auto"/>
              <w:ind w:left="166"/>
              <w:rPr>
                <w:rFonts w:ascii="Times New Roman" w:eastAsia="Times New Roman" w:hAnsi="Times New Roman" w:cs="Times New Roman"/>
              </w:rPr>
            </w:pPr>
            <w:r w:rsidRPr="0055428F">
              <w:rPr>
                <w:rFonts w:ascii="Times New Roman" w:eastAsia="Times New Roman" w:hAnsi="Times New Roman" w:cs="Times New Roman"/>
              </w:rPr>
              <w:t>Very-long chain (≥20C)</w:t>
            </w:r>
          </w:p>
        </w:tc>
        <w:tc>
          <w:tcPr>
            <w:tcW w:w="1530" w:type="dxa"/>
            <w:tcBorders>
              <w:top w:val="nil"/>
              <w:left w:val="nil"/>
              <w:bottom w:val="nil"/>
              <w:right w:val="nil"/>
            </w:tcBorders>
            <w:shd w:val="clear" w:color="auto" w:fill="auto"/>
            <w:noWrap/>
            <w:vAlign w:val="center"/>
            <w:hideMark/>
          </w:tcPr>
          <w:p w14:paraId="7F7537A0" w14:textId="77777777"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hAnsi="Times New Roman" w:cs="Times New Roman"/>
              </w:rPr>
              <w:t>0.08 ± 0.016</w:t>
            </w:r>
          </w:p>
        </w:tc>
        <w:tc>
          <w:tcPr>
            <w:tcW w:w="1674" w:type="dxa"/>
            <w:tcBorders>
              <w:top w:val="nil"/>
              <w:left w:val="nil"/>
              <w:bottom w:val="nil"/>
              <w:right w:val="nil"/>
            </w:tcBorders>
          </w:tcPr>
          <w:p w14:paraId="1A3909FD" w14:textId="22849510"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eastAsia="Times New Roman" w:hAnsi="Times New Roman" w:cs="Times New Roman"/>
              </w:rPr>
              <w:t>0.61 ± 0.96</w:t>
            </w:r>
          </w:p>
        </w:tc>
        <w:tc>
          <w:tcPr>
            <w:tcW w:w="990" w:type="dxa"/>
            <w:tcBorders>
              <w:top w:val="nil"/>
              <w:left w:val="nil"/>
              <w:bottom w:val="nil"/>
              <w:right w:val="nil"/>
            </w:tcBorders>
            <w:shd w:val="clear" w:color="auto" w:fill="auto"/>
          </w:tcPr>
          <w:p w14:paraId="1940DE1E" w14:textId="3DF86424"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eastAsia="Times New Roman" w:hAnsi="Times New Roman" w:cs="Times New Roman"/>
              </w:rPr>
              <w:t>0.52</w:t>
            </w:r>
          </w:p>
        </w:tc>
      </w:tr>
      <w:tr w:rsidR="0055428F" w:rsidRPr="0055428F" w14:paraId="4821CBE9" w14:textId="77777777" w:rsidTr="00FB7A8C">
        <w:trPr>
          <w:trHeight w:val="250"/>
        </w:trPr>
        <w:tc>
          <w:tcPr>
            <w:tcW w:w="3657" w:type="dxa"/>
            <w:tcBorders>
              <w:top w:val="nil"/>
              <w:left w:val="nil"/>
              <w:bottom w:val="nil"/>
              <w:right w:val="nil"/>
            </w:tcBorders>
            <w:shd w:val="clear" w:color="auto" w:fill="auto"/>
            <w:noWrap/>
            <w:vAlign w:val="center"/>
          </w:tcPr>
          <w:p w14:paraId="5A18CFD6" w14:textId="77777777" w:rsidR="00FB7A8C" w:rsidRPr="0055428F" w:rsidRDefault="00FB7A8C" w:rsidP="00AA3FD8">
            <w:pPr>
              <w:spacing w:after="0" w:line="240" w:lineRule="auto"/>
              <w:rPr>
                <w:rFonts w:ascii="Times New Roman" w:eastAsia="Times New Roman" w:hAnsi="Times New Roman" w:cs="Times New Roman"/>
              </w:rPr>
            </w:pPr>
            <w:r w:rsidRPr="0055428F">
              <w:rPr>
                <w:rFonts w:ascii="Times New Roman" w:hAnsi="Times New Roman" w:cs="Times New Roman"/>
              </w:rPr>
              <w:t>Monounsaturated Fatty Acids</w:t>
            </w:r>
          </w:p>
        </w:tc>
        <w:tc>
          <w:tcPr>
            <w:tcW w:w="1530" w:type="dxa"/>
            <w:tcBorders>
              <w:top w:val="nil"/>
              <w:left w:val="nil"/>
              <w:bottom w:val="nil"/>
              <w:right w:val="nil"/>
            </w:tcBorders>
            <w:shd w:val="clear" w:color="auto" w:fill="auto"/>
            <w:noWrap/>
            <w:vAlign w:val="center"/>
          </w:tcPr>
          <w:p w14:paraId="04EA23FB" w14:textId="77777777" w:rsidR="00FB7A8C" w:rsidRPr="0055428F" w:rsidRDefault="00FB7A8C" w:rsidP="00AA3FD8">
            <w:pPr>
              <w:spacing w:after="0" w:line="240" w:lineRule="auto"/>
              <w:jc w:val="center"/>
              <w:rPr>
                <w:rFonts w:ascii="Times New Roman" w:eastAsia="Times New Roman" w:hAnsi="Times New Roman" w:cs="Times New Roman"/>
              </w:rPr>
            </w:pPr>
          </w:p>
        </w:tc>
        <w:tc>
          <w:tcPr>
            <w:tcW w:w="1674" w:type="dxa"/>
            <w:tcBorders>
              <w:top w:val="nil"/>
              <w:left w:val="nil"/>
              <w:bottom w:val="nil"/>
              <w:right w:val="nil"/>
            </w:tcBorders>
            <w:vAlign w:val="center"/>
          </w:tcPr>
          <w:p w14:paraId="483358FD" w14:textId="77777777" w:rsidR="00FB7A8C" w:rsidRPr="0055428F" w:rsidRDefault="00FB7A8C" w:rsidP="00AA3FD8">
            <w:pPr>
              <w:spacing w:after="0" w:line="240" w:lineRule="auto"/>
              <w:jc w:val="center"/>
              <w:rPr>
                <w:rFonts w:ascii="Times New Roman" w:eastAsia="Times New Roman" w:hAnsi="Times New Roman" w:cs="Times New Roman"/>
              </w:rPr>
            </w:pPr>
          </w:p>
        </w:tc>
        <w:tc>
          <w:tcPr>
            <w:tcW w:w="990" w:type="dxa"/>
            <w:tcBorders>
              <w:top w:val="nil"/>
              <w:left w:val="nil"/>
              <w:bottom w:val="nil"/>
              <w:right w:val="nil"/>
            </w:tcBorders>
            <w:shd w:val="clear" w:color="auto" w:fill="auto"/>
            <w:vAlign w:val="center"/>
          </w:tcPr>
          <w:p w14:paraId="74E9CB1B" w14:textId="77777777" w:rsidR="00FB7A8C" w:rsidRPr="0055428F" w:rsidRDefault="00FB7A8C" w:rsidP="00AA3FD8">
            <w:pPr>
              <w:spacing w:after="0" w:line="240" w:lineRule="auto"/>
              <w:jc w:val="center"/>
              <w:rPr>
                <w:rFonts w:ascii="Times New Roman" w:eastAsia="Times New Roman" w:hAnsi="Times New Roman" w:cs="Times New Roman"/>
              </w:rPr>
            </w:pPr>
          </w:p>
        </w:tc>
      </w:tr>
      <w:tr w:rsidR="0055428F" w:rsidRPr="0055428F" w14:paraId="1600904D" w14:textId="77777777" w:rsidTr="00FB7A8C">
        <w:trPr>
          <w:trHeight w:val="250"/>
        </w:trPr>
        <w:tc>
          <w:tcPr>
            <w:tcW w:w="3657" w:type="dxa"/>
            <w:tcBorders>
              <w:top w:val="nil"/>
              <w:left w:val="nil"/>
              <w:bottom w:val="nil"/>
              <w:right w:val="nil"/>
            </w:tcBorders>
            <w:shd w:val="clear" w:color="auto" w:fill="auto"/>
            <w:noWrap/>
            <w:vAlign w:val="center"/>
            <w:hideMark/>
          </w:tcPr>
          <w:p w14:paraId="53988249" w14:textId="77777777" w:rsidR="00FB7A8C" w:rsidRPr="0055428F" w:rsidRDefault="00FB7A8C" w:rsidP="00FB7A8C">
            <w:pPr>
              <w:spacing w:after="0" w:line="240" w:lineRule="auto"/>
              <w:ind w:left="166"/>
              <w:rPr>
                <w:rFonts w:ascii="Times New Roman" w:eastAsia="Times New Roman" w:hAnsi="Times New Roman" w:cs="Times New Roman"/>
              </w:rPr>
            </w:pPr>
            <w:r w:rsidRPr="0055428F">
              <w:rPr>
                <w:rFonts w:ascii="Times New Roman" w:eastAsia="Times New Roman" w:hAnsi="Times New Roman" w:cs="Times New Roman"/>
              </w:rPr>
              <w:t>Plant-based</w:t>
            </w:r>
          </w:p>
        </w:tc>
        <w:tc>
          <w:tcPr>
            <w:tcW w:w="1530" w:type="dxa"/>
            <w:tcBorders>
              <w:top w:val="nil"/>
              <w:left w:val="nil"/>
              <w:bottom w:val="nil"/>
              <w:right w:val="nil"/>
            </w:tcBorders>
            <w:shd w:val="clear" w:color="auto" w:fill="auto"/>
            <w:noWrap/>
            <w:vAlign w:val="center"/>
            <w:hideMark/>
          </w:tcPr>
          <w:p w14:paraId="1CCAFFCA" w14:textId="77777777"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hAnsi="Times New Roman" w:cs="Times New Roman"/>
              </w:rPr>
              <w:t>5.41 ± 1.03</w:t>
            </w:r>
          </w:p>
        </w:tc>
        <w:tc>
          <w:tcPr>
            <w:tcW w:w="1674" w:type="dxa"/>
            <w:tcBorders>
              <w:top w:val="nil"/>
              <w:left w:val="nil"/>
              <w:bottom w:val="nil"/>
              <w:right w:val="nil"/>
            </w:tcBorders>
          </w:tcPr>
          <w:p w14:paraId="194FA9C8" w14:textId="0FAE7138"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eastAsia="Times New Roman" w:hAnsi="Times New Roman" w:cs="Times New Roman"/>
              </w:rPr>
              <w:t>0.024 ± 0.015</w:t>
            </w:r>
          </w:p>
        </w:tc>
        <w:tc>
          <w:tcPr>
            <w:tcW w:w="990" w:type="dxa"/>
            <w:tcBorders>
              <w:top w:val="nil"/>
              <w:left w:val="nil"/>
              <w:bottom w:val="nil"/>
              <w:right w:val="nil"/>
            </w:tcBorders>
            <w:shd w:val="clear" w:color="auto" w:fill="auto"/>
          </w:tcPr>
          <w:p w14:paraId="20311508" w14:textId="20764096"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eastAsia="Times New Roman" w:hAnsi="Times New Roman" w:cs="Times New Roman"/>
              </w:rPr>
              <w:t>0.11</w:t>
            </w:r>
          </w:p>
        </w:tc>
      </w:tr>
      <w:tr w:rsidR="0055428F" w:rsidRPr="0055428F" w14:paraId="646F3332" w14:textId="77777777" w:rsidTr="00FB7A8C">
        <w:trPr>
          <w:trHeight w:val="250"/>
        </w:trPr>
        <w:tc>
          <w:tcPr>
            <w:tcW w:w="3657" w:type="dxa"/>
            <w:tcBorders>
              <w:top w:val="nil"/>
              <w:left w:val="nil"/>
              <w:bottom w:val="nil"/>
              <w:right w:val="nil"/>
            </w:tcBorders>
            <w:shd w:val="clear" w:color="auto" w:fill="auto"/>
            <w:noWrap/>
            <w:vAlign w:val="center"/>
            <w:hideMark/>
          </w:tcPr>
          <w:p w14:paraId="2EAC9CE3" w14:textId="77777777" w:rsidR="00FB7A8C" w:rsidRPr="0055428F" w:rsidRDefault="00FB7A8C" w:rsidP="00FB7A8C">
            <w:pPr>
              <w:spacing w:after="0" w:line="240" w:lineRule="auto"/>
              <w:ind w:left="166"/>
              <w:rPr>
                <w:rFonts w:ascii="Times New Roman" w:eastAsia="Times New Roman" w:hAnsi="Times New Roman" w:cs="Times New Roman"/>
              </w:rPr>
            </w:pPr>
            <w:r w:rsidRPr="0055428F">
              <w:rPr>
                <w:rFonts w:ascii="Times New Roman" w:eastAsia="Times New Roman" w:hAnsi="Times New Roman" w:cs="Times New Roman"/>
              </w:rPr>
              <w:t>Animal-based</w:t>
            </w:r>
          </w:p>
        </w:tc>
        <w:tc>
          <w:tcPr>
            <w:tcW w:w="1530" w:type="dxa"/>
            <w:tcBorders>
              <w:top w:val="nil"/>
              <w:left w:val="nil"/>
              <w:bottom w:val="nil"/>
              <w:right w:val="nil"/>
            </w:tcBorders>
            <w:shd w:val="clear" w:color="auto" w:fill="auto"/>
            <w:noWrap/>
            <w:vAlign w:val="center"/>
            <w:hideMark/>
          </w:tcPr>
          <w:p w14:paraId="2F0B6BCF" w14:textId="77777777"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hAnsi="Times New Roman" w:cs="Times New Roman"/>
              </w:rPr>
              <w:t>6.29 ± 1.06</w:t>
            </w:r>
          </w:p>
        </w:tc>
        <w:tc>
          <w:tcPr>
            <w:tcW w:w="1674" w:type="dxa"/>
            <w:tcBorders>
              <w:top w:val="nil"/>
              <w:left w:val="nil"/>
              <w:bottom w:val="nil"/>
              <w:right w:val="nil"/>
            </w:tcBorders>
          </w:tcPr>
          <w:p w14:paraId="2F3F609E" w14:textId="535BD9AD"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eastAsia="Times New Roman" w:hAnsi="Times New Roman" w:cs="Times New Roman"/>
              </w:rPr>
              <w:t>-0.016 ± 0.022</w:t>
            </w:r>
          </w:p>
        </w:tc>
        <w:tc>
          <w:tcPr>
            <w:tcW w:w="990" w:type="dxa"/>
            <w:tcBorders>
              <w:top w:val="nil"/>
              <w:left w:val="nil"/>
              <w:bottom w:val="nil"/>
              <w:right w:val="nil"/>
            </w:tcBorders>
            <w:shd w:val="clear" w:color="auto" w:fill="auto"/>
          </w:tcPr>
          <w:p w14:paraId="2D6A5C99" w14:textId="01E74BEE"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eastAsia="Times New Roman" w:hAnsi="Times New Roman" w:cs="Times New Roman"/>
              </w:rPr>
              <w:t>0.46</w:t>
            </w:r>
          </w:p>
        </w:tc>
      </w:tr>
      <w:tr w:rsidR="0055428F" w:rsidRPr="0055428F" w14:paraId="189AF739" w14:textId="77777777" w:rsidTr="00FB7A8C">
        <w:trPr>
          <w:trHeight w:val="250"/>
        </w:trPr>
        <w:tc>
          <w:tcPr>
            <w:tcW w:w="3657" w:type="dxa"/>
            <w:tcBorders>
              <w:top w:val="nil"/>
              <w:left w:val="nil"/>
              <w:bottom w:val="nil"/>
              <w:right w:val="nil"/>
            </w:tcBorders>
            <w:shd w:val="clear" w:color="auto" w:fill="auto"/>
            <w:noWrap/>
            <w:vAlign w:val="center"/>
          </w:tcPr>
          <w:p w14:paraId="190BE84C" w14:textId="77777777" w:rsidR="00FB7A8C" w:rsidRPr="0055428F" w:rsidRDefault="00FB7A8C" w:rsidP="00AA3FD8">
            <w:pPr>
              <w:spacing w:after="0" w:line="240" w:lineRule="auto"/>
              <w:rPr>
                <w:rFonts w:ascii="Times New Roman" w:eastAsia="Times New Roman" w:hAnsi="Times New Roman" w:cs="Times New Roman"/>
              </w:rPr>
            </w:pPr>
            <w:r w:rsidRPr="0055428F">
              <w:rPr>
                <w:rFonts w:ascii="Times New Roman" w:hAnsi="Times New Roman" w:cs="Times New Roman"/>
              </w:rPr>
              <w:t>Polyunsaturated Fatty Acids</w:t>
            </w:r>
          </w:p>
        </w:tc>
        <w:tc>
          <w:tcPr>
            <w:tcW w:w="1530" w:type="dxa"/>
            <w:tcBorders>
              <w:top w:val="nil"/>
              <w:left w:val="nil"/>
              <w:bottom w:val="nil"/>
              <w:right w:val="nil"/>
            </w:tcBorders>
            <w:shd w:val="clear" w:color="auto" w:fill="auto"/>
            <w:noWrap/>
            <w:vAlign w:val="center"/>
          </w:tcPr>
          <w:p w14:paraId="78DB6AFF" w14:textId="77777777" w:rsidR="00FB7A8C" w:rsidRPr="0055428F" w:rsidRDefault="00FB7A8C" w:rsidP="00AA3FD8">
            <w:pPr>
              <w:spacing w:after="0" w:line="240" w:lineRule="auto"/>
              <w:jc w:val="center"/>
              <w:rPr>
                <w:rFonts w:ascii="Times New Roman" w:eastAsia="Times New Roman" w:hAnsi="Times New Roman" w:cs="Times New Roman"/>
              </w:rPr>
            </w:pPr>
          </w:p>
        </w:tc>
        <w:tc>
          <w:tcPr>
            <w:tcW w:w="1674" w:type="dxa"/>
            <w:tcBorders>
              <w:top w:val="nil"/>
              <w:left w:val="nil"/>
              <w:bottom w:val="nil"/>
              <w:right w:val="nil"/>
            </w:tcBorders>
            <w:vAlign w:val="center"/>
          </w:tcPr>
          <w:p w14:paraId="0C6B37D7" w14:textId="77777777" w:rsidR="00FB7A8C" w:rsidRPr="0055428F" w:rsidRDefault="00FB7A8C" w:rsidP="00AA3FD8">
            <w:pPr>
              <w:spacing w:after="0" w:line="240" w:lineRule="auto"/>
              <w:jc w:val="center"/>
              <w:rPr>
                <w:rFonts w:ascii="Times New Roman" w:eastAsia="Times New Roman" w:hAnsi="Times New Roman" w:cs="Times New Roman"/>
              </w:rPr>
            </w:pPr>
          </w:p>
        </w:tc>
        <w:tc>
          <w:tcPr>
            <w:tcW w:w="990" w:type="dxa"/>
            <w:tcBorders>
              <w:top w:val="nil"/>
              <w:left w:val="nil"/>
              <w:bottom w:val="nil"/>
              <w:right w:val="nil"/>
            </w:tcBorders>
            <w:shd w:val="clear" w:color="auto" w:fill="auto"/>
            <w:vAlign w:val="center"/>
          </w:tcPr>
          <w:p w14:paraId="0849F725" w14:textId="77777777" w:rsidR="00FB7A8C" w:rsidRPr="0055428F" w:rsidRDefault="00FB7A8C" w:rsidP="00AA3FD8">
            <w:pPr>
              <w:spacing w:after="0" w:line="240" w:lineRule="auto"/>
              <w:jc w:val="center"/>
              <w:rPr>
                <w:rFonts w:ascii="Times New Roman" w:eastAsia="Times New Roman" w:hAnsi="Times New Roman" w:cs="Times New Roman"/>
              </w:rPr>
            </w:pPr>
          </w:p>
        </w:tc>
      </w:tr>
      <w:tr w:rsidR="0055428F" w:rsidRPr="0055428F" w14:paraId="4A333A81" w14:textId="77777777" w:rsidTr="00FB7A8C">
        <w:trPr>
          <w:trHeight w:val="250"/>
        </w:trPr>
        <w:tc>
          <w:tcPr>
            <w:tcW w:w="3657" w:type="dxa"/>
            <w:tcBorders>
              <w:top w:val="nil"/>
              <w:left w:val="nil"/>
              <w:bottom w:val="nil"/>
              <w:right w:val="nil"/>
            </w:tcBorders>
            <w:shd w:val="clear" w:color="auto" w:fill="auto"/>
            <w:noWrap/>
            <w:vAlign w:val="center"/>
          </w:tcPr>
          <w:p w14:paraId="0C0B02B4" w14:textId="77777777" w:rsidR="00FB7A8C" w:rsidRPr="0055428F" w:rsidRDefault="00FB7A8C" w:rsidP="00FB7A8C">
            <w:pPr>
              <w:spacing w:after="0" w:line="240" w:lineRule="auto"/>
              <w:ind w:left="166"/>
              <w:rPr>
                <w:rFonts w:ascii="Times New Roman" w:eastAsia="Times New Roman" w:hAnsi="Times New Roman" w:cs="Times New Roman"/>
              </w:rPr>
            </w:pPr>
            <w:r w:rsidRPr="0055428F">
              <w:rPr>
                <w:rFonts w:ascii="Times New Roman" w:eastAsia="Times New Roman" w:hAnsi="Times New Roman" w:cs="Times New Roman"/>
              </w:rPr>
              <w:t>Linolenic acid</w:t>
            </w:r>
            <w:r w:rsidRPr="0055428F">
              <w:rPr>
                <w:rFonts w:ascii="Times New Roman" w:hAnsi="Times New Roman" w:cs="Times New Roman"/>
                <w:vertAlign w:val="superscript"/>
              </w:rPr>
              <w:t>‡</w:t>
            </w:r>
          </w:p>
        </w:tc>
        <w:tc>
          <w:tcPr>
            <w:tcW w:w="1530" w:type="dxa"/>
            <w:tcBorders>
              <w:top w:val="nil"/>
              <w:left w:val="nil"/>
              <w:bottom w:val="nil"/>
              <w:right w:val="nil"/>
            </w:tcBorders>
            <w:shd w:val="clear" w:color="auto" w:fill="auto"/>
            <w:noWrap/>
            <w:vAlign w:val="center"/>
          </w:tcPr>
          <w:p w14:paraId="1D736153" w14:textId="77777777"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eastAsia="Times New Roman" w:hAnsi="Times New Roman" w:cs="Times New Roman"/>
              </w:rPr>
              <w:t xml:space="preserve">0.65 </w:t>
            </w:r>
            <w:r w:rsidRPr="0055428F">
              <w:rPr>
                <w:rFonts w:ascii="Times New Roman" w:hAnsi="Times New Roman" w:cs="Times New Roman"/>
              </w:rPr>
              <w:t>± 0.12</w:t>
            </w:r>
          </w:p>
        </w:tc>
        <w:tc>
          <w:tcPr>
            <w:tcW w:w="1674" w:type="dxa"/>
            <w:tcBorders>
              <w:top w:val="nil"/>
              <w:left w:val="nil"/>
              <w:bottom w:val="nil"/>
              <w:right w:val="nil"/>
            </w:tcBorders>
          </w:tcPr>
          <w:p w14:paraId="5DA99B45" w14:textId="4AB402B7"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eastAsia="Times New Roman" w:hAnsi="Times New Roman" w:cs="Times New Roman"/>
              </w:rPr>
              <w:t>0.19 ± 0.11</w:t>
            </w:r>
          </w:p>
        </w:tc>
        <w:tc>
          <w:tcPr>
            <w:tcW w:w="990" w:type="dxa"/>
            <w:tcBorders>
              <w:top w:val="nil"/>
              <w:left w:val="nil"/>
              <w:bottom w:val="nil"/>
              <w:right w:val="nil"/>
            </w:tcBorders>
            <w:shd w:val="clear" w:color="auto" w:fill="auto"/>
          </w:tcPr>
          <w:p w14:paraId="4EB67F01" w14:textId="7C678AFA" w:rsidR="00FB7A8C" w:rsidRPr="0055428F" w:rsidRDefault="00FB7A8C" w:rsidP="00FB7A8C">
            <w:pPr>
              <w:spacing w:after="0" w:line="240" w:lineRule="auto"/>
              <w:jc w:val="center"/>
              <w:rPr>
                <w:rFonts w:ascii="Times New Roman" w:hAnsi="Times New Roman" w:cs="Times New Roman"/>
              </w:rPr>
            </w:pPr>
            <w:r w:rsidRPr="0055428F">
              <w:rPr>
                <w:rFonts w:ascii="Times New Roman" w:eastAsia="Times New Roman" w:hAnsi="Times New Roman" w:cs="Times New Roman"/>
              </w:rPr>
              <w:t>0.08</w:t>
            </w:r>
          </w:p>
        </w:tc>
      </w:tr>
      <w:tr w:rsidR="0055428F" w:rsidRPr="0055428F" w14:paraId="37A5285C" w14:textId="77777777" w:rsidTr="00FB7A8C">
        <w:trPr>
          <w:trHeight w:val="250"/>
        </w:trPr>
        <w:tc>
          <w:tcPr>
            <w:tcW w:w="3657" w:type="dxa"/>
            <w:tcBorders>
              <w:top w:val="nil"/>
              <w:left w:val="nil"/>
              <w:bottom w:val="nil"/>
              <w:right w:val="nil"/>
            </w:tcBorders>
            <w:shd w:val="clear" w:color="auto" w:fill="auto"/>
            <w:noWrap/>
            <w:vAlign w:val="center"/>
            <w:hideMark/>
          </w:tcPr>
          <w:p w14:paraId="2A584B58" w14:textId="77777777" w:rsidR="00FB7A8C" w:rsidRPr="0055428F" w:rsidRDefault="00FB7A8C" w:rsidP="00FB7A8C">
            <w:pPr>
              <w:spacing w:after="0" w:line="240" w:lineRule="auto"/>
              <w:ind w:left="166"/>
              <w:rPr>
                <w:rFonts w:ascii="Times New Roman" w:eastAsia="Times New Roman" w:hAnsi="Times New Roman" w:cs="Times New Roman"/>
              </w:rPr>
            </w:pPr>
            <w:r w:rsidRPr="0055428F">
              <w:rPr>
                <w:rFonts w:ascii="Times New Roman" w:eastAsia="Times New Roman" w:hAnsi="Times New Roman" w:cs="Times New Roman"/>
              </w:rPr>
              <w:t xml:space="preserve">Omega-3 </w:t>
            </w:r>
          </w:p>
        </w:tc>
        <w:tc>
          <w:tcPr>
            <w:tcW w:w="1530" w:type="dxa"/>
            <w:tcBorders>
              <w:top w:val="nil"/>
              <w:left w:val="nil"/>
              <w:bottom w:val="nil"/>
              <w:right w:val="nil"/>
            </w:tcBorders>
            <w:shd w:val="clear" w:color="auto" w:fill="auto"/>
            <w:noWrap/>
            <w:vAlign w:val="center"/>
          </w:tcPr>
          <w:p w14:paraId="184F38B3" w14:textId="77777777"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eastAsia="Times New Roman" w:hAnsi="Times New Roman" w:cs="Times New Roman"/>
              </w:rPr>
              <w:t xml:space="preserve">0.066 </w:t>
            </w:r>
            <w:r w:rsidRPr="0055428F">
              <w:rPr>
                <w:rFonts w:ascii="Times New Roman" w:hAnsi="Times New Roman" w:cs="Times New Roman"/>
              </w:rPr>
              <w:t>± 0.026</w:t>
            </w:r>
          </w:p>
        </w:tc>
        <w:tc>
          <w:tcPr>
            <w:tcW w:w="1674" w:type="dxa"/>
            <w:tcBorders>
              <w:top w:val="nil"/>
              <w:left w:val="nil"/>
              <w:bottom w:val="nil"/>
              <w:right w:val="nil"/>
            </w:tcBorders>
          </w:tcPr>
          <w:p w14:paraId="35239BE9" w14:textId="76D8F48D"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eastAsia="Times New Roman" w:hAnsi="Times New Roman" w:cs="Times New Roman"/>
              </w:rPr>
              <w:t>0.053 ± 0.67</w:t>
            </w:r>
          </w:p>
        </w:tc>
        <w:tc>
          <w:tcPr>
            <w:tcW w:w="990" w:type="dxa"/>
            <w:tcBorders>
              <w:top w:val="nil"/>
              <w:left w:val="nil"/>
              <w:bottom w:val="nil"/>
              <w:right w:val="nil"/>
            </w:tcBorders>
            <w:shd w:val="clear" w:color="auto" w:fill="auto"/>
          </w:tcPr>
          <w:p w14:paraId="3221040D" w14:textId="4F5764D0"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eastAsia="Times New Roman" w:hAnsi="Times New Roman" w:cs="Times New Roman"/>
              </w:rPr>
              <w:t>0.93</w:t>
            </w:r>
          </w:p>
        </w:tc>
      </w:tr>
      <w:tr w:rsidR="0055428F" w:rsidRPr="0055428F" w14:paraId="5F0CE46B" w14:textId="77777777" w:rsidTr="00FB7A8C">
        <w:trPr>
          <w:trHeight w:val="250"/>
        </w:trPr>
        <w:tc>
          <w:tcPr>
            <w:tcW w:w="3657" w:type="dxa"/>
            <w:tcBorders>
              <w:top w:val="nil"/>
              <w:left w:val="nil"/>
              <w:bottom w:val="nil"/>
              <w:right w:val="nil"/>
            </w:tcBorders>
            <w:shd w:val="clear" w:color="auto" w:fill="auto"/>
            <w:noWrap/>
            <w:vAlign w:val="center"/>
            <w:hideMark/>
          </w:tcPr>
          <w:p w14:paraId="560A2FC1" w14:textId="77777777" w:rsidR="00FB7A8C" w:rsidRPr="0055428F" w:rsidRDefault="00FB7A8C" w:rsidP="00FB7A8C">
            <w:pPr>
              <w:spacing w:after="0" w:line="240" w:lineRule="auto"/>
              <w:ind w:left="166"/>
              <w:rPr>
                <w:rFonts w:ascii="Times New Roman" w:eastAsia="Times New Roman" w:hAnsi="Times New Roman" w:cs="Times New Roman"/>
              </w:rPr>
            </w:pPr>
            <w:r w:rsidRPr="0055428F">
              <w:rPr>
                <w:rFonts w:ascii="Times New Roman" w:eastAsia="Times New Roman" w:hAnsi="Times New Roman" w:cs="Times New Roman"/>
              </w:rPr>
              <w:t xml:space="preserve">Omega-6 </w:t>
            </w:r>
          </w:p>
        </w:tc>
        <w:tc>
          <w:tcPr>
            <w:tcW w:w="1530" w:type="dxa"/>
            <w:tcBorders>
              <w:top w:val="nil"/>
              <w:left w:val="nil"/>
              <w:bottom w:val="nil"/>
              <w:right w:val="nil"/>
            </w:tcBorders>
            <w:shd w:val="clear" w:color="auto" w:fill="auto"/>
            <w:noWrap/>
            <w:vAlign w:val="center"/>
          </w:tcPr>
          <w:p w14:paraId="5FD6F340" w14:textId="77777777"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hAnsi="Times New Roman" w:cs="Times New Roman"/>
              </w:rPr>
              <w:t>6.08 ± 0.93</w:t>
            </w:r>
          </w:p>
        </w:tc>
        <w:tc>
          <w:tcPr>
            <w:tcW w:w="1674" w:type="dxa"/>
            <w:tcBorders>
              <w:top w:val="nil"/>
              <w:left w:val="nil"/>
              <w:bottom w:val="nil"/>
              <w:right w:val="nil"/>
            </w:tcBorders>
          </w:tcPr>
          <w:p w14:paraId="08483814" w14:textId="3783C479"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eastAsia="Times New Roman" w:hAnsi="Times New Roman" w:cs="Times New Roman"/>
              </w:rPr>
              <w:t>-0.027 ± 0.015</w:t>
            </w:r>
          </w:p>
        </w:tc>
        <w:tc>
          <w:tcPr>
            <w:tcW w:w="990" w:type="dxa"/>
            <w:tcBorders>
              <w:top w:val="nil"/>
              <w:left w:val="nil"/>
              <w:bottom w:val="nil"/>
              <w:right w:val="nil"/>
            </w:tcBorders>
            <w:shd w:val="clear" w:color="auto" w:fill="auto"/>
          </w:tcPr>
          <w:p w14:paraId="559C0F89" w14:textId="31C8F77A"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eastAsia="Times New Roman" w:hAnsi="Times New Roman" w:cs="Times New Roman"/>
              </w:rPr>
              <w:t>0.08</w:t>
            </w:r>
          </w:p>
        </w:tc>
      </w:tr>
      <w:tr w:rsidR="0055428F" w:rsidRPr="0055428F" w14:paraId="1A20D33E" w14:textId="77777777" w:rsidTr="00FB7A8C">
        <w:trPr>
          <w:trHeight w:val="250"/>
        </w:trPr>
        <w:tc>
          <w:tcPr>
            <w:tcW w:w="3657" w:type="dxa"/>
            <w:tcBorders>
              <w:top w:val="nil"/>
              <w:left w:val="nil"/>
              <w:bottom w:val="nil"/>
              <w:right w:val="nil"/>
            </w:tcBorders>
            <w:shd w:val="clear" w:color="auto" w:fill="auto"/>
            <w:noWrap/>
            <w:vAlign w:val="center"/>
          </w:tcPr>
          <w:p w14:paraId="0CA3BB0F" w14:textId="77777777" w:rsidR="00FB7A8C" w:rsidRPr="0055428F" w:rsidRDefault="00FB7A8C" w:rsidP="00AA3FD8">
            <w:pPr>
              <w:spacing w:after="0" w:line="240" w:lineRule="auto"/>
              <w:rPr>
                <w:rFonts w:ascii="Times New Roman" w:eastAsia="Times New Roman" w:hAnsi="Times New Roman" w:cs="Times New Roman"/>
              </w:rPr>
            </w:pPr>
            <w:r w:rsidRPr="0055428F">
              <w:rPr>
                <w:rFonts w:ascii="Times New Roman" w:hAnsi="Times New Roman" w:cs="Times New Roman"/>
                <w:i/>
                <w:iCs/>
              </w:rPr>
              <w:t>Trans</w:t>
            </w:r>
            <w:r w:rsidRPr="0055428F">
              <w:rPr>
                <w:rFonts w:ascii="Times New Roman" w:hAnsi="Times New Roman" w:cs="Times New Roman"/>
              </w:rPr>
              <w:t xml:space="preserve"> Fatty Acids</w:t>
            </w:r>
          </w:p>
        </w:tc>
        <w:tc>
          <w:tcPr>
            <w:tcW w:w="1530" w:type="dxa"/>
            <w:tcBorders>
              <w:top w:val="nil"/>
              <w:left w:val="nil"/>
              <w:bottom w:val="nil"/>
              <w:right w:val="nil"/>
            </w:tcBorders>
            <w:shd w:val="clear" w:color="auto" w:fill="auto"/>
            <w:noWrap/>
            <w:vAlign w:val="center"/>
          </w:tcPr>
          <w:p w14:paraId="004BEE4B" w14:textId="77777777" w:rsidR="00FB7A8C" w:rsidRPr="0055428F" w:rsidRDefault="00FB7A8C" w:rsidP="00AA3FD8">
            <w:pPr>
              <w:spacing w:after="0" w:line="240" w:lineRule="auto"/>
              <w:jc w:val="center"/>
              <w:rPr>
                <w:rFonts w:ascii="Times New Roman" w:eastAsia="Times New Roman" w:hAnsi="Times New Roman" w:cs="Times New Roman"/>
              </w:rPr>
            </w:pPr>
          </w:p>
        </w:tc>
        <w:tc>
          <w:tcPr>
            <w:tcW w:w="1674" w:type="dxa"/>
            <w:tcBorders>
              <w:top w:val="nil"/>
              <w:left w:val="nil"/>
              <w:bottom w:val="nil"/>
              <w:right w:val="nil"/>
            </w:tcBorders>
            <w:vAlign w:val="center"/>
          </w:tcPr>
          <w:p w14:paraId="5B6A28EA" w14:textId="77777777" w:rsidR="00FB7A8C" w:rsidRPr="0055428F" w:rsidRDefault="00FB7A8C" w:rsidP="00AA3FD8">
            <w:pPr>
              <w:spacing w:after="0" w:line="240" w:lineRule="auto"/>
              <w:jc w:val="center"/>
              <w:rPr>
                <w:rFonts w:ascii="Times New Roman" w:eastAsia="Times New Roman" w:hAnsi="Times New Roman" w:cs="Times New Roman"/>
              </w:rPr>
            </w:pPr>
          </w:p>
        </w:tc>
        <w:tc>
          <w:tcPr>
            <w:tcW w:w="990" w:type="dxa"/>
            <w:tcBorders>
              <w:top w:val="nil"/>
              <w:left w:val="nil"/>
              <w:bottom w:val="nil"/>
              <w:right w:val="nil"/>
            </w:tcBorders>
            <w:shd w:val="clear" w:color="auto" w:fill="auto"/>
            <w:vAlign w:val="center"/>
          </w:tcPr>
          <w:p w14:paraId="12B08D13" w14:textId="77777777" w:rsidR="00FB7A8C" w:rsidRPr="0055428F" w:rsidRDefault="00FB7A8C" w:rsidP="00AA3FD8">
            <w:pPr>
              <w:spacing w:after="0" w:line="240" w:lineRule="auto"/>
              <w:jc w:val="center"/>
              <w:rPr>
                <w:rFonts w:ascii="Times New Roman" w:eastAsia="Times New Roman" w:hAnsi="Times New Roman" w:cs="Times New Roman"/>
              </w:rPr>
            </w:pPr>
          </w:p>
        </w:tc>
      </w:tr>
      <w:tr w:rsidR="0055428F" w:rsidRPr="0055428F" w14:paraId="29619BB3" w14:textId="77777777" w:rsidTr="00FB7A8C">
        <w:trPr>
          <w:trHeight w:val="250"/>
        </w:trPr>
        <w:tc>
          <w:tcPr>
            <w:tcW w:w="3657" w:type="dxa"/>
            <w:tcBorders>
              <w:top w:val="nil"/>
              <w:left w:val="nil"/>
              <w:right w:val="nil"/>
            </w:tcBorders>
            <w:shd w:val="clear" w:color="auto" w:fill="auto"/>
            <w:noWrap/>
            <w:vAlign w:val="center"/>
            <w:hideMark/>
          </w:tcPr>
          <w:p w14:paraId="7854B3FB" w14:textId="77777777" w:rsidR="00FB7A8C" w:rsidRPr="0055428F" w:rsidRDefault="00FB7A8C" w:rsidP="00FB7A8C">
            <w:pPr>
              <w:spacing w:after="0" w:line="240" w:lineRule="auto"/>
              <w:ind w:left="166"/>
              <w:rPr>
                <w:rFonts w:ascii="Times New Roman" w:eastAsia="Times New Roman" w:hAnsi="Times New Roman" w:cs="Times New Roman"/>
              </w:rPr>
            </w:pPr>
            <w:r w:rsidRPr="0055428F">
              <w:rPr>
                <w:rFonts w:ascii="Times New Roman" w:eastAsia="Times New Roman" w:hAnsi="Times New Roman" w:cs="Times New Roman"/>
              </w:rPr>
              <w:t xml:space="preserve">Ruminant produced </w:t>
            </w:r>
          </w:p>
        </w:tc>
        <w:tc>
          <w:tcPr>
            <w:tcW w:w="1530" w:type="dxa"/>
            <w:tcBorders>
              <w:top w:val="nil"/>
              <w:left w:val="nil"/>
              <w:right w:val="nil"/>
            </w:tcBorders>
            <w:shd w:val="clear" w:color="auto" w:fill="auto"/>
            <w:noWrap/>
            <w:vAlign w:val="center"/>
            <w:hideMark/>
          </w:tcPr>
          <w:p w14:paraId="6489A8CE" w14:textId="77777777"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hAnsi="Times New Roman" w:cs="Times New Roman"/>
              </w:rPr>
              <w:t>0.016 ± 0.004</w:t>
            </w:r>
          </w:p>
        </w:tc>
        <w:tc>
          <w:tcPr>
            <w:tcW w:w="1674" w:type="dxa"/>
            <w:tcBorders>
              <w:top w:val="nil"/>
              <w:left w:val="nil"/>
              <w:right w:val="nil"/>
            </w:tcBorders>
          </w:tcPr>
          <w:p w14:paraId="6360DCE5" w14:textId="0FDF5EBC"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eastAsia="Times New Roman" w:hAnsi="Times New Roman" w:cs="Times New Roman"/>
              </w:rPr>
              <w:t>1.83 ± 2.84</w:t>
            </w:r>
          </w:p>
        </w:tc>
        <w:tc>
          <w:tcPr>
            <w:tcW w:w="990" w:type="dxa"/>
            <w:tcBorders>
              <w:top w:val="nil"/>
              <w:left w:val="nil"/>
              <w:right w:val="nil"/>
            </w:tcBorders>
            <w:shd w:val="clear" w:color="auto" w:fill="auto"/>
          </w:tcPr>
          <w:p w14:paraId="16071948" w14:textId="41F88CCB"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eastAsia="Times New Roman" w:hAnsi="Times New Roman" w:cs="Times New Roman"/>
              </w:rPr>
              <w:t>0.52</w:t>
            </w:r>
          </w:p>
        </w:tc>
      </w:tr>
      <w:tr w:rsidR="0055428F" w:rsidRPr="0055428F" w14:paraId="7076CCC1" w14:textId="77777777" w:rsidTr="00FB7A8C">
        <w:trPr>
          <w:trHeight w:val="72"/>
        </w:trPr>
        <w:tc>
          <w:tcPr>
            <w:tcW w:w="3657" w:type="dxa"/>
            <w:tcBorders>
              <w:top w:val="nil"/>
              <w:left w:val="nil"/>
              <w:bottom w:val="single" w:sz="4" w:space="0" w:color="auto"/>
              <w:right w:val="nil"/>
            </w:tcBorders>
            <w:shd w:val="clear" w:color="auto" w:fill="auto"/>
            <w:noWrap/>
            <w:vAlign w:val="center"/>
            <w:hideMark/>
          </w:tcPr>
          <w:p w14:paraId="209EF2E1" w14:textId="77777777" w:rsidR="00FB7A8C" w:rsidRPr="0055428F" w:rsidRDefault="00FB7A8C" w:rsidP="00FB7A8C">
            <w:pPr>
              <w:spacing w:after="0" w:line="240" w:lineRule="auto"/>
              <w:ind w:left="166"/>
              <w:rPr>
                <w:rFonts w:ascii="Times New Roman" w:eastAsia="Times New Roman" w:hAnsi="Times New Roman" w:cs="Times New Roman"/>
              </w:rPr>
            </w:pPr>
            <w:r w:rsidRPr="0055428F">
              <w:rPr>
                <w:rFonts w:ascii="Times New Roman" w:eastAsia="Times New Roman" w:hAnsi="Times New Roman" w:cs="Times New Roman"/>
              </w:rPr>
              <w:t>Industrially produced</w:t>
            </w:r>
          </w:p>
        </w:tc>
        <w:tc>
          <w:tcPr>
            <w:tcW w:w="1530" w:type="dxa"/>
            <w:tcBorders>
              <w:top w:val="nil"/>
              <w:left w:val="nil"/>
              <w:bottom w:val="single" w:sz="4" w:space="0" w:color="auto"/>
              <w:right w:val="nil"/>
            </w:tcBorders>
            <w:shd w:val="clear" w:color="auto" w:fill="auto"/>
            <w:noWrap/>
            <w:vAlign w:val="center"/>
            <w:hideMark/>
          </w:tcPr>
          <w:p w14:paraId="0CD854D8" w14:textId="77777777"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hAnsi="Times New Roman" w:cs="Times New Roman"/>
              </w:rPr>
              <w:t>1.15 ± 0.28</w:t>
            </w:r>
          </w:p>
        </w:tc>
        <w:tc>
          <w:tcPr>
            <w:tcW w:w="1674" w:type="dxa"/>
            <w:tcBorders>
              <w:top w:val="nil"/>
              <w:left w:val="nil"/>
              <w:bottom w:val="single" w:sz="4" w:space="0" w:color="auto"/>
              <w:right w:val="nil"/>
            </w:tcBorders>
          </w:tcPr>
          <w:p w14:paraId="2241FE9B" w14:textId="29F0E978"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eastAsia="Times New Roman" w:hAnsi="Times New Roman" w:cs="Times New Roman"/>
              </w:rPr>
              <w:t>0.11 ± 0.06</w:t>
            </w:r>
          </w:p>
        </w:tc>
        <w:tc>
          <w:tcPr>
            <w:tcW w:w="990" w:type="dxa"/>
            <w:tcBorders>
              <w:top w:val="nil"/>
              <w:left w:val="nil"/>
              <w:bottom w:val="single" w:sz="4" w:space="0" w:color="auto"/>
              <w:right w:val="nil"/>
            </w:tcBorders>
            <w:shd w:val="clear" w:color="auto" w:fill="auto"/>
          </w:tcPr>
          <w:p w14:paraId="58D14CA9" w14:textId="18ED51A2" w:rsidR="00FB7A8C" w:rsidRPr="0055428F" w:rsidRDefault="00FB7A8C" w:rsidP="00FB7A8C">
            <w:pPr>
              <w:spacing w:after="0" w:line="240" w:lineRule="auto"/>
              <w:jc w:val="center"/>
              <w:rPr>
                <w:rFonts w:ascii="Times New Roman" w:eastAsia="Times New Roman" w:hAnsi="Times New Roman" w:cs="Times New Roman"/>
              </w:rPr>
            </w:pPr>
            <w:r w:rsidRPr="0055428F">
              <w:rPr>
                <w:rFonts w:ascii="Times New Roman" w:eastAsia="Times New Roman" w:hAnsi="Times New Roman" w:cs="Times New Roman"/>
              </w:rPr>
              <w:t>0.08</w:t>
            </w:r>
          </w:p>
        </w:tc>
      </w:tr>
      <w:tr w:rsidR="00386B3F" w:rsidRPr="0055428F" w14:paraId="1D2FA32D" w14:textId="77777777" w:rsidTr="00FB7A8C">
        <w:trPr>
          <w:trHeight w:val="2441"/>
        </w:trPr>
        <w:tc>
          <w:tcPr>
            <w:tcW w:w="7851" w:type="dxa"/>
            <w:gridSpan w:val="4"/>
            <w:tcBorders>
              <w:top w:val="single" w:sz="4" w:space="0" w:color="auto"/>
              <w:left w:val="nil"/>
              <w:bottom w:val="nil"/>
              <w:right w:val="nil"/>
            </w:tcBorders>
          </w:tcPr>
          <w:p w14:paraId="1899EE65" w14:textId="330BBDF2" w:rsidR="00386B3F" w:rsidRPr="0055428F" w:rsidRDefault="00386B3F" w:rsidP="00AA3FD8">
            <w:pPr>
              <w:spacing w:after="0" w:line="240" w:lineRule="auto"/>
              <w:rPr>
                <w:rFonts w:ascii="Times New Roman" w:eastAsia="Times New Roman" w:hAnsi="Times New Roman" w:cs="Times New Roman"/>
              </w:rPr>
            </w:pPr>
            <w:r w:rsidRPr="0055428F">
              <w:rPr>
                <w:rFonts w:ascii="inherit" w:hAnsi="inherit" w:cs="Arial"/>
                <w:b/>
                <w:bCs/>
                <w:vertAlign w:val="superscript"/>
              </w:rPr>
              <w:t xml:space="preserve">† </w:t>
            </w:r>
            <w:r w:rsidRPr="0055428F">
              <w:rPr>
                <w:rFonts w:ascii="Times New Roman" w:eastAsia="Times New Roman" w:hAnsi="Times New Roman" w:cs="Times New Roman"/>
              </w:rPr>
              <w:t xml:space="preserve">Survey linear regression was used to mode the global cognitive function score (z-score) as a function of the fatty acid groupings. All fatty acid groups were expressed as a percent of total energy and included in the model simultaneously. </w:t>
            </w:r>
            <w:r w:rsidR="006623D8" w:rsidRPr="0055428F">
              <w:rPr>
                <w:rFonts w:ascii="Times New Roman" w:eastAsia="Times New Roman" w:hAnsi="Times New Roman" w:cs="Times New Roman"/>
              </w:rPr>
              <w:t>Proportions</w:t>
            </w:r>
            <w:r w:rsidRPr="0055428F">
              <w:rPr>
                <w:rFonts w:ascii="Times New Roman" w:eastAsia="Times New Roman" w:hAnsi="Times New Roman" w:cs="Times New Roman"/>
              </w:rPr>
              <w:t xml:space="preserve"> of energy from protein and alcohol were included as covariates along with age (years), sex (M/F), energy intake (kcals/d), physical activity (MET-min/d), education (&lt; high school, high school or equivalent, &gt; high school), Hispanic/Latino background (Central American, Cuban, Dominican, Mexican, Puerto Rican, South American, and multiple/other/missing), field site (Bronx, Chicago, Miami, San Diego), CES-D score, type 2 diabetes (y/n), CVD (y/n), current smoker (y/n), hypertension (y/n), and dietary intakes of fruits (servings/d/kcal), vegetables (servings/d/kcal), B12 (mg/d/kcal), B6 (mg/d/kcal), and niacin (mg/d/kcal). </w:t>
            </w:r>
          </w:p>
          <w:p w14:paraId="0840FA92" w14:textId="77777777" w:rsidR="00386B3F" w:rsidRPr="0055428F" w:rsidRDefault="00386B3F" w:rsidP="00AA3FD8">
            <w:pPr>
              <w:spacing w:after="0" w:line="240" w:lineRule="auto"/>
              <w:rPr>
                <w:rFonts w:ascii="Times New Roman" w:eastAsia="Times New Roman" w:hAnsi="Times New Roman" w:cs="Times New Roman"/>
              </w:rPr>
            </w:pPr>
            <w:r w:rsidRPr="0055428F">
              <w:rPr>
                <w:rFonts w:ascii="inherit" w:hAnsi="inherit" w:cs="Arial"/>
                <w:vertAlign w:val="superscript"/>
              </w:rPr>
              <w:t>‡</w:t>
            </w:r>
            <w:r w:rsidRPr="0055428F">
              <w:rPr>
                <w:rFonts w:ascii="Times New Roman" w:eastAsia="Times New Roman" w:hAnsi="Times New Roman" w:cs="Times New Roman"/>
              </w:rPr>
              <w:t xml:space="preserve">Linolenic acid includes alpha-linolenic acid and gamma-linolenic acid, an omega-3 and omega-6 fatty acid, respectively. </w:t>
            </w:r>
          </w:p>
          <w:p w14:paraId="645B49EB" w14:textId="02B303C2" w:rsidR="006623D8" w:rsidRPr="0055428F" w:rsidRDefault="006623D8" w:rsidP="00AA3FD8">
            <w:pPr>
              <w:spacing w:after="0" w:line="240" w:lineRule="auto"/>
              <w:rPr>
                <w:rFonts w:ascii="Times New Roman" w:eastAsia="Times New Roman" w:hAnsi="Times New Roman" w:cs="Times New Roman"/>
              </w:rPr>
            </w:pPr>
            <w:r w:rsidRPr="0055428F">
              <w:rPr>
                <w:rFonts w:ascii="inherit" w:hAnsi="inherit" w:cs="Arial"/>
                <w:vertAlign w:val="superscript"/>
              </w:rPr>
              <w:t>§</w:t>
            </w:r>
            <w:r w:rsidR="007C1374" w:rsidRPr="0055428F">
              <w:rPr>
                <w:rFonts w:ascii="Times New Roman" w:eastAsia="Times New Roman" w:hAnsi="Times New Roman" w:cs="Times New Roman"/>
              </w:rPr>
              <w:t>Regression coefficients represent the predicted change in global cognitive function (z-score) when the fatty acid subgroup increases by 1% of energy at the expense of an equal amount of energy from carbohydrates.</w:t>
            </w:r>
            <w:r w:rsidRPr="0055428F">
              <w:rPr>
                <w:rFonts w:ascii="Times New Roman" w:eastAsia="Times New Roman" w:hAnsi="Times New Roman" w:cs="Times New Roman"/>
              </w:rPr>
              <w:t xml:space="preserve"> </w:t>
            </w:r>
          </w:p>
        </w:tc>
      </w:tr>
    </w:tbl>
    <w:p w14:paraId="1DCF5D70" w14:textId="77777777" w:rsidR="00FB7A8C" w:rsidRPr="0055428F" w:rsidRDefault="00FB7A8C">
      <w:pPr>
        <w:rPr>
          <w:rFonts w:ascii="Times New Roman" w:hAnsi="Times New Roman" w:cs="Times New Roman"/>
        </w:rPr>
      </w:pPr>
    </w:p>
    <w:p w14:paraId="21533D42" w14:textId="3129708B" w:rsidR="00216570" w:rsidRPr="0055428F" w:rsidRDefault="00216570">
      <w:pPr>
        <w:rPr>
          <w:rFonts w:ascii="Times New Roman" w:hAnsi="Times New Roman" w:cs="Times New Roman"/>
        </w:rPr>
      </w:pPr>
      <w:r w:rsidRPr="0055428F">
        <w:rPr>
          <w:rFonts w:ascii="Times New Roman" w:hAnsi="Times New Roman" w:cs="Times New Roman"/>
        </w:rPr>
        <w:br w:type="page"/>
      </w:r>
    </w:p>
    <w:p w14:paraId="2D7B14C8" w14:textId="0C434FD4" w:rsidR="00506904" w:rsidRPr="0055428F" w:rsidRDefault="00506904">
      <w:pPr>
        <w:rPr>
          <w:rFonts w:ascii="Times New Roman" w:hAnsi="Times New Roman" w:cs="Times New Roman"/>
        </w:rPr>
      </w:pPr>
    </w:p>
    <w:p w14:paraId="5979FB9B" w14:textId="77777777" w:rsidR="00D71628" w:rsidRPr="0055428F" w:rsidRDefault="00D71628">
      <w:pPr>
        <w:rPr>
          <w:rFonts w:ascii="Times New Roman" w:hAnsi="Times New Roman" w:cs="Times New Roman"/>
        </w:rPr>
      </w:pPr>
    </w:p>
    <w:tbl>
      <w:tblPr>
        <w:tblpPr w:leftFromText="180" w:rightFromText="180" w:vertAnchor="page" w:horzAnchor="margin" w:tblpY="1143"/>
        <w:tblW w:w="7290" w:type="dxa"/>
        <w:tblLook w:val="04A0" w:firstRow="1" w:lastRow="0" w:firstColumn="1" w:lastColumn="0" w:noHBand="0" w:noVBand="1"/>
      </w:tblPr>
      <w:tblGrid>
        <w:gridCol w:w="5310"/>
        <w:gridCol w:w="1980"/>
      </w:tblGrid>
      <w:tr w:rsidR="0055428F" w:rsidRPr="0055428F" w14:paraId="7B3E70EC" w14:textId="77777777" w:rsidTr="00433E77">
        <w:trPr>
          <w:trHeight w:val="716"/>
        </w:trPr>
        <w:tc>
          <w:tcPr>
            <w:tcW w:w="7290" w:type="dxa"/>
            <w:gridSpan w:val="2"/>
            <w:tcBorders>
              <w:top w:val="nil"/>
              <w:left w:val="nil"/>
              <w:bottom w:val="single" w:sz="4" w:space="0" w:color="auto"/>
              <w:right w:val="nil"/>
            </w:tcBorders>
            <w:shd w:val="clear" w:color="auto" w:fill="auto"/>
            <w:vAlign w:val="bottom"/>
            <w:hideMark/>
          </w:tcPr>
          <w:p w14:paraId="320169A3" w14:textId="57FE8D81"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eastAsia="Times New Roman" w:hAnsi="Times New Roman" w:cs="Times New Roman"/>
                <w:b/>
                <w:bCs/>
              </w:rPr>
              <w:t xml:space="preserve">Supplementary Table </w:t>
            </w:r>
            <w:r w:rsidR="00A4368B" w:rsidRPr="0055428F">
              <w:rPr>
                <w:rFonts w:ascii="Times New Roman" w:eastAsia="Times New Roman" w:hAnsi="Times New Roman" w:cs="Times New Roman"/>
                <w:b/>
                <w:bCs/>
              </w:rPr>
              <w:t>8</w:t>
            </w:r>
            <w:r w:rsidRPr="0055428F">
              <w:rPr>
                <w:rFonts w:ascii="Times New Roman" w:eastAsia="Times New Roman" w:hAnsi="Times New Roman" w:cs="Times New Roman"/>
                <w:b/>
                <w:bCs/>
              </w:rPr>
              <w:t>.</w:t>
            </w:r>
            <w:r w:rsidRPr="0055428F">
              <w:rPr>
                <w:rFonts w:ascii="Times New Roman" w:eastAsia="Times New Roman" w:hAnsi="Times New Roman" w:cs="Times New Roman"/>
              </w:rPr>
              <w:t xml:space="preserve"> Top foods that contribute to milk, cheese &amp; related products, animal fat, and miscellaneous grain recipes food categories</w:t>
            </w:r>
            <w:r w:rsidRPr="0055428F">
              <w:rPr>
                <w:rFonts w:ascii="Times New Roman" w:eastAsia="Times New Roman" w:hAnsi="Times New Roman" w:cs="Times New Roman"/>
                <w:vertAlign w:val="superscript"/>
              </w:rPr>
              <w:t>1</w:t>
            </w:r>
          </w:p>
        </w:tc>
      </w:tr>
      <w:tr w:rsidR="0055428F" w:rsidRPr="0055428F" w14:paraId="10BD84ED" w14:textId="77777777" w:rsidTr="00433E77">
        <w:trPr>
          <w:trHeight w:val="300"/>
        </w:trPr>
        <w:tc>
          <w:tcPr>
            <w:tcW w:w="5310" w:type="dxa"/>
            <w:tcBorders>
              <w:top w:val="nil"/>
              <w:left w:val="nil"/>
              <w:bottom w:val="single" w:sz="4" w:space="0" w:color="auto"/>
              <w:right w:val="nil"/>
            </w:tcBorders>
            <w:shd w:val="clear" w:color="auto" w:fill="auto"/>
            <w:noWrap/>
            <w:vAlign w:val="center"/>
            <w:hideMark/>
          </w:tcPr>
          <w:p w14:paraId="257EFE5B" w14:textId="77777777" w:rsidR="00433E77" w:rsidRPr="0055428F" w:rsidRDefault="00433E77" w:rsidP="00433E77">
            <w:pPr>
              <w:spacing w:after="0" w:line="240" w:lineRule="auto"/>
              <w:rPr>
                <w:rFonts w:ascii="Times New Roman" w:eastAsia="Times New Roman" w:hAnsi="Times New Roman" w:cs="Times New Roman"/>
                <w:b/>
                <w:bCs/>
              </w:rPr>
            </w:pPr>
            <w:r w:rsidRPr="0055428F">
              <w:rPr>
                <w:rFonts w:ascii="Times New Roman" w:eastAsia="Times New Roman" w:hAnsi="Times New Roman" w:cs="Times New Roman"/>
                <w:b/>
                <w:bCs/>
              </w:rPr>
              <w:t xml:space="preserve">Foods </w:t>
            </w:r>
          </w:p>
        </w:tc>
        <w:tc>
          <w:tcPr>
            <w:tcW w:w="1980" w:type="dxa"/>
            <w:tcBorders>
              <w:top w:val="nil"/>
              <w:left w:val="nil"/>
              <w:bottom w:val="single" w:sz="4" w:space="0" w:color="auto"/>
              <w:right w:val="nil"/>
            </w:tcBorders>
            <w:shd w:val="clear" w:color="auto" w:fill="auto"/>
            <w:noWrap/>
            <w:vAlign w:val="center"/>
            <w:hideMark/>
          </w:tcPr>
          <w:p w14:paraId="13F09CD6" w14:textId="77777777" w:rsidR="00433E77" w:rsidRPr="0055428F" w:rsidRDefault="00433E77" w:rsidP="00433E77">
            <w:pPr>
              <w:spacing w:after="0" w:line="240" w:lineRule="auto"/>
              <w:rPr>
                <w:rFonts w:ascii="Times New Roman" w:eastAsia="Times New Roman" w:hAnsi="Times New Roman" w:cs="Times New Roman"/>
                <w:b/>
                <w:bCs/>
              </w:rPr>
            </w:pPr>
            <w:r w:rsidRPr="0055428F">
              <w:rPr>
                <w:rFonts w:ascii="Times New Roman" w:eastAsia="Times New Roman" w:hAnsi="Times New Roman" w:cs="Times New Roman"/>
                <w:b/>
                <w:bCs/>
              </w:rPr>
              <w:t>Contribution to energy, %</w:t>
            </w:r>
          </w:p>
        </w:tc>
      </w:tr>
      <w:tr w:rsidR="0055428F" w:rsidRPr="0055428F" w14:paraId="32479317" w14:textId="77777777" w:rsidTr="00433E77">
        <w:trPr>
          <w:trHeight w:val="20"/>
        </w:trPr>
        <w:tc>
          <w:tcPr>
            <w:tcW w:w="7290" w:type="dxa"/>
            <w:gridSpan w:val="2"/>
            <w:tcBorders>
              <w:top w:val="nil"/>
              <w:left w:val="nil"/>
              <w:bottom w:val="nil"/>
              <w:right w:val="nil"/>
            </w:tcBorders>
            <w:shd w:val="clear" w:color="auto" w:fill="auto"/>
            <w:noWrap/>
            <w:vAlign w:val="center"/>
            <w:hideMark/>
          </w:tcPr>
          <w:p w14:paraId="51A14101" w14:textId="77777777" w:rsidR="00433E77" w:rsidRPr="0055428F" w:rsidRDefault="00433E77" w:rsidP="00433E77">
            <w:pPr>
              <w:spacing w:after="0" w:line="240" w:lineRule="auto"/>
              <w:rPr>
                <w:rFonts w:ascii="Times New Roman" w:eastAsia="Times New Roman" w:hAnsi="Times New Roman" w:cs="Times New Roman"/>
                <w:b/>
                <w:bCs/>
              </w:rPr>
            </w:pPr>
            <w:r w:rsidRPr="0055428F">
              <w:rPr>
                <w:rFonts w:ascii="Times New Roman" w:eastAsia="Times New Roman" w:hAnsi="Times New Roman" w:cs="Times New Roman"/>
                <w:b/>
                <w:bCs/>
              </w:rPr>
              <w:t>Milk, cheese, &amp; related products</w:t>
            </w:r>
          </w:p>
        </w:tc>
      </w:tr>
      <w:tr w:rsidR="0055428F" w:rsidRPr="0055428F" w14:paraId="0901A265" w14:textId="77777777" w:rsidTr="00433E77">
        <w:trPr>
          <w:trHeight w:val="20"/>
        </w:trPr>
        <w:tc>
          <w:tcPr>
            <w:tcW w:w="5310" w:type="dxa"/>
            <w:tcBorders>
              <w:top w:val="nil"/>
              <w:left w:val="nil"/>
              <w:bottom w:val="nil"/>
              <w:right w:val="nil"/>
            </w:tcBorders>
            <w:shd w:val="clear" w:color="auto" w:fill="auto"/>
            <w:hideMark/>
          </w:tcPr>
          <w:p w14:paraId="7EE29705"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hAnsi="Times New Roman" w:cs="Times New Roman"/>
              </w:rPr>
              <w:t>Milk, reduced fat</w:t>
            </w:r>
          </w:p>
        </w:tc>
        <w:tc>
          <w:tcPr>
            <w:tcW w:w="1980" w:type="dxa"/>
            <w:tcBorders>
              <w:top w:val="nil"/>
              <w:left w:val="nil"/>
              <w:bottom w:val="nil"/>
              <w:right w:val="nil"/>
            </w:tcBorders>
            <w:shd w:val="clear" w:color="auto" w:fill="auto"/>
            <w:hideMark/>
          </w:tcPr>
          <w:p w14:paraId="55C88776"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hAnsi="Times New Roman" w:cs="Times New Roman"/>
              </w:rPr>
              <w:t>26.6</w:t>
            </w:r>
          </w:p>
        </w:tc>
      </w:tr>
      <w:tr w:rsidR="0055428F" w:rsidRPr="0055428F" w14:paraId="7F36EDE0" w14:textId="77777777" w:rsidTr="00433E77">
        <w:trPr>
          <w:trHeight w:val="20"/>
        </w:trPr>
        <w:tc>
          <w:tcPr>
            <w:tcW w:w="5310" w:type="dxa"/>
            <w:tcBorders>
              <w:top w:val="nil"/>
              <w:left w:val="nil"/>
              <w:bottom w:val="nil"/>
              <w:right w:val="nil"/>
            </w:tcBorders>
            <w:shd w:val="clear" w:color="auto" w:fill="auto"/>
            <w:hideMark/>
          </w:tcPr>
          <w:p w14:paraId="1EBFBF15"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hAnsi="Times New Roman" w:cs="Times New Roman"/>
              </w:rPr>
              <w:t>Cheese, regular fat</w:t>
            </w:r>
          </w:p>
        </w:tc>
        <w:tc>
          <w:tcPr>
            <w:tcW w:w="1980" w:type="dxa"/>
            <w:tcBorders>
              <w:top w:val="nil"/>
              <w:left w:val="nil"/>
              <w:bottom w:val="nil"/>
              <w:right w:val="nil"/>
            </w:tcBorders>
            <w:shd w:val="clear" w:color="auto" w:fill="auto"/>
            <w:hideMark/>
          </w:tcPr>
          <w:p w14:paraId="3D12398F"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hAnsi="Times New Roman" w:cs="Times New Roman"/>
              </w:rPr>
              <w:t>17.4</w:t>
            </w:r>
          </w:p>
        </w:tc>
      </w:tr>
      <w:tr w:rsidR="0055428F" w:rsidRPr="0055428F" w14:paraId="09EC8325" w14:textId="77777777" w:rsidTr="00433E77">
        <w:trPr>
          <w:trHeight w:val="20"/>
        </w:trPr>
        <w:tc>
          <w:tcPr>
            <w:tcW w:w="5310" w:type="dxa"/>
            <w:tcBorders>
              <w:top w:val="nil"/>
              <w:left w:val="nil"/>
              <w:bottom w:val="nil"/>
              <w:right w:val="nil"/>
            </w:tcBorders>
            <w:shd w:val="clear" w:color="auto" w:fill="auto"/>
            <w:hideMark/>
          </w:tcPr>
          <w:p w14:paraId="79509CCA"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hAnsi="Times New Roman" w:cs="Times New Roman"/>
              </w:rPr>
              <w:t>Milk, regular fat</w:t>
            </w:r>
          </w:p>
        </w:tc>
        <w:tc>
          <w:tcPr>
            <w:tcW w:w="1980" w:type="dxa"/>
            <w:tcBorders>
              <w:top w:val="nil"/>
              <w:left w:val="nil"/>
              <w:bottom w:val="nil"/>
              <w:right w:val="nil"/>
            </w:tcBorders>
            <w:shd w:val="clear" w:color="auto" w:fill="auto"/>
            <w:hideMark/>
          </w:tcPr>
          <w:p w14:paraId="249BD94F"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hAnsi="Times New Roman" w:cs="Times New Roman"/>
              </w:rPr>
              <w:t>16.9</w:t>
            </w:r>
          </w:p>
        </w:tc>
      </w:tr>
      <w:tr w:rsidR="0055428F" w:rsidRPr="0055428F" w14:paraId="6F53A0CE" w14:textId="77777777" w:rsidTr="00433E77">
        <w:trPr>
          <w:trHeight w:val="20"/>
        </w:trPr>
        <w:tc>
          <w:tcPr>
            <w:tcW w:w="5310" w:type="dxa"/>
            <w:tcBorders>
              <w:top w:val="nil"/>
              <w:left w:val="nil"/>
              <w:bottom w:val="nil"/>
              <w:right w:val="nil"/>
            </w:tcBorders>
            <w:shd w:val="clear" w:color="auto" w:fill="auto"/>
            <w:hideMark/>
          </w:tcPr>
          <w:p w14:paraId="516FD4F1"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hAnsi="Times New Roman" w:cs="Times New Roman"/>
              </w:rPr>
              <w:t>Ice cream or shake, regular fat</w:t>
            </w:r>
          </w:p>
        </w:tc>
        <w:tc>
          <w:tcPr>
            <w:tcW w:w="1980" w:type="dxa"/>
            <w:tcBorders>
              <w:top w:val="nil"/>
              <w:left w:val="nil"/>
              <w:bottom w:val="nil"/>
              <w:right w:val="nil"/>
            </w:tcBorders>
            <w:shd w:val="clear" w:color="auto" w:fill="auto"/>
            <w:hideMark/>
          </w:tcPr>
          <w:p w14:paraId="4A490BB9"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hAnsi="Times New Roman" w:cs="Times New Roman"/>
              </w:rPr>
              <w:t>11.5</w:t>
            </w:r>
          </w:p>
        </w:tc>
      </w:tr>
      <w:tr w:rsidR="0055428F" w:rsidRPr="0055428F" w14:paraId="46890DBA" w14:textId="77777777" w:rsidTr="00433E77">
        <w:trPr>
          <w:trHeight w:val="20"/>
        </w:trPr>
        <w:tc>
          <w:tcPr>
            <w:tcW w:w="5310" w:type="dxa"/>
            <w:tcBorders>
              <w:top w:val="nil"/>
              <w:left w:val="nil"/>
              <w:bottom w:val="nil"/>
              <w:right w:val="nil"/>
            </w:tcBorders>
            <w:shd w:val="clear" w:color="auto" w:fill="auto"/>
            <w:hideMark/>
          </w:tcPr>
          <w:p w14:paraId="764CEE8D"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hAnsi="Times New Roman" w:cs="Times New Roman"/>
              </w:rPr>
              <w:t>Yogurt, regular fat</w:t>
            </w:r>
          </w:p>
        </w:tc>
        <w:tc>
          <w:tcPr>
            <w:tcW w:w="1980" w:type="dxa"/>
            <w:tcBorders>
              <w:top w:val="nil"/>
              <w:left w:val="nil"/>
              <w:bottom w:val="nil"/>
              <w:right w:val="nil"/>
            </w:tcBorders>
            <w:shd w:val="clear" w:color="auto" w:fill="auto"/>
            <w:hideMark/>
          </w:tcPr>
          <w:p w14:paraId="006890D6"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hAnsi="Times New Roman" w:cs="Times New Roman"/>
              </w:rPr>
              <w:t>5.3</w:t>
            </w:r>
          </w:p>
        </w:tc>
      </w:tr>
      <w:tr w:rsidR="0055428F" w:rsidRPr="0055428F" w14:paraId="24EEF897" w14:textId="77777777" w:rsidTr="00433E77">
        <w:trPr>
          <w:trHeight w:val="20"/>
        </w:trPr>
        <w:tc>
          <w:tcPr>
            <w:tcW w:w="5310" w:type="dxa"/>
            <w:tcBorders>
              <w:top w:val="nil"/>
              <w:left w:val="nil"/>
              <w:bottom w:val="nil"/>
              <w:right w:val="nil"/>
            </w:tcBorders>
            <w:shd w:val="clear" w:color="auto" w:fill="auto"/>
            <w:noWrap/>
            <w:vAlign w:val="center"/>
            <w:hideMark/>
          </w:tcPr>
          <w:p w14:paraId="12E063F4" w14:textId="77777777" w:rsidR="00433E77" w:rsidRPr="0055428F" w:rsidRDefault="00433E77" w:rsidP="00433E77">
            <w:pPr>
              <w:spacing w:after="0" w:line="240" w:lineRule="auto"/>
              <w:rPr>
                <w:rFonts w:ascii="Times New Roman" w:eastAsia="Times New Roman" w:hAnsi="Times New Roman" w:cs="Times New Roman"/>
              </w:rPr>
            </w:pPr>
          </w:p>
        </w:tc>
        <w:tc>
          <w:tcPr>
            <w:tcW w:w="1980" w:type="dxa"/>
            <w:tcBorders>
              <w:top w:val="nil"/>
              <w:left w:val="nil"/>
              <w:bottom w:val="nil"/>
              <w:right w:val="nil"/>
            </w:tcBorders>
            <w:shd w:val="clear" w:color="auto" w:fill="auto"/>
            <w:noWrap/>
            <w:vAlign w:val="center"/>
            <w:hideMark/>
          </w:tcPr>
          <w:p w14:paraId="45673F2A" w14:textId="77777777" w:rsidR="00433E77" w:rsidRPr="0055428F" w:rsidRDefault="00433E77" w:rsidP="00433E77">
            <w:pPr>
              <w:spacing w:after="0" w:line="240" w:lineRule="auto"/>
              <w:rPr>
                <w:rFonts w:ascii="Times New Roman" w:eastAsia="Times New Roman" w:hAnsi="Times New Roman" w:cs="Times New Roman"/>
                <w:sz w:val="20"/>
                <w:szCs w:val="20"/>
              </w:rPr>
            </w:pPr>
          </w:p>
        </w:tc>
      </w:tr>
      <w:tr w:rsidR="0055428F" w:rsidRPr="0055428F" w14:paraId="7B121243" w14:textId="77777777" w:rsidTr="00433E77">
        <w:trPr>
          <w:trHeight w:val="20"/>
        </w:trPr>
        <w:tc>
          <w:tcPr>
            <w:tcW w:w="7290" w:type="dxa"/>
            <w:gridSpan w:val="2"/>
            <w:tcBorders>
              <w:top w:val="nil"/>
              <w:left w:val="nil"/>
              <w:bottom w:val="nil"/>
              <w:right w:val="nil"/>
            </w:tcBorders>
            <w:shd w:val="clear" w:color="auto" w:fill="auto"/>
            <w:noWrap/>
            <w:vAlign w:val="center"/>
            <w:hideMark/>
          </w:tcPr>
          <w:p w14:paraId="2B33BE23" w14:textId="77777777" w:rsidR="00433E77" w:rsidRPr="0055428F" w:rsidRDefault="00433E77" w:rsidP="00433E77">
            <w:pPr>
              <w:spacing w:after="0" w:line="240" w:lineRule="auto"/>
              <w:rPr>
                <w:rFonts w:ascii="Times New Roman" w:eastAsia="Times New Roman" w:hAnsi="Times New Roman" w:cs="Times New Roman"/>
                <w:b/>
                <w:bCs/>
              </w:rPr>
            </w:pPr>
            <w:r w:rsidRPr="0055428F">
              <w:rPr>
                <w:rFonts w:ascii="Times New Roman" w:eastAsia="Times New Roman" w:hAnsi="Times New Roman" w:cs="Times New Roman"/>
                <w:b/>
                <w:bCs/>
              </w:rPr>
              <w:t>Animal fat</w:t>
            </w:r>
            <w:r w:rsidRPr="0055428F">
              <w:rPr>
                <w:rFonts w:ascii="Times New Roman" w:eastAsia="Times New Roman" w:hAnsi="Times New Roman" w:cs="Times New Roman"/>
                <w:b/>
                <w:bCs/>
                <w:vertAlign w:val="superscript"/>
              </w:rPr>
              <w:t>2</w:t>
            </w:r>
          </w:p>
        </w:tc>
      </w:tr>
      <w:tr w:rsidR="0055428F" w:rsidRPr="0055428F" w14:paraId="1F9322F0" w14:textId="77777777" w:rsidTr="00433E77">
        <w:trPr>
          <w:trHeight w:val="20"/>
        </w:trPr>
        <w:tc>
          <w:tcPr>
            <w:tcW w:w="5310" w:type="dxa"/>
            <w:tcBorders>
              <w:top w:val="nil"/>
              <w:left w:val="nil"/>
              <w:bottom w:val="nil"/>
              <w:right w:val="nil"/>
            </w:tcBorders>
            <w:shd w:val="clear" w:color="auto" w:fill="auto"/>
            <w:vAlign w:val="center"/>
            <w:hideMark/>
          </w:tcPr>
          <w:p w14:paraId="7F539477"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eastAsia="Times New Roman" w:hAnsi="Times New Roman" w:cs="Times New Roman"/>
              </w:rPr>
              <w:t>Butter, regular</w:t>
            </w:r>
          </w:p>
        </w:tc>
        <w:tc>
          <w:tcPr>
            <w:tcW w:w="1980" w:type="dxa"/>
            <w:tcBorders>
              <w:top w:val="nil"/>
              <w:left w:val="nil"/>
              <w:bottom w:val="nil"/>
              <w:right w:val="nil"/>
            </w:tcBorders>
            <w:shd w:val="clear" w:color="auto" w:fill="auto"/>
            <w:vAlign w:val="center"/>
            <w:hideMark/>
          </w:tcPr>
          <w:p w14:paraId="44738A72"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eastAsia="Times New Roman" w:hAnsi="Times New Roman" w:cs="Times New Roman"/>
              </w:rPr>
              <w:t>92.6</w:t>
            </w:r>
          </w:p>
        </w:tc>
      </w:tr>
      <w:tr w:rsidR="0055428F" w:rsidRPr="0055428F" w14:paraId="287449B9" w14:textId="77777777" w:rsidTr="00433E77">
        <w:trPr>
          <w:trHeight w:val="20"/>
        </w:trPr>
        <w:tc>
          <w:tcPr>
            <w:tcW w:w="5310" w:type="dxa"/>
            <w:tcBorders>
              <w:top w:val="nil"/>
              <w:left w:val="nil"/>
              <w:bottom w:val="nil"/>
              <w:right w:val="nil"/>
            </w:tcBorders>
            <w:shd w:val="clear" w:color="auto" w:fill="auto"/>
            <w:vAlign w:val="center"/>
            <w:hideMark/>
          </w:tcPr>
          <w:p w14:paraId="6AB01DC3"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eastAsia="Times New Roman" w:hAnsi="Times New Roman" w:cs="Times New Roman"/>
              </w:rPr>
              <w:t>Butter, light</w:t>
            </w:r>
          </w:p>
        </w:tc>
        <w:tc>
          <w:tcPr>
            <w:tcW w:w="1980" w:type="dxa"/>
            <w:tcBorders>
              <w:top w:val="nil"/>
              <w:left w:val="nil"/>
              <w:bottom w:val="nil"/>
              <w:right w:val="nil"/>
            </w:tcBorders>
            <w:shd w:val="clear" w:color="auto" w:fill="auto"/>
            <w:vAlign w:val="center"/>
            <w:hideMark/>
          </w:tcPr>
          <w:p w14:paraId="0172B41C"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eastAsia="Times New Roman" w:hAnsi="Times New Roman" w:cs="Times New Roman"/>
              </w:rPr>
              <w:t>6.6</w:t>
            </w:r>
          </w:p>
        </w:tc>
      </w:tr>
      <w:tr w:rsidR="0055428F" w:rsidRPr="0055428F" w14:paraId="7AD3E831" w14:textId="77777777" w:rsidTr="00433E77">
        <w:trPr>
          <w:trHeight w:val="20"/>
        </w:trPr>
        <w:tc>
          <w:tcPr>
            <w:tcW w:w="5310" w:type="dxa"/>
            <w:tcBorders>
              <w:top w:val="nil"/>
              <w:left w:val="nil"/>
              <w:bottom w:val="nil"/>
              <w:right w:val="nil"/>
            </w:tcBorders>
            <w:shd w:val="clear" w:color="auto" w:fill="auto"/>
            <w:vAlign w:val="center"/>
            <w:hideMark/>
          </w:tcPr>
          <w:p w14:paraId="103D16DA"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eastAsia="Times New Roman" w:hAnsi="Times New Roman" w:cs="Times New Roman"/>
              </w:rPr>
              <w:t>Lard</w:t>
            </w:r>
          </w:p>
        </w:tc>
        <w:tc>
          <w:tcPr>
            <w:tcW w:w="1980" w:type="dxa"/>
            <w:tcBorders>
              <w:top w:val="nil"/>
              <w:left w:val="nil"/>
              <w:bottom w:val="nil"/>
              <w:right w:val="nil"/>
            </w:tcBorders>
            <w:shd w:val="clear" w:color="auto" w:fill="auto"/>
            <w:vAlign w:val="center"/>
            <w:hideMark/>
          </w:tcPr>
          <w:p w14:paraId="12A2639B"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eastAsia="Times New Roman" w:hAnsi="Times New Roman" w:cs="Times New Roman"/>
              </w:rPr>
              <w:t>0.8</w:t>
            </w:r>
          </w:p>
        </w:tc>
      </w:tr>
      <w:tr w:rsidR="0055428F" w:rsidRPr="0055428F" w14:paraId="1ACA6CB1" w14:textId="77777777" w:rsidTr="00433E77">
        <w:trPr>
          <w:trHeight w:val="20"/>
        </w:trPr>
        <w:tc>
          <w:tcPr>
            <w:tcW w:w="5310" w:type="dxa"/>
            <w:tcBorders>
              <w:top w:val="nil"/>
              <w:left w:val="nil"/>
              <w:bottom w:val="nil"/>
              <w:right w:val="nil"/>
            </w:tcBorders>
            <w:shd w:val="clear" w:color="auto" w:fill="auto"/>
            <w:noWrap/>
            <w:vAlign w:val="center"/>
            <w:hideMark/>
          </w:tcPr>
          <w:p w14:paraId="2E7F8ECF" w14:textId="77777777" w:rsidR="00433E77" w:rsidRPr="0055428F" w:rsidRDefault="00433E77" w:rsidP="00433E77">
            <w:pPr>
              <w:spacing w:after="0" w:line="240" w:lineRule="auto"/>
              <w:rPr>
                <w:rFonts w:ascii="Times New Roman" w:eastAsia="Times New Roman" w:hAnsi="Times New Roman" w:cs="Times New Roman"/>
              </w:rPr>
            </w:pPr>
          </w:p>
        </w:tc>
        <w:tc>
          <w:tcPr>
            <w:tcW w:w="1980" w:type="dxa"/>
            <w:tcBorders>
              <w:top w:val="nil"/>
              <w:left w:val="nil"/>
              <w:bottom w:val="nil"/>
              <w:right w:val="nil"/>
            </w:tcBorders>
            <w:shd w:val="clear" w:color="auto" w:fill="auto"/>
            <w:noWrap/>
            <w:vAlign w:val="center"/>
            <w:hideMark/>
          </w:tcPr>
          <w:p w14:paraId="6E9665C0" w14:textId="77777777" w:rsidR="00433E77" w:rsidRPr="0055428F" w:rsidRDefault="00433E77" w:rsidP="00433E77">
            <w:pPr>
              <w:spacing w:after="0" w:line="240" w:lineRule="auto"/>
              <w:rPr>
                <w:rFonts w:ascii="Times New Roman" w:eastAsia="Times New Roman" w:hAnsi="Times New Roman" w:cs="Times New Roman"/>
                <w:sz w:val="20"/>
                <w:szCs w:val="20"/>
              </w:rPr>
            </w:pPr>
          </w:p>
        </w:tc>
      </w:tr>
      <w:tr w:rsidR="0055428F" w:rsidRPr="0055428F" w14:paraId="1CE2165F" w14:textId="77777777" w:rsidTr="00433E77">
        <w:trPr>
          <w:trHeight w:val="20"/>
        </w:trPr>
        <w:tc>
          <w:tcPr>
            <w:tcW w:w="7290" w:type="dxa"/>
            <w:gridSpan w:val="2"/>
            <w:tcBorders>
              <w:top w:val="nil"/>
              <w:left w:val="nil"/>
              <w:bottom w:val="nil"/>
              <w:right w:val="nil"/>
            </w:tcBorders>
            <w:shd w:val="clear" w:color="auto" w:fill="auto"/>
            <w:vAlign w:val="center"/>
            <w:hideMark/>
          </w:tcPr>
          <w:p w14:paraId="59012B2C" w14:textId="77777777" w:rsidR="00433E77" w:rsidRPr="0055428F" w:rsidRDefault="00433E77" w:rsidP="00433E77">
            <w:pPr>
              <w:spacing w:after="0" w:line="240" w:lineRule="auto"/>
              <w:rPr>
                <w:rFonts w:ascii="Times New Roman" w:eastAsia="Times New Roman" w:hAnsi="Times New Roman" w:cs="Times New Roman"/>
                <w:b/>
                <w:bCs/>
              </w:rPr>
            </w:pPr>
            <w:r w:rsidRPr="0055428F">
              <w:rPr>
                <w:rFonts w:ascii="Times New Roman" w:eastAsia="Times New Roman" w:hAnsi="Times New Roman" w:cs="Times New Roman"/>
                <w:b/>
                <w:bCs/>
              </w:rPr>
              <w:t>Miscellaneous grain recipes without meat, poultry, and fish</w:t>
            </w:r>
          </w:p>
        </w:tc>
      </w:tr>
      <w:tr w:rsidR="0055428F" w:rsidRPr="0055428F" w14:paraId="39B496BA" w14:textId="77777777" w:rsidTr="00433E77">
        <w:trPr>
          <w:trHeight w:val="20"/>
        </w:trPr>
        <w:tc>
          <w:tcPr>
            <w:tcW w:w="5310" w:type="dxa"/>
            <w:tcBorders>
              <w:top w:val="nil"/>
              <w:left w:val="nil"/>
              <w:bottom w:val="nil"/>
              <w:right w:val="nil"/>
            </w:tcBorders>
            <w:shd w:val="clear" w:color="auto" w:fill="auto"/>
            <w:vAlign w:val="center"/>
            <w:hideMark/>
          </w:tcPr>
          <w:p w14:paraId="2880F6C1"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eastAsia="Times New Roman" w:hAnsi="Times New Roman" w:cs="Times New Roman"/>
              </w:rPr>
              <w:t>Other masa-based mixed dishes</w:t>
            </w:r>
          </w:p>
        </w:tc>
        <w:tc>
          <w:tcPr>
            <w:tcW w:w="1980" w:type="dxa"/>
            <w:tcBorders>
              <w:top w:val="nil"/>
              <w:left w:val="nil"/>
              <w:bottom w:val="nil"/>
              <w:right w:val="nil"/>
            </w:tcBorders>
            <w:shd w:val="clear" w:color="auto" w:fill="auto"/>
            <w:hideMark/>
          </w:tcPr>
          <w:p w14:paraId="76872573"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hAnsi="Times New Roman" w:cs="Times New Roman"/>
              </w:rPr>
              <w:t>34.0</w:t>
            </w:r>
          </w:p>
        </w:tc>
      </w:tr>
      <w:tr w:rsidR="0055428F" w:rsidRPr="0055428F" w14:paraId="7DBD7C0F" w14:textId="77777777" w:rsidTr="00433E77">
        <w:trPr>
          <w:trHeight w:val="20"/>
        </w:trPr>
        <w:tc>
          <w:tcPr>
            <w:tcW w:w="5310" w:type="dxa"/>
            <w:tcBorders>
              <w:top w:val="nil"/>
              <w:left w:val="nil"/>
              <w:bottom w:val="nil"/>
              <w:right w:val="nil"/>
            </w:tcBorders>
            <w:shd w:val="clear" w:color="auto" w:fill="auto"/>
          </w:tcPr>
          <w:p w14:paraId="6007316A" w14:textId="77777777" w:rsidR="00433E77" w:rsidRPr="0055428F" w:rsidRDefault="00433E77" w:rsidP="00433E77">
            <w:pPr>
              <w:spacing w:after="0" w:line="240" w:lineRule="auto"/>
              <w:ind w:left="256"/>
              <w:rPr>
                <w:rFonts w:ascii="Times New Roman" w:eastAsia="Times New Roman" w:hAnsi="Times New Roman" w:cs="Times New Roman"/>
              </w:rPr>
            </w:pPr>
            <w:r w:rsidRPr="0055428F">
              <w:rPr>
                <w:rFonts w:ascii="Times New Roman" w:hAnsi="Times New Roman" w:cs="Times New Roman"/>
              </w:rPr>
              <w:t>Enchiladas</w:t>
            </w:r>
          </w:p>
        </w:tc>
        <w:tc>
          <w:tcPr>
            <w:tcW w:w="1980" w:type="dxa"/>
            <w:tcBorders>
              <w:top w:val="nil"/>
              <w:left w:val="nil"/>
              <w:bottom w:val="nil"/>
              <w:right w:val="nil"/>
            </w:tcBorders>
            <w:shd w:val="clear" w:color="auto" w:fill="auto"/>
          </w:tcPr>
          <w:p w14:paraId="0EFF932A" w14:textId="77777777" w:rsidR="00433E77" w:rsidRPr="0055428F" w:rsidRDefault="00433E77" w:rsidP="00433E77">
            <w:pPr>
              <w:spacing w:after="0" w:line="240" w:lineRule="auto"/>
              <w:ind w:left="178"/>
              <w:rPr>
                <w:rFonts w:ascii="Times New Roman" w:hAnsi="Times New Roman" w:cs="Times New Roman"/>
              </w:rPr>
            </w:pPr>
            <w:r w:rsidRPr="0055428F">
              <w:rPr>
                <w:rFonts w:ascii="Times New Roman" w:hAnsi="Times New Roman" w:cs="Times New Roman"/>
              </w:rPr>
              <w:t>9.2</w:t>
            </w:r>
          </w:p>
        </w:tc>
      </w:tr>
      <w:tr w:rsidR="0055428F" w:rsidRPr="0055428F" w14:paraId="432474B2" w14:textId="77777777" w:rsidTr="00433E77">
        <w:trPr>
          <w:trHeight w:val="20"/>
        </w:trPr>
        <w:tc>
          <w:tcPr>
            <w:tcW w:w="5310" w:type="dxa"/>
            <w:tcBorders>
              <w:top w:val="nil"/>
              <w:left w:val="nil"/>
              <w:bottom w:val="nil"/>
              <w:right w:val="nil"/>
            </w:tcBorders>
            <w:shd w:val="clear" w:color="auto" w:fill="auto"/>
          </w:tcPr>
          <w:p w14:paraId="694D486D" w14:textId="77777777" w:rsidR="00433E77" w:rsidRPr="0055428F" w:rsidRDefault="00433E77" w:rsidP="00433E77">
            <w:pPr>
              <w:spacing w:after="0" w:line="240" w:lineRule="auto"/>
              <w:ind w:left="256"/>
              <w:rPr>
                <w:rFonts w:ascii="Times New Roman" w:eastAsia="Times New Roman" w:hAnsi="Times New Roman" w:cs="Times New Roman"/>
              </w:rPr>
            </w:pPr>
            <w:r w:rsidRPr="0055428F">
              <w:rPr>
                <w:rFonts w:ascii="Times New Roman" w:hAnsi="Times New Roman" w:cs="Times New Roman"/>
              </w:rPr>
              <w:t>Tamales</w:t>
            </w:r>
          </w:p>
        </w:tc>
        <w:tc>
          <w:tcPr>
            <w:tcW w:w="1980" w:type="dxa"/>
            <w:tcBorders>
              <w:top w:val="nil"/>
              <w:left w:val="nil"/>
              <w:bottom w:val="nil"/>
              <w:right w:val="nil"/>
            </w:tcBorders>
            <w:shd w:val="clear" w:color="auto" w:fill="auto"/>
          </w:tcPr>
          <w:p w14:paraId="54E07CE6" w14:textId="77777777" w:rsidR="00433E77" w:rsidRPr="0055428F" w:rsidRDefault="00433E77" w:rsidP="00433E77">
            <w:pPr>
              <w:spacing w:after="0" w:line="240" w:lineRule="auto"/>
              <w:ind w:left="178"/>
              <w:rPr>
                <w:rFonts w:ascii="Times New Roman" w:hAnsi="Times New Roman" w:cs="Times New Roman"/>
              </w:rPr>
            </w:pPr>
            <w:r w:rsidRPr="0055428F">
              <w:rPr>
                <w:rFonts w:ascii="Times New Roman" w:hAnsi="Times New Roman" w:cs="Times New Roman"/>
              </w:rPr>
              <w:t>8.9</w:t>
            </w:r>
          </w:p>
        </w:tc>
      </w:tr>
      <w:tr w:rsidR="0055428F" w:rsidRPr="0055428F" w14:paraId="46CE65A2" w14:textId="77777777" w:rsidTr="00433E77">
        <w:trPr>
          <w:trHeight w:val="20"/>
        </w:trPr>
        <w:tc>
          <w:tcPr>
            <w:tcW w:w="5310" w:type="dxa"/>
            <w:tcBorders>
              <w:top w:val="nil"/>
              <w:left w:val="nil"/>
              <w:bottom w:val="nil"/>
              <w:right w:val="nil"/>
            </w:tcBorders>
            <w:shd w:val="clear" w:color="auto" w:fill="auto"/>
          </w:tcPr>
          <w:p w14:paraId="689DB524" w14:textId="77777777" w:rsidR="00433E77" w:rsidRPr="0055428F" w:rsidRDefault="00433E77" w:rsidP="00433E77">
            <w:pPr>
              <w:spacing w:after="0" w:line="240" w:lineRule="auto"/>
              <w:ind w:left="256"/>
              <w:rPr>
                <w:rFonts w:ascii="Times New Roman" w:eastAsia="Times New Roman" w:hAnsi="Times New Roman" w:cs="Times New Roman"/>
              </w:rPr>
            </w:pPr>
            <w:r w:rsidRPr="0055428F">
              <w:rPr>
                <w:rFonts w:ascii="Times New Roman" w:hAnsi="Times New Roman" w:cs="Times New Roman"/>
              </w:rPr>
              <w:t>Chilaquiles</w:t>
            </w:r>
          </w:p>
        </w:tc>
        <w:tc>
          <w:tcPr>
            <w:tcW w:w="1980" w:type="dxa"/>
            <w:tcBorders>
              <w:top w:val="nil"/>
              <w:left w:val="nil"/>
              <w:bottom w:val="nil"/>
              <w:right w:val="nil"/>
            </w:tcBorders>
            <w:shd w:val="clear" w:color="auto" w:fill="auto"/>
          </w:tcPr>
          <w:p w14:paraId="053B162D" w14:textId="77777777" w:rsidR="00433E77" w:rsidRPr="0055428F" w:rsidRDefault="00433E77" w:rsidP="00433E77">
            <w:pPr>
              <w:spacing w:after="0" w:line="240" w:lineRule="auto"/>
              <w:ind w:left="178"/>
              <w:rPr>
                <w:rFonts w:ascii="Times New Roman" w:hAnsi="Times New Roman" w:cs="Times New Roman"/>
              </w:rPr>
            </w:pPr>
            <w:r w:rsidRPr="0055428F">
              <w:rPr>
                <w:rFonts w:ascii="Times New Roman" w:hAnsi="Times New Roman" w:cs="Times New Roman"/>
              </w:rPr>
              <w:t>8.6</w:t>
            </w:r>
          </w:p>
        </w:tc>
      </w:tr>
      <w:tr w:rsidR="0055428F" w:rsidRPr="0055428F" w14:paraId="4DF0A738" w14:textId="77777777" w:rsidTr="00433E77">
        <w:trPr>
          <w:trHeight w:val="20"/>
        </w:trPr>
        <w:tc>
          <w:tcPr>
            <w:tcW w:w="5310" w:type="dxa"/>
            <w:tcBorders>
              <w:top w:val="nil"/>
              <w:left w:val="nil"/>
              <w:bottom w:val="nil"/>
              <w:right w:val="nil"/>
            </w:tcBorders>
            <w:shd w:val="clear" w:color="auto" w:fill="auto"/>
          </w:tcPr>
          <w:p w14:paraId="771DD4E9" w14:textId="77777777" w:rsidR="00433E77" w:rsidRPr="0055428F" w:rsidRDefault="00433E77" w:rsidP="00433E77">
            <w:pPr>
              <w:spacing w:after="0" w:line="240" w:lineRule="auto"/>
              <w:ind w:left="256"/>
              <w:rPr>
                <w:rFonts w:ascii="Times New Roman" w:eastAsia="Times New Roman" w:hAnsi="Times New Roman" w:cs="Times New Roman"/>
              </w:rPr>
            </w:pPr>
            <w:proofErr w:type="spellStart"/>
            <w:r w:rsidRPr="0055428F">
              <w:rPr>
                <w:rFonts w:ascii="Times New Roman" w:hAnsi="Times New Roman" w:cs="Times New Roman"/>
              </w:rPr>
              <w:t>Sopes</w:t>
            </w:r>
            <w:proofErr w:type="spellEnd"/>
          </w:p>
        </w:tc>
        <w:tc>
          <w:tcPr>
            <w:tcW w:w="1980" w:type="dxa"/>
            <w:tcBorders>
              <w:top w:val="nil"/>
              <w:left w:val="nil"/>
              <w:bottom w:val="nil"/>
              <w:right w:val="nil"/>
            </w:tcBorders>
            <w:shd w:val="clear" w:color="auto" w:fill="auto"/>
          </w:tcPr>
          <w:p w14:paraId="4E7DDF69" w14:textId="77777777" w:rsidR="00433E77" w:rsidRPr="0055428F" w:rsidRDefault="00433E77" w:rsidP="00433E77">
            <w:pPr>
              <w:spacing w:after="0" w:line="240" w:lineRule="auto"/>
              <w:ind w:left="178"/>
              <w:rPr>
                <w:rFonts w:ascii="Times New Roman" w:hAnsi="Times New Roman" w:cs="Times New Roman"/>
              </w:rPr>
            </w:pPr>
            <w:r w:rsidRPr="0055428F">
              <w:rPr>
                <w:rFonts w:ascii="Times New Roman" w:hAnsi="Times New Roman" w:cs="Times New Roman"/>
              </w:rPr>
              <w:t>2.6</w:t>
            </w:r>
          </w:p>
        </w:tc>
      </w:tr>
      <w:tr w:rsidR="0055428F" w:rsidRPr="0055428F" w14:paraId="2DBC9F0D" w14:textId="77777777" w:rsidTr="00433E77">
        <w:trPr>
          <w:trHeight w:val="20"/>
        </w:trPr>
        <w:tc>
          <w:tcPr>
            <w:tcW w:w="5310" w:type="dxa"/>
            <w:tcBorders>
              <w:top w:val="nil"/>
              <w:left w:val="nil"/>
              <w:bottom w:val="nil"/>
              <w:right w:val="nil"/>
            </w:tcBorders>
            <w:shd w:val="clear" w:color="auto" w:fill="auto"/>
          </w:tcPr>
          <w:p w14:paraId="244BF4A6" w14:textId="77777777" w:rsidR="00433E77" w:rsidRPr="0055428F" w:rsidRDefault="00433E77" w:rsidP="00433E77">
            <w:pPr>
              <w:spacing w:after="0" w:line="240" w:lineRule="auto"/>
              <w:ind w:left="256"/>
              <w:rPr>
                <w:rFonts w:ascii="Times New Roman" w:eastAsia="Times New Roman" w:hAnsi="Times New Roman" w:cs="Times New Roman"/>
              </w:rPr>
            </w:pPr>
            <w:r w:rsidRPr="0055428F">
              <w:rPr>
                <w:rFonts w:ascii="Times New Roman" w:hAnsi="Times New Roman" w:cs="Times New Roman"/>
              </w:rPr>
              <w:t>Gorditas</w:t>
            </w:r>
          </w:p>
        </w:tc>
        <w:tc>
          <w:tcPr>
            <w:tcW w:w="1980" w:type="dxa"/>
            <w:tcBorders>
              <w:top w:val="nil"/>
              <w:left w:val="nil"/>
              <w:bottom w:val="nil"/>
              <w:right w:val="nil"/>
            </w:tcBorders>
            <w:shd w:val="clear" w:color="auto" w:fill="auto"/>
          </w:tcPr>
          <w:p w14:paraId="10F54DF6" w14:textId="77777777" w:rsidR="00433E77" w:rsidRPr="0055428F" w:rsidRDefault="00433E77" w:rsidP="00433E77">
            <w:pPr>
              <w:spacing w:after="0" w:line="240" w:lineRule="auto"/>
              <w:ind w:left="178"/>
              <w:rPr>
                <w:rFonts w:ascii="Times New Roman" w:hAnsi="Times New Roman" w:cs="Times New Roman"/>
              </w:rPr>
            </w:pPr>
            <w:r w:rsidRPr="0055428F">
              <w:rPr>
                <w:rFonts w:ascii="Times New Roman" w:hAnsi="Times New Roman" w:cs="Times New Roman"/>
              </w:rPr>
              <w:t>2.0</w:t>
            </w:r>
          </w:p>
        </w:tc>
      </w:tr>
      <w:tr w:rsidR="0055428F" w:rsidRPr="0055428F" w14:paraId="68F15633" w14:textId="77777777" w:rsidTr="00433E77">
        <w:trPr>
          <w:trHeight w:val="20"/>
        </w:trPr>
        <w:tc>
          <w:tcPr>
            <w:tcW w:w="5310" w:type="dxa"/>
            <w:tcBorders>
              <w:top w:val="nil"/>
              <w:left w:val="nil"/>
              <w:bottom w:val="nil"/>
              <w:right w:val="nil"/>
            </w:tcBorders>
            <w:shd w:val="clear" w:color="auto" w:fill="auto"/>
          </w:tcPr>
          <w:p w14:paraId="382E708B" w14:textId="77777777" w:rsidR="00433E77" w:rsidRPr="0055428F" w:rsidRDefault="00433E77" w:rsidP="00433E77">
            <w:pPr>
              <w:spacing w:after="0" w:line="240" w:lineRule="auto"/>
              <w:ind w:left="256"/>
              <w:rPr>
                <w:rFonts w:ascii="Times New Roman" w:eastAsia="Times New Roman" w:hAnsi="Times New Roman" w:cs="Times New Roman"/>
              </w:rPr>
            </w:pPr>
            <w:r w:rsidRPr="0055428F">
              <w:rPr>
                <w:rFonts w:ascii="Times New Roman" w:hAnsi="Times New Roman" w:cs="Times New Roman"/>
              </w:rPr>
              <w:t>Tostadas</w:t>
            </w:r>
          </w:p>
        </w:tc>
        <w:tc>
          <w:tcPr>
            <w:tcW w:w="1980" w:type="dxa"/>
            <w:tcBorders>
              <w:top w:val="nil"/>
              <w:left w:val="nil"/>
              <w:bottom w:val="nil"/>
              <w:right w:val="nil"/>
            </w:tcBorders>
            <w:shd w:val="clear" w:color="auto" w:fill="auto"/>
          </w:tcPr>
          <w:p w14:paraId="68A04E86" w14:textId="77777777" w:rsidR="00433E77" w:rsidRPr="0055428F" w:rsidRDefault="00433E77" w:rsidP="00433E77">
            <w:pPr>
              <w:spacing w:after="0" w:line="240" w:lineRule="auto"/>
              <w:ind w:left="178"/>
              <w:rPr>
                <w:rFonts w:ascii="Times New Roman" w:hAnsi="Times New Roman" w:cs="Times New Roman"/>
              </w:rPr>
            </w:pPr>
            <w:r w:rsidRPr="0055428F">
              <w:rPr>
                <w:rFonts w:ascii="Times New Roman" w:hAnsi="Times New Roman" w:cs="Times New Roman"/>
              </w:rPr>
              <w:t>1.3</w:t>
            </w:r>
          </w:p>
        </w:tc>
      </w:tr>
      <w:tr w:rsidR="0055428F" w:rsidRPr="0055428F" w14:paraId="20646A0E" w14:textId="77777777" w:rsidTr="00433E77">
        <w:trPr>
          <w:trHeight w:val="20"/>
        </w:trPr>
        <w:tc>
          <w:tcPr>
            <w:tcW w:w="5310" w:type="dxa"/>
            <w:tcBorders>
              <w:top w:val="nil"/>
              <w:left w:val="nil"/>
              <w:bottom w:val="nil"/>
              <w:right w:val="nil"/>
            </w:tcBorders>
            <w:shd w:val="clear" w:color="auto" w:fill="auto"/>
          </w:tcPr>
          <w:p w14:paraId="0D84D579" w14:textId="77777777" w:rsidR="00433E77" w:rsidRPr="0055428F" w:rsidRDefault="00433E77" w:rsidP="00433E77">
            <w:pPr>
              <w:spacing w:after="0" w:line="240" w:lineRule="auto"/>
              <w:ind w:left="256"/>
              <w:rPr>
                <w:rFonts w:ascii="Times New Roman" w:eastAsia="Times New Roman" w:hAnsi="Times New Roman" w:cs="Times New Roman"/>
              </w:rPr>
            </w:pPr>
            <w:proofErr w:type="spellStart"/>
            <w:r w:rsidRPr="0055428F">
              <w:rPr>
                <w:rFonts w:ascii="Times New Roman" w:hAnsi="Times New Roman" w:cs="Times New Roman"/>
              </w:rPr>
              <w:t>Pupusas</w:t>
            </w:r>
            <w:proofErr w:type="spellEnd"/>
          </w:p>
        </w:tc>
        <w:tc>
          <w:tcPr>
            <w:tcW w:w="1980" w:type="dxa"/>
            <w:tcBorders>
              <w:top w:val="nil"/>
              <w:left w:val="nil"/>
              <w:bottom w:val="nil"/>
              <w:right w:val="nil"/>
            </w:tcBorders>
            <w:shd w:val="clear" w:color="auto" w:fill="auto"/>
          </w:tcPr>
          <w:p w14:paraId="3BFE287F" w14:textId="77777777" w:rsidR="00433E77" w:rsidRPr="0055428F" w:rsidRDefault="00433E77" w:rsidP="00433E77">
            <w:pPr>
              <w:spacing w:after="0" w:line="240" w:lineRule="auto"/>
              <w:ind w:left="178"/>
              <w:rPr>
                <w:rFonts w:ascii="Times New Roman" w:hAnsi="Times New Roman" w:cs="Times New Roman"/>
              </w:rPr>
            </w:pPr>
            <w:r w:rsidRPr="0055428F">
              <w:rPr>
                <w:rFonts w:ascii="Times New Roman" w:hAnsi="Times New Roman" w:cs="Times New Roman"/>
              </w:rPr>
              <w:t>0.9</w:t>
            </w:r>
          </w:p>
        </w:tc>
      </w:tr>
      <w:tr w:rsidR="0055428F" w:rsidRPr="0055428F" w14:paraId="7F48EDAF" w14:textId="77777777" w:rsidTr="00433E77">
        <w:trPr>
          <w:trHeight w:val="20"/>
        </w:trPr>
        <w:tc>
          <w:tcPr>
            <w:tcW w:w="5310" w:type="dxa"/>
            <w:tcBorders>
              <w:top w:val="nil"/>
              <w:left w:val="nil"/>
              <w:bottom w:val="nil"/>
              <w:right w:val="nil"/>
            </w:tcBorders>
            <w:shd w:val="clear" w:color="auto" w:fill="auto"/>
            <w:vAlign w:val="center"/>
            <w:hideMark/>
          </w:tcPr>
          <w:p w14:paraId="47454D5D"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eastAsia="Times New Roman" w:hAnsi="Times New Roman" w:cs="Times New Roman"/>
              </w:rPr>
              <w:t>Pizzas/Calzones</w:t>
            </w:r>
          </w:p>
        </w:tc>
        <w:tc>
          <w:tcPr>
            <w:tcW w:w="1980" w:type="dxa"/>
            <w:tcBorders>
              <w:top w:val="nil"/>
              <w:left w:val="nil"/>
              <w:bottom w:val="nil"/>
              <w:right w:val="nil"/>
            </w:tcBorders>
            <w:shd w:val="clear" w:color="auto" w:fill="auto"/>
            <w:hideMark/>
          </w:tcPr>
          <w:p w14:paraId="48B5BE0E"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hAnsi="Times New Roman" w:cs="Times New Roman"/>
              </w:rPr>
              <w:t>26.7</w:t>
            </w:r>
          </w:p>
        </w:tc>
      </w:tr>
      <w:tr w:rsidR="0055428F" w:rsidRPr="0055428F" w14:paraId="2DB341D1" w14:textId="77777777" w:rsidTr="00433E77">
        <w:trPr>
          <w:trHeight w:val="20"/>
        </w:trPr>
        <w:tc>
          <w:tcPr>
            <w:tcW w:w="5310" w:type="dxa"/>
            <w:tcBorders>
              <w:top w:val="nil"/>
              <w:left w:val="nil"/>
              <w:bottom w:val="nil"/>
              <w:right w:val="nil"/>
            </w:tcBorders>
            <w:shd w:val="clear" w:color="auto" w:fill="auto"/>
            <w:vAlign w:val="center"/>
            <w:hideMark/>
          </w:tcPr>
          <w:p w14:paraId="2BD3412C"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eastAsia="Times New Roman" w:hAnsi="Times New Roman" w:cs="Times New Roman"/>
              </w:rPr>
              <w:t>Quesadillas</w:t>
            </w:r>
          </w:p>
        </w:tc>
        <w:tc>
          <w:tcPr>
            <w:tcW w:w="1980" w:type="dxa"/>
            <w:tcBorders>
              <w:top w:val="nil"/>
              <w:left w:val="nil"/>
              <w:bottom w:val="nil"/>
              <w:right w:val="nil"/>
            </w:tcBorders>
            <w:shd w:val="clear" w:color="auto" w:fill="auto"/>
            <w:hideMark/>
          </w:tcPr>
          <w:p w14:paraId="6277EC5B"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hAnsi="Times New Roman" w:cs="Times New Roman"/>
              </w:rPr>
              <w:t>21.0</w:t>
            </w:r>
          </w:p>
        </w:tc>
      </w:tr>
      <w:tr w:rsidR="0055428F" w:rsidRPr="0055428F" w14:paraId="752C5038" w14:textId="77777777" w:rsidTr="00433E77">
        <w:trPr>
          <w:trHeight w:val="20"/>
        </w:trPr>
        <w:tc>
          <w:tcPr>
            <w:tcW w:w="5310" w:type="dxa"/>
            <w:tcBorders>
              <w:top w:val="nil"/>
              <w:left w:val="nil"/>
              <w:right w:val="nil"/>
            </w:tcBorders>
            <w:shd w:val="clear" w:color="auto" w:fill="auto"/>
            <w:vAlign w:val="center"/>
            <w:hideMark/>
          </w:tcPr>
          <w:p w14:paraId="50F0B1D6"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eastAsia="Times New Roman" w:hAnsi="Times New Roman" w:cs="Times New Roman"/>
              </w:rPr>
              <w:t>Burritos</w:t>
            </w:r>
          </w:p>
        </w:tc>
        <w:tc>
          <w:tcPr>
            <w:tcW w:w="1980" w:type="dxa"/>
            <w:tcBorders>
              <w:top w:val="nil"/>
              <w:left w:val="nil"/>
              <w:right w:val="nil"/>
            </w:tcBorders>
            <w:shd w:val="clear" w:color="auto" w:fill="auto"/>
            <w:hideMark/>
          </w:tcPr>
          <w:p w14:paraId="3CE34073"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hAnsi="Times New Roman" w:cs="Times New Roman"/>
              </w:rPr>
              <w:t>5.3</w:t>
            </w:r>
          </w:p>
        </w:tc>
      </w:tr>
      <w:tr w:rsidR="0055428F" w:rsidRPr="0055428F" w14:paraId="4EB788D4" w14:textId="77777777" w:rsidTr="00433E77">
        <w:trPr>
          <w:trHeight w:val="20"/>
        </w:trPr>
        <w:tc>
          <w:tcPr>
            <w:tcW w:w="5310" w:type="dxa"/>
            <w:tcBorders>
              <w:top w:val="nil"/>
              <w:left w:val="nil"/>
              <w:bottom w:val="single" w:sz="4" w:space="0" w:color="auto"/>
              <w:right w:val="nil"/>
            </w:tcBorders>
            <w:shd w:val="clear" w:color="auto" w:fill="auto"/>
            <w:vAlign w:val="center"/>
            <w:hideMark/>
          </w:tcPr>
          <w:p w14:paraId="400E6962"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eastAsia="Times New Roman" w:hAnsi="Times New Roman" w:cs="Times New Roman"/>
              </w:rPr>
              <w:t>Dumplings, turnovers, fritters (includes empanadas)</w:t>
            </w:r>
          </w:p>
        </w:tc>
        <w:tc>
          <w:tcPr>
            <w:tcW w:w="1980" w:type="dxa"/>
            <w:tcBorders>
              <w:top w:val="nil"/>
              <w:left w:val="nil"/>
              <w:bottom w:val="single" w:sz="4" w:space="0" w:color="auto"/>
              <w:right w:val="nil"/>
            </w:tcBorders>
            <w:shd w:val="clear" w:color="auto" w:fill="auto"/>
            <w:hideMark/>
          </w:tcPr>
          <w:p w14:paraId="03EDA3F4" w14:textId="77777777" w:rsidR="00433E77" w:rsidRPr="0055428F" w:rsidRDefault="00433E77" w:rsidP="00433E77">
            <w:pPr>
              <w:spacing w:after="0" w:line="240" w:lineRule="auto"/>
              <w:rPr>
                <w:rFonts w:ascii="Times New Roman" w:eastAsia="Times New Roman" w:hAnsi="Times New Roman" w:cs="Times New Roman"/>
              </w:rPr>
            </w:pPr>
            <w:r w:rsidRPr="0055428F">
              <w:rPr>
                <w:rFonts w:ascii="Times New Roman" w:hAnsi="Times New Roman" w:cs="Times New Roman"/>
              </w:rPr>
              <w:t>5.1</w:t>
            </w:r>
          </w:p>
        </w:tc>
      </w:tr>
      <w:tr w:rsidR="0055428F" w:rsidRPr="0055428F" w14:paraId="7539684A" w14:textId="77777777" w:rsidTr="00433E77">
        <w:trPr>
          <w:trHeight w:val="285"/>
        </w:trPr>
        <w:tc>
          <w:tcPr>
            <w:tcW w:w="7290" w:type="dxa"/>
            <w:gridSpan w:val="2"/>
            <w:tcBorders>
              <w:top w:val="single" w:sz="4" w:space="0" w:color="auto"/>
              <w:left w:val="nil"/>
              <w:bottom w:val="nil"/>
              <w:right w:val="nil"/>
            </w:tcBorders>
            <w:shd w:val="clear" w:color="auto" w:fill="auto"/>
            <w:noWrap/>
            <w:vAlign w:val="bottom"/>
            <w:hideMark/>
          </w:tcPr>
          <w:p w14:paraId="720907E7" w14:textId="77777777" w:rsidR="00433E77" w:rsidRPr="0055428F" w:rsidRDefault="00433E77" w:rsidP="00433E77">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vertAlign w:val="superscript"/>
              </w:rPr>
              <w:t>1</w:t>
            </w:r>
            <w:r w:rsidRPr="0055428F">
              <w:rPr>
                <w:rFonts w:ascii="Times New Roman" w:eastAsia="Times New Roman" w:hAnsi="Times New Roman" w:cs="Times New Roman"/>
                <w:sz w:val="20"/>
                <w:szCs w:val="20"/>
              </w:rPr>
              <w:t>Values are the percent contribution to total energy of foods to the following selected food categories: milk, cheese, &amp; related products; animal fats; and miscellaneous grain recipes without meat, poultry, and fish consumption. Food rankings were calculated using estimated intakes from the mean of two 24-hr recalls among participants with valid data (n=8,435).</w:t>
            </w:r>
          </w:p>
          <w:p w14:paraId="5F810F6B" w14:textId="77777777" w:rsidR="00433E77" w:rsidRPr="0055428F" w:rsidRDefault="00433E77" w:rsidP="00433E77">
            <w:pPr>
              <w:spacing w:after="0" w:line="240" w:lineRule="auto"/>
              <w:rPr>
                <w:rFonts w:ascii="Times New Roman" w:eastAsia="Times New Roman" w:hAnsi="Times New Roman" w:cs="Times New Roman"/>
                <w:sz w:val="20"/>
                <w:szCs w:val="20"/>
              </w:rPr>
            </w:pPr>
            <w:r w:rsidRPr="0055428F">
              <w:rPr>
                <w:rFonts w:ascii="Times New Roman" w:eastAsia="Times New Roman" w:hAnsi="Times New Roman" w:cs="Times New Roman"/>
                <w:sz w:val="20"/>
                <w:szCs w:val="20"/>
                <w:vertAlign w:val="superscript"/>
              </w:rPr>
              <w:t>2</w:t>
            </w:r>
            <w:r w:rsidRPr="0055428F">
              <w:rPr>
                <w:rFonts w:ascii="Times New Roman" w:eastAsia="Times New Roman" w:hAnsi="Times New Roman" w:cs="Times New Roman"/>
                <w:sz w:val="20"/>
                <w:szCs w:val="20"/>
              </w:rPr>
              <w:t xml:space="preserve">The animal foods fat category only included 3 animal fat foods. </w:t>
            </w:r>
          </w:p>
        </w:tc>
      </w:tr>
    </w:tbl>
    <w:p w14:paraId="0F183913" w14:textId="77777777" w:rsidR="008A6ED7" w:rsidRPr="0055428F" w:rsidRDefault="008A6ED7" w:rsidP="00433E77">
      <w:pPr>
        <w:rPr>
          <w:rFonts w:ascii="Times New Roman" w:hAnsi="Times New Roman" w:cs="Times New Roman"/>
        </w:rPr>
      </w:pPr>
    </w:p>
    <w:sectPr w:rsidR="008A6ED7" w:rsidRPr="0055428F" w:rsidSect="00FC26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9BC7" w14:textId="77777777" w:rsidR="00E708FD" w:rsidRDefault="00E708FD" w:rsidP="001E5F5E">
      <w:pPr>
        <w:spacing w:after="0" w:line="240" w:lineRule="auto"/>
      </w:pPr>
      <w:r>
        <w:separator/>
      </w:r>
    </w:p>
  </w:endnote>
  <w:endnote w:type="continuationSeparator" w:id="0">
    <w:p w14:paraId="6817D6A3" w14:textId="77777777" w:rsidR="00E708FD" w:rsidRDefault="00E708FD" w:rsidP="001E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915245"/>
      <w:docPartObj>
        <w:docPartGallery w:val="Page Numbers (Bottom of Page)"/>
        <w:docPartUnique/>
      </w:docPartObj>
    </w:sdtPr>
    <w:sdtEndPr>
      <w:rPr>
        <w:noProof/>
      </w:rPr>
    </w:sdtEndPr>
    <w:sdtContent>
      <w:p w14:paraId="0B0B0CD7" w14:textId="77777777" w:rsidR="00506904" w:rsidRDefault="00506904">
        <w:pPr>
          <w:pStyle w:val="Footer"/>
          <w:jc w:val="right"/>
        </w:pPr>
        <w:r>
          <w:fldChar w:fldCharType="begin"/>
        </w:r>
        <w:r>
          <w:instrText xml:space="preserve"> PAGE   \* MERGEFORMAT </w:instrText>
        </w:r>
        <w:r>
          <w:fldChar w:fldCharType="separate"/>
        </w:r>
        <w:r>
          <w:rPr>
            <w:noProof/>
          </w:rPr>
          <w:t>34</w:t>
        </w:r>
        <w:r>
          <w:rPr>
            <w:noProof/>
          </w:rPr>
          <w:fldChar w:fldCharType="end"/>
        </w:r>
      </w:p>
    </w:sdtContent>
  </w:sdt>
  <w:p w14:paraId="41F85DC3" w14:textId="77777777" w:rsidR="00506904" w:rsidRDefault="00506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AAF8" w14:textId="77777777" w:rsidR="00E708FD" w:rsidRDefault="00E708FD" w:rsidP="001E5F5E">
      <w:pPr>
        <w:spacing w:after="0" w:line="240" w:lineRule="auto"/>
      </w:pPr>
      <w:r>
        <w:separator/>
      </w:r>
    </w:p>
  </w:footnote>
  <w:footnote w:type="continuationSeparator" w:id="0">
    <w:p w14:paraId="7B0C2A11" w14:textId="77777777" w:rsidR="00E708FD" w:rsidRDefault="00E708FD" w:rsidP="001E5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322"/>
    <w:multiLevelType w:val="hybridMultilevel"/>
    <w:tmpl w:val="B07E7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26E31"/>
    <w:multiLevelType w:val="hybridMultilevel"/>
    <w:tmpl w:val="8ED03DA2"/>
    <w:lvl w:ilvl="0" w:tplc="5380C5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2172E"/>
    <w:multiLevelType w:val="hybridMultilevel"/>
    <w:tmpl w:val="8C7AAF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A20A5"/>
    <w:multiLevelType w:val="multilevel"/>
    <w:tmpl w:val="12DC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114A3"/>
    <w:multiLevelType w:val="hybridMultilevel"/>
    <w:tmpl w:val="A6C41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43378"/>
    <w:multiLevelType w:val="hybridMultilevel"/>
    <w:tmpl w:val="97FABD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0850D7"/>
    <w:multiLevelType w:val="hybridMultilevel"/>
    <w:tmpl w:val="FB3AA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6D4348"/>
    <w:multiLevelType w:val="hybridMultilevel"/>
    <w:tmpl w:val="B3E8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5D1C22"/>
    <w:multiLevelType w:val="hybridMultilevel"/>
    <w:tmpl w:val="D01AF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F55F8D"/>
    <w:multiLevelType w:val="hybridMultilevel"/>
    <w:tmpl w:val="6436C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61565F"/>
    <w:multiLevelType w:val="hybridMultilevel"/>
    <w:tmpl w:val="99E6837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 w15:restartNumberingAfterBreak="0">
    <w:nsid w:val="79551677"/>
    <w:multiLevelType w:val="hybridMultilevel"/>
    <w:tmpl w:val="C8CCC116"/>
    <w:lvl w:ilvl="0" w:tplc="5ADC43E4">
      <w:start w:val="1"/>
      <w:numFmt w:val="decimal"/>
      <w:lvlText w:val="%1."/>
      <w:lvlJc w:val="left"/>
      <w:pPr>
        <w:ind w:left="360" w:hanging="360"/>
      </w:pPr>
      <w:rPr>
        <w:rFonts w:ascii="Times New Roman" w:hAnsi="Times New Roman" w:cs="Times New Roman" w:hint="default"/>
        <w:b w:val="0"/>
        <w:bCs/>
        <w:color w:val="000000" w:themeColor="text1"/>
        <w:sz w:val="24"/>
        <w:szCs w:val="24"/>
      </w:rPr>
    </w:lvl>
    <w:lvl w:ilvl="1" w:tplc="04090019">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2" w15:restartNumberingAfterBreak="0">
    <w:nsid w:val="7E7E0C61"/>
    <w:multiLevelType w:val="hybridMultilevel"/>
    <w:tmpl w:val="0906ABEC"/>
    <w:lvl w:ilvl="0" w:tplc="F16C7C1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2"/>
  </w:num>
  <w:num w:numId="4">
    <w:abstractNumId w:val="0"/>
  </w:num>
  <w:num w:numId="5">
    <w:abstractNumId w:val="2"/>
  </w:num>
  <w:num w:numId="6">
    <w:abstractNumId w:val="6"/>
  </w:num>
  <w:num w:numId="7">
    <w:abstractNumId w:val="3"/>
  </w:num>
  <w:num w:numId="8">
    <w:abstractNumId w:val="8"/>
  </w:num>
  <w:num w:numId="9">
    <w:abstractNumId w:val="10"/>
  </w:num>
  <w:num w:numId="10">
    <w:abstractNumId w:val="5"/>
  </w:num>
  <w:num w:numId="11">
    <w:abstractNumId w:val="4"/>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wNrQwMzW1NDM1MDVV0lEKTi0uzszPAykwMqwFAF9W4Z4tAAAA"/>
    <w:docVar w:name="EN.InstantFormat" w:val="&lt;ENInstantFormat&gt;&lt;Enabled&gt;0&lt;/Enabled&gt;&lt;ScanUnformatted&gt;1&lt;/ScanUnformatted&gt;&lt;ScanChanges&gt;1&lt;/ScanChanges&gt;&lt;Suspended&gt;0&lt;/Suspended&gt;&lt;/ENInstantFormat&gt;"/>
    <w:docVar w:name="EN.Layout" w:val="&lt;ENLayout&gt;&lt;Style&gt;Nutrition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stsx5eeb29arre05ddxt5e7szws5xzxfafd&quot;&gt;Nutrition and Obesity&lt;record-ids&gt;&lt;item&gt;1945&lt;/item&gt;&lt;item&gt;3595&lt;/item&gt;&lt;item&gt;3596&lt;/item&gt;&lt;item&gt;3605&lt;/item&gt;&lt;item&gt;3616&lt;/item&gt;&lt;item&gt;3636&lt;/item&gt;&lt;item&gt;3649&lt;/item&gt;&lt;item&gt;3728&lt;/item&gt;&lt;item&gt;3843&lt;/item&gt;&lt;item&gt;3878&lt;/item&gt;&lt;item&gt;4341&lt;/item&gt;&lt;item&gt;6025&lt;/item&gt;&lt;item&gt;6050&lt;/item&gt;&lt;item&gt;6057&lt;/item&gt;&lt;item&gt;6128&lt;/item&gt;&lt;item&gt;6243&lt;/item&gt;&lt;item&gt;6703&lt;/item&gt;&lt;item&gt;6714&lt;/item&gt;&lt;item&gt;7346&lt;/item&gt;&lt;item&gt;7347&lt;/item&gt;&lt;item&gt;7348&lt;/item&gt;&lt;item&gt;7349&lt;/item&gt;&lt;item&gt;7350&lt;/item&gt;&lt;item&gt;7351&lt;/item&gt;&lt;item&gt;7352&lt;/item&gt;&lt;item&gt;7354&lt;/item&gt;&lt;item&gt;7355&lt;/item&gt;&lt;item&gt;7356&lt;/item&gt;&lt;item&gt;7357&lt;/item&gt;&lt;item&gt;7358&lt;/item&gt;&lt;item&gt;7359&lt;/item&gt;&lt;item&gt;7360&lt;/item&gt;&lt;item&gt;7361&lt;/item&gt;&lt;item&gt;7362&lt;/item&gt;&lt;item&gt;7363&lt;/item&gt;&lt;item&gt;7364&lt;/item&gt;&lt;item&gt;7365&lt;/item&gt;&lt;item&gt;7366&lt;/item&gt;&lt;item&gt;7367&lt;/item&gt;&lt;item&gt;7368&lt;/item&gt;&lt;item&gt;7369&lt;/item&gt;&lt;item&gt;7370&lt;/item&gt;&lt;item&gt;7371&lt;/item&gt;&lt;item&gt;7372&lt;/item&gt;&lt;item&gt;7373&lt;/item&gt;&lt;item&gt;7374&lt;/item&gt;&lt;item&gt;7375&lt;/item&gt;&lt;item&gt;7376&lt;/item&gt;&lt;item&gt;7377&lt;/item&gt;&lt;item&gt;7378&lt;/item&gt;&lt;item&gt;7379&lt;/item&gt;&lt;item&gt;7381&lt;/item&gt;&lt;item&gt;7382&lt;/item&gt;&lt;item&gt;7383&lt;/item&gt;&lt;item&gt;7384&lt;/item&gt;&lt;item&gt;7385&lt;/item&gt;&lt;item&gt;7386&lt;/item&gt;&lt;item&gt;7387&lt;/item&gt;&lt;item&gt;7388&lt;/item&gt;&lt;item&gt;7389&lt;/item&gt;&lt;item&gt;7390&lt;/item&gt;&lt;item&gt;7391&lt;/item&gt;&lt;/record-ids&gt;&lt;/item&gt;&lt;/Libraries&gt;"/>
  </w:docVars>
  <w:rsids>
    <w:rsidRoot w:val="00B64C48"/>
    <w:rsid w:val="00002646"/>
    <w:rsid w:val="000029CC"/>
    <w:rsid w:val="000121EF"/>
    <w:rsid w:val="00015A20"/>
    <w:rsid w:val="00016613"/>
    <w:rsid w:val="00026FFE"/>
    <w:rsid w:val="00030395"/>
    <w:rsid w:val="00031282"/>
    <w:rsid w:val="000332C9"/>
    <w:rsid w:val="00037AF1"/>
    <w:rsid w:val="000420DC"/>
    <w:rsid w:val="00044187"/>
    <w:rsid w:val="0005471B"/>
    <w:rsid w:val="00054C13"/>
    <w:rsid w:val="000613A4"/>
    <w:rsid w:val="00063D9B"/>
    <w:rsid w:val="00064952"/>
    <w:rsid w:val="00076BE6"/>
    <w:rsid w:val="00080764"/>
    <w:rsid w:val="000808E9"/>
    <w:rsid w:val="00080F47"/>
    <w:rsid w:val="000906F7"/>
    <w:rsid w:val="00090B77"/>
    <w:rsid w:val="0009191B"/>
    <w:rsid w:val="00091FBA"/>
    <w:rsid w:val="00097791"/>
    <w:rsid w:val="000A07E1"/>
    <w:rsid w:val="000A0B9E"/>
    <w:rsid w:val="000A1779"/>
    <w:rsid w:val="000A5704"/>
    <w:rsid w:val="000A6224"/>
    <w:rsid w:val="000A66D6"/>
    <w:rsid w:val="000A7F91"/>
    <w:rsid w:val="000B0580"/>
    <w:rsid w:val="000B1737"/>
    <w:rsid w:val="000B4C2D"/>
    <w:rsid w:val="000B78F8"/>
    <w:rsid w:val="000C01F1"/>
    <w:rsid w:val="000C1777"/>
    <w:rsid w:val="000C4DFF"/>
    <w:rsid w:val="000C56EA"/>
    <w:rsid w:val="000C5C92"/>
    <w:rsid w:val="000C661D"/>
    <w:rsid w:val="000D0F6E"/>
    <w:rsid w:val="000D3F97"/>
    <w:rsid w:val="000D48F7"/>
    <w:rsid w:val="000D4E17"/>
    <w:rsid w:val="000D5074"/>
    <w:rsid w:val="000D51B8"/>
    <w:rsid w:val="000D7054"/>
    <w:rsid w:val="000E0064"/>
    <w:rsid w:val="000E00A2"/>
    <w:rsid w:val="000E27BD"/>
    <w:rsid w:val="000E540B"/>
    <w:rsid w:val="000E6D08"/>
    <w:rsid w:val="000E6EA3"/>
    <w:rsid w:val="000E7C7B"/>
    <w:rsid w:val="000F0037"/>
    <w:rsid w:val="000F0B57"/>
    <w:rsid w:val="000F1D8B"/>
    <w:rsid w:val="000F3432"/>
    <w:rsid w:val="0010231D"/>
    <w:rsid w:val="00104237"/>
    <w:rsid w:val="001043F4"/>
    <w:rsid w:val="0010581E"/>
    <w:rsid w:val="00105AA7"/>
    <w:rsid w:val="00105D6F"/>
    <w:rsid w:val="0011028D"/>
    <w:rsid w:val="00113B1A"/>
    <w:rsid w:val="001140F0"/>
    <w:rsid w:val="0011437E"/>
    <w:rsid w:val="00120775"/>
    <w:rsid w:val="00123DA9"/>
    <w:rsid w:val="00124C52"/>
    <w:rsid w:val="00125AB3"/>
    <w:rsid w:val="00132F88"/>
    <w:rsid w:val="00136798"/>
    <w:rsid w:val="001378CC"/>
    <w:rsid w:val="00137B6D"/>
    <w:rsid w:val="00143601"/>
    <w:rsid w:val="00147A3A"/>
    <w:rsid w:val="00152A60"/>
    <w:rsid w:val="00153D78"/>
    <w:rsid w:val="0015471F"/>
    <w:rsid w:val="00157961"/>
    <w:rsid w:val="00157B8C"/>
    <w:rsid w:val="001613C1"/>
    <w:rsid w:val="001678FE"/>
    <w:rsid w:val="001702AF"/>
    <w:rsid w:val="00173515"/>
    <w:rsid w:val="0017450C"/>
    <w:rsid w:val="00177B4D"/>
    <w:rsid w:val="001805AC"/>
    <w:rsid w:val="00183C5E"/>
    <w:rsid w:val="0018684D"/>
    <w:rsid w:val="0018799B"/>
    <w:rsid w:val="00191212"/>
    <w:rsid w:val="00194C58"/>
    <w:rsid w:val="0019529B"/>
    <w:rsid w:val="0019741A"/>
    <w:rsid w:val="001A364C"/>
    <w:rsid w:val="001A492E"/>
    <w:rsid w:val="001A499B"/>
    <w:rsid w:val="001A4F24"/>
    <w:rsid w:val="001A54CC"/>
    <w:rsid w:val="001A6216"/>
    <w:rsid w:val="001A6AC8"/>
    <w:rsid w:val="001B5381"/>
    <w:rsid w:val="001B641C"/>
    <w:rsid w:val="001C0ABF"/>
    <w:rsid w:val="001C0C39"/>
    <w:rsid w:val="001C29AA"/>
    <w:rsid w:val="001C541D"/>
    <w:rsid w:val="001D7384"/>
    <w:rsid w:val="001E0E52"/>
    <w:rsid w:val="001E1791"/>
    <w:rsid w:val="001E32E7"/>
    <w:rsid w:val="001E4BA6"/>
    <w:rsid w:val="001E5F5E"/>
    <w:rsid w:val="001E7A7C"/>
    <w:rsid w:val="001F043B"/>
    <w:rsid w:val="001F3DF0"/>
    <w:rsid w:val="001F41B2"/>
    <w:rsid w:val="00200118"/>
    <w:rsid w:val="00201E83"/>
    <w:rsid w:val="00207C09"/>
    <w:rsid w:val="002118C6"/>
    <w:rsid w:val="00212D6F"/>
    <w:rsid w:val="002141AB"/>
    <w:rsid w:val="00214A7F"/>
    <w:rsid w:val="00214D87"/>
    <w:rsid w:val="00216570"/>
    <w:rsid w:val="0021668A"/>
    <w:rsid w:val="00226371"/>
    <w:rsid w:val="00226700"/>
    <w:rsid w:val="00237592"/>
    <w:rsid w:val="00237B87"/>
    <w:rsid w:val="002456B1"/>
    <w:rsid w:val="0025210C"/>
    <w:rsid w:val="0025338E"/>
    <w:rsid w:val="0025447C"/>
    <w:rsid w:val="00254C0A"/>
    <w:rsid w:val="00254D55"/>
    <w:rsid w:val="0025576A"/>
    <w:rsid w:val="00256D61"/>
    <w:rsid w:val="00257B42"/>
    <w:rsid w:val="0026153E"/>
    <w:rsid w:val="002644FA"/>
    <w:rsid w:val="00265312"/>
    <w:rsid w:val="00267FC1"/>
    <w:rsid w:val="00271C16"/>
    <w:rsid w:val="00273BF0"/>
    <w:rsid w:val="002772C3"/>
    <w:rsid w:val="00280469"/>
    <w:rsid w:val="00280AD5"/>
    <w:rsid w:val="002822F1"/>
    <w:rsid w:val="00284EB5"/>
    <w:rsid w:val="00287731"/>
    <w:rsid w:val="002A4755"/>
    <w:rsid w:val="002A5488"/>
    <w:rsid w:val="002A552B"/>
    <w:rsid w:val="002A55EF"/>
    <w:rsid w:val="002B18C5"/>
    <w:rsid w:val="002B5792"/>
    <w:rsid w:val="002B6FF3"/>
    <w:rsid w:val="002C2F96"/>
    <w:rsid w:val="002C3F55"/>
    <w:rsid w:val="002C470B"/>
    <w:rsid w:val="002C6CFD"/>
    <w:rsid w:val="002D0017"/>
    <w:rsid w:val="002D0CDA"/>
    <w:rsid w:val="002D2FD6"/>
    <w:rsid w:val="002D5852"/>
    <w:rsid w:val="002D665A"/>
    <w:rsid w:val="002D77CC"/>
    <w:rsid w:val="002E5705"/>
    <w:rsid w:val="002F3B7E"/>
    <w:rsid w:val="002F7755"/>
    <w:rsid w:val="003005A9"/>
    <w:rsid w:val="003011B9"/>
    <w:rsid w:val="0030523F"/>
    <w:rsid w:val="003065F3"/>
    <w:rsid w:val="00306FF4"/>
    <w:rsid w:val="003074AB"/>
    <w:rsid w:val="00313ACA"/>
    <w:rsid w:val="00321CE0"/>
    <w:rsid w:val="00324553"/>
    <w:rsid w:val="0032568D"/>
    <w:rsid w:val="00332750"/>
    <w:rsid w:val="0033591A"/>
    <w:rsid w:val="00340908"/>
    <w:rsid w:val="00341B87"/>
    <w:rsid w:val="0034298E"/>
    <w:rsid w:val="00351CF2"/>
    <w:rsid w:val="00353F42"/>
    <w:rsid w:val="003561D5"/>
    <w:rsid w:val="00361653"/>
    <w:rsid w:val="0036196E"/>
    <w:rsid w:val="00364842"/>
    <w:rsid w:val="003650E7"/>
    <w:rsid w:val="00365B81"/>
    <w:rsid w:val="00374768"/>
    <w:rsid w:val="00380D2C"/>
    <w:rsid w:val="0038419A"/>
    <w:rsid w:val="00385270"/>
    <w:rsid w:val="00385AC7"/>
    <w:rsid w:val="00386B3F"/>
    <w:rsid w:val="00390BE3"/>
    <w:rsid w:val="00393D5D"/>
    <w:rsid w:val="00397A51"/>
    <w:rsid w:val="00397FEF"/>
    <w:rsid w:val="003A096D"/>
    <w:rsid w:val="003A2331"/>
    <w:rsid w:val="003A5772"/>
    <w:rsid w:val="003A7A2F"/>
    <w:rsid w:val="003B2C81"/>
    <w:rsid w:val="003B4B6C"/>
    <w:rsid w:val="003B6144"/>
    <w:rsid w:val="003B6529"/>
    <w:rsid w:val="003B671F"/>
    <w:rsid w:val="003C0A30"/>
    <w:rsid w:val="003C39E4"/>
    <w:rsid w:val="003D04F8"/>
    <w:rsid w:val="003D09A6"/>
    <w:rsid w:val="003D174B"/>
    <w:rsid w:val="003D3BA4"/>
    <w:rsid w:val="003D3ED4"/>
    <w:rsid w:val="003D52B4"/>
    <w:rsid w:val="003D5568"/>
    <w:rsid w:val="003D5D95"/>
    <w:rsid w:val="003D67A2"/>
    <w:rsid w:val="003E390D"/>
    <w:rsid w:val="003E4E4A"/>
    <w:rsid w:val="003E53F7"/>
    <w:rsid w:val="003F21FF"/>
    <w:rsid w:val="003F3A1F"/>
    <w:rsid w:val="003F4444"/>
    <w:rsid w:val="00401819"/>
    <w:rsid w:val="00401C8E"/>
    <w:rsid w:val="00404640"/>
    <w:rsid w:val="00404B3D"/>
    <w:rsid w:val="0040591F"/>
    <w:rsid w:val="00406689"/>
    <w:rsid w:val="00407D0E"/>
    <w:rsid w:val="00410E96"/>
    <w:rsid w:val="00412152"/>
    <w:rsid w:val="004131E3"/>
    <w:rsid w:val="00413914"/>
    <w:rsid w:val="00413B15"/>
    <w:rsid w:val="004142EA"/>
    <w:rsid w:val="0041523C"/>
    <w:rsid w:val="00415A13"/>
    <w:rsid w:val="00416BB4"/>
    <w:rsid w:val="00425A47"/>
    <w:rsid w:val="004305BA"/>
    <w:rsid w:val="00431EED"/>
    <w:rsid w:val="00433E19"/>
    <w:rsid w:val="00433E77"/>
    <w:rsid w:val="00436A6B"/>
    <w:rsid w:val="00440ADF"/>
    <w:rsid w:val="00441C26"/>
    <w:rsid w:val="00441C4B"/>
    <w:rsid w:val="004455DF"/>
    <w:rsid w:val="004475ED"/>
    <w:rsid w:val="00451763"/>
    <w:rsid w:val="00452E0C"/>
    <w:rsid w:val="004536E2"/>
    <w:rsid w:val="00467313"/>
    <w:rsid w:val="00467815"/>
    <w:rsid w:val="00467C00"/>
    <w:rsid w:val="00473467"/>
    <w:rsid w:val="00482ABC"/>
    <w:rsid w:val="004834ED"/>
    <w:rsid w:val="00483EF0"/>
    <w:rsid w:val="0048534C"/>
    <w:rsid w:val="00486EA3"/>
    <w:rsid w:val="00490F7E"/>
    <w:rsid w:val="00493811"/>
    <w:rsid w:val="00493852"/>
    <w:rsid w:val="0049506D"/>
    <w:rsid w:val="00497961"/>
    <w:rsid w:val="00497CF1"/>
    <w:rsid w:val="004A192B"/>
    <w:rsid w:val="004A301D"/>
    <w:rsid w:val="004A4294"/>
    <w:rsid w:val="004A5BDD"/>
    <w:rsid w:val="004B4046"/>
    <w:rsid w:val="004B574A"/>
    <w:rsid w:val="004B5812"/>
    <w:rsid w:val="004B5C5C"/>
    <w:rsid w:val="004C2D15"/>
    <w:rsid w:val="004C77BD"/>
    <w:rsid w:val="004D0EE5"/>
    <w:rsid w:val="004D4918"/>
    <w:rsid w:val="004D79D3"/>
    <w:rsid w:val="004E103D"/>
    <w:rsid w:val="004E2172"/>
    <w:rsid w:val="004E7E56"/>
    <w:rsid w:val="004F2330"/>
    <w:rsid w:val="004F5DDC"/>
    <w:rsid w:val="004F6F81"/>
    <w:rsid w:val="00506904"/>
    <w:rsid w:val="0050798C"/>
    <w:rsid w:val="00512D8A"/>
    <w:rsid w:val="005164AA"/>
    <w:rsid w:val="00516B6C"/>
    <w:rsid w:val="00516C78"/>
    <w:rsid w:val="00520E06"/>
    <w:rsid w:val="005249B1"/>
    <w:rsid w:val="005311F1"/>
    <w:rsid w:val="00532148"/>
    <w:rsid w:val="005366DE"/>
    <w:rsid w:val="00542A0F"/>
    <w:rsid w:val="0054348F"/>
    <w:rsid w:val="00544C3E"/>
    <w:rsid w:val="005505E8"/>
    <w:rsid w:val="005513C2"/>
    <w:rsid w:val="0055428F"/>
    <w:rsid w:val="00554744"/>
    <w:rsid w:val="00554BDF"/>
    <w:rsid w:val="005575F3"/>
    <w:rsid w:val="005633F5"/>
    <w:rsid w:val="005644EE"/>
    <w:rsid w:val="00565E87"/>
    <w:rsid w:val="005706E9"/>
    <w:rsid w:val="00571353"/>
    <w:rsid w:val="00572CAF"/>
    <w:rsid w:val="00574334"/>
    <w:rsid w:val="00576F22"/>
    <w:rsid w:val="00580813"/>
    <w:rsid w:val="005814B4"/>
    <w:rsid w:val="00582405"/>
    <w:rsid w:val="005845F9"/>
    <w:rsid w:val="00585046"/>
    <w:rsid w:val="00593519"/>
    <w:rsid w:val="00595506"/>
    <w:rsid w:val="00597636"/>
    <w:rsid w:val="005A078B"/>
    <w:rsid w:val="005A19D0"/>
    <w:rsid w:val="005A7044"/>
    <w:rsid w:val="005A70E6"/>
    <w:rsid w:val="005A7613"/>
    <w:rsid w:val="005B0DED"/>
    <w:rsid w:val="005B47BE"/>
    <w:rsid w:val="005B5D89"/>
    <w:rsid w:val="005B61F5"/>
    <w:rsid w:val="005B75B8"/>
    <w:rsid w:val="005C5D02"/>
    <w:rsid w:val="005D754B"/>
    <w:rsid w:val="005E17F2"/>
    <w:rsid w:val="005E2168"/>
    <w:rsid w:val="005E478D"/>
    <w:rsid w:val="005E5AB7"/>
    <w:rsid w:val="005F0C77"/>
    <w:rsid w:val="00604F25"/>
    <w:rsid w:val="00610AE1"/>
    <w:rsid w:val="00612D64"/>
    <w:rsid w:val="0061330E"/>
    <w:rsid w:val="00614C7F"/>
    <w:rsid w:val="00615050"/>
    <w:rsid w:val="00617195"/>
    <w:rsid w:val="006217C0"/>
    <w:rsid w:val="006237D3"/>
    <w:rsid w:val="00623EB6"/>
    <w:rsid w:val="0062520E"/>
    <w:rsid w:val="00626644"/>
    <w:rsid w:val="0063009C"/>
    <w:rsid w:val="00631F8A"/>
    <w:rsid w:val="0063329C"/>
    <w:rsid w:val="00633DF3"/>
    <w:rsid w:val="00634471"/>
    <w:rsid w:val="00634622"/>
    <w:rsid w:val="00634CA3"/>
    <w:rsid w:val="0064135B"/>
    <w:rsid w:val="00642362"/>
    <w:rsid w:val="0064262C"/>
    <w:rsid w:val="00646D33"/>
    <w:rsid w:val="00653C19"/>
    <w:rsid w:val="00653CEB"/>
    <w:rsid w:val="00654BF4"/>
    <w:rsid w:val="00660745"/>
    <w:rsid w:val="006623D8"/>
    <w:rsid w:val="006640DC"/>
    <w:rsid w:val="006643E0"/>
    <w:rsid w:val="00666B0A"/>
    <w:rsid w:val="00667E22"/>
    <w:rsid w:val="0067212D"/>
    <w:rsid w:val="00673DE1"/>
    <w:rsid w:val="00675E0C"/>
    <w:rsid w:val="00677B9D"/>
    <w:rsid w:val="00680DF0"/>
    <w:rsid w:val="006815FD"/>
    <w:rsid w:val="00682F83"/>
    <w:rsid w:val="0068434E"/>
    <w:rsid w:val="006873B4"/>
    <w:rsid w:val="00691CDF"/>
    <w:rsid w:val="00692A53"/>
    <w:rsid w:val="006962F0"/>
    <w:rsid w:val="006964FC"/>
    <w:rsid w:val="006A02B0"/>
    <w:rsid w:val="006A0BB8"/>
    <w:rsid w:val="006A0D34"/>
    <w:rsid w:val="006A0FAB"/>
    <w:rsid w:val="006A445E"/>
    <w:rsid w:val="006A5F81"/>
    <w:rsid w:val="006A614E"/>
    <w:rsid w:val="006B0368"/>
    <w:rsid w:val="006B143C"/>
    <w:rsid w:val="006B22A2"/>
    <w:rsid w:val="006B2F0B"/>
    <w:rsid w:val="006B7DA8"/>
    <w:rsid w:val="006B7E92"/>
    <w:rsid w:val="006C1F4C"/>
    <w:rsid w:val="006C3733"/>
    <w:rsid w:val="006C4809"/>
    <w:rsid w:val="006C53B3"/>
    <w:rsid w:val="006C78A6"/>
    <w:rsid w:val="006D1ED1"/>
    <w:rsid w:val="006D29BC"/>
    <w:rsid w:val="006D2CB4"/>
    <w:rsid w:val="006D2E50"/>
    <w:rsid w:val="006D38F3"/>
    <w:rsid w:val="006D41B7"/>
    <w:rsid w:val="006D4A3D"/>
    <w:rsid w:val="006D602B"/>
    <w:rsid w:val="006E3415"/>
    <w:rsid w:val="006E4F3A"/>
    <w:rsid w:val="006E76F5"/>
    <w:rsid w:val="006E79E0"/>
    <w:rsid w:val="006F26C6"/>
    <w:rsid w:val="006F2930"/>
    <w:rsid w:val="0071305A"/>
    <w:rsid w:val="0071648D"/>
    <w:rsid w:val="00716E31"/>
    <w:rsid w:val="00720786"/>
    <w:rsid w:val="00721103"/>
    <w:rsid w:val="00721E7C"/>
    <w:rsid w:val="00732927"/>
    <w:rsid w:val="00737412"/>
    <w:rsid w:val="00740125"/>
    <w:rsid w:val="00741E1C"/>
    <w:rsid w:val="00744112"/>
    <w:rsid w:val="007450AA"/>
    <w:rsid w:val="00751C9F"/>
    <w:rsid w:val="0075381D"/>
    <w:rsid w:val="00755328"/>
    <w:rsid w:val="00755435"/>
    <w:rsid w:val="00757655"/>
    <w:rsid w:val="00757B3B"/>
    <w:rsid w:val="00761313"/>
    <w:rsid w:val="00762A05"/>
    <w:rsid w:val="00762DF0"/>
    <w:rsid w:val="00764495"/>
    <w:rsid w:val="007652F6"/>
    <w:rsid w:val="00765DE3"/>
    <w:rsid w:val="00766C6C"/>
    <w:rsid w:val="007679E7"/>
    <w:rsid w:val="00771FB7"/>
    <w:rsid w:val="00772478"/>
    <w:rsid w:val="00772F9E"/>
    <w:rsid w:val="0077464C"/>
    <w:rsid w:val="007754BE"/>
    <w:rsid w:val="00776E94"/>
    <w:rsid w:val="0077705E"/>
    <w:rsid w:val="00782222"/>
    <w:rsid w:val="00782B39"/>
    <w:rsid w:val="00783A12"/>
    <w:rsid w:val="00784DDC"/>
    <w:rsid w:val="00784F23"/>
    <w:rsid w:val="00785411"/>
    <w:rsid w:val="00785465"/>
    <w:rsid w:val="00790618"/>
    <w:rsid w:val="00790EC5"/>
    <w:rsid w:val="00792100"/>
    <w:rsid w:val="007925E7"/>
    <w:rsid w:val="007934F6"/>
    <w:rsid w:val="00793E85"/>
    <w:rsid w:val="00796EB5"/>
    <w:rsid w:val="00797C01"/>
    <w:rsid w:val="007A169E"/>
    <w:rsid w:val="007A22F4"/>
    <w:rsid w:val="007A5D92"/>
    <w:rsid w:val="007B0E93"/>
    <w:rsid w:val="007B51CF"/>
    <w:rsid w:val="007B66EE"/>
    <w:rsid w:val="007C0D00"/>
    <w:rsid w:val="007C1374"/>
    <w:rsid w:val="007C17AC"/>
    <w:rsid w:val="007C27C6"/>
    <w:rsid w:val="007C2C97"/>
    <w:rsid w:val="007D0215"/>
    <w:rsid w:val="007D13C6"/>
    <w:rsid w:val="007D3CC7"/>
    <w:rsid w:val="007D4190"/>
    <w:rsid w:val="007D5959"/>
    <w:rsid w:val="007D5DBA"/>
    <w:rsid w:val="007D7044"/>
    <w:rsid w:val="007E6B9E"/>
    <w:rsid w:val="007E7065"/>
    <w:rsid w:val="007F2192"/>
    <w:rsid w:val="007F496E"/>
    <w:rsid w:val="007F75B4"/>
    <w:rsid w:val="0080281D"/>
    <w:rsid w:val="00802C12"/>
    <w:rsid w:val="00802C7A"/>
    <w:rsid w:val="00802F51"/>
    <w:rsid w:val="008048F6"/>
    <w:rsid w:val="00805D0F"/>
    <w:rsid w:val="008079A3"/>
    <w:rsid w:val="00807E2A"/>
    <w:rsid w:val="00811884"/>
    <w:rsid w:val="008118EA"/>
    <w:rsid w:val="00811917"/>
    <w:rsid w:val="008125B9"/>
    <w:rsid w:val="008127FB"/>
    <w:rsid w:val="0081377B"/>
    <w:rsid w:val="0081506B"/>
    <w:rsid w:val="008323BC"/>
    <w:rsid w:val="00832D3C"/>
    <w:rsid w:val="008350BB"/>
    <w:rsid w:val="0083647B"/>
    <w:rsid w:val="00837B2D"/>
    <w:rsid w:val="008420CE"/>
    <w:rsid w:val="008427A6"/>
    <w:rsid w:val="00847921"/>
    <w:rsid w:val="00851DA8"/>
    <w:rsid w:val="00853C34"/>
    <w:rsid w:val="008544C8"/>
    <w:rsid w:val="00855F5C"/>
    <w:rsid w:val="00861889"/>
    <w:rsid w:val="00863092"/>
    <w:rsid w:val="00863DE6"/>
    <w:rsid w:val="008678F3"/>
    <w:rsid w:val="0087279F"/>
    <w:rsid w:val="00874213"/>
    <w:rsid w:val="00874CC1"/>
    <w:rsid w:val="00877D04"/>
    <w:rsid w:val="00885EA2"/>
    <w:rsid w:val="0089059D"/>
    <w:rsid w:val="0089088C"/>
    <w:rsid w:val="0089192B"/>
    <w:rsid w:val="00891A9C"/>
    <w:rsid w:val="0089494E"/>
    <w:rsid w:val="00896E4D"/>
    <w:rsid w:val="008A24FE"/>
    <w:rsid w:val="008A2CBE"/>
    <w:rsid w:val="008A6ED7"/>
    <w:rsid w:val="008A7C91"/>
    <w:rsid w:val="008B2170"/>
    <w:rsid w:val="008B42FC"/>
    <w:rsid w:val="008B4C6C"/>
    <w:rsid w:val="008B5B77"/>
    <w:rsid w:val="008B7141"/>
    <w:rsid w:val="008C210B"/>
    <w:rsid w:val="008C4F7C"/>
    <w:rsid w:val="008D1C2C"/>
    <w:rsid w:val="008D1FA7"/>
    <w:rsid w:val="008D3DCD"/>
    <w:rsid w:val="008D7CD6"/>
    <w:rsid w:val="008E5717"/>
    <w:rsid w:val="008E5CEA"/>
    <w:rsid w:val="008E6125"/>
    <w:rsid w:val="008E62CE"/>
    <w:rsid w:val="008F360A"/>
    <w:rsid w:val="008F5DF8"/>
    <w:rsid w:val="008F6F95"/>
    <w:rsid w:val="008F7EE4"/>
    <w:rsid w:val="00900B5A"/>
    <w:rsid w:val="00902D9F"/>
    <w:rsid w:val="00904C45"/>
    <w:rsid w:val="00905000"/>
    <w:rsid w:val="0090648B"/>
    <w:rsid w:val="009075F1"/>
    <w:rsid w:val="00910237"/>
    <w:rsid w:val="0091367F"/>
    <w:rsid w:val="00916610"/>
    <w:rsid w:val="00920B13"/>
    <w:rsid w:val="00921D63"/>
    <w:rsid w:val="00923AE0"/>
    <w:rsid w:val="00923AED"/>
    <w:rsid w:val="009249BE"/>
    <w:rsid w:val="00924B5E"/>
    <w:rsid w:val="00925305"/>
    <w:rsid w:val="00926F27"/>
    <w:rsid w:val="00927CBE"/>
    <w:rsid w:val="009308CE"/>
    <w:rsid w:val="00930A87"/>
    <w:rsid w:val="009311EE"/>
    <w:rsid w:val="00937D04"/>
    <w:rsid w:val="0094070D"/>
    <w:rsid w:val="00940A78"/>
    <w:rsid w:val="00946418"/>
    <w:rsid w:val="009469E5"/>
    <w:rsid w:val="00946C53"/>
    <w:rsid w:val="00947C71"/>
    <w:rsid w:val="00952581"/>
    <w:rsid w:val="00952A36"/>
    <w:rsid w:val="00952B33"/>
    <w:rsid w:val="0095517B"/>
    <w:rsid w:val="00956F6C"/>
    <w:rsid w:val="00962CC4"/>
    <w:rsid w:val="00965B61"/>
    <w:rsid w:val="009676DF"/>
    <w:rsid w:val="00967FD0"/>
    <w:rsid w:val="0097550C"/>
    <w:rsid w:val="00976611"/>
    <w:rsid w:val="00980122"/>
    <w:rsid w:val="009805A5"/>
    <w:rsid w:val="00981865"/>
    <w:rsid w:val="00985824"/>
    <w:rsid w:val="0099158D"/>
    <w:rsid w:val="009959A8"/>
    <w:rsid w:val="009A0D61"/>
    <w:rsid w:val="009A3782"/>
    <w:rsid w:val="009A7975"/>
    <w:rsid w:val="009A7BE7"/>
    <w:rsid w:val="009B00AD"/>
    <w:rsid w:val="009B0C8B"/>
    <w:rsid w:val="009B1612"/>
    <w:rsid w:val="009B1AFF"/>
    <w:rsid w:val="009B25D1"/>
    <w:rsid w:val="009B559F"/>
    <w:rsid w:val="009B7544"/>
    <w:rsid w:val="009B7CDF"/>
    <w:rsid w:val="009C090F"/>
    <w:rsid w:val="009C12FB"/>
    <w:rsid w:val="009C482A"/>
    <w:rsid w:val="009C4C54"/>
    <w:rsid w:val="009C7913"/>
    <w:rsid w:val="009D0EB2"/>
    <w:rsid w:val="009D0EE1"/>
    <w:rsid w:val="009D6082"/>
    <w:rsid w:val="009D70C3"/>
    <w:rsid w:val="009D725A"/>
    <w:rsid w:val="009D7763"/>
    <w:rsid w:val="009D7DFB"/>
    <w:rsid w:val="009E0F96"/>
    <w:rsid w:val="009E1F4A"/>
    <w:rsid w:val="009E23A5"/>
    <w:rsid w:val="009E432E"/>
    <w:rsid w:val="009E566F"/>
    <w:rsid w:val="009E6FA5"/>
    <w:rsid w:val="009F1C24"/>
    <w:rsid w:val="00A01221"/>
    <w:rsid w:val="00A01762"/>
    <w:rsid w:val="00A06850"/>
    <w:rsid w:val="00A06DCB"/>
    <w:rsid w:val="00A107FB"/>
    <w:rsid w:val="00A12733"/>
    <w:rsid w:val="00A137A5"/>
    <w:rsid w:val="00A13A8F"/>
    <w:rsid w:val="00A17FF1"/>
    <w:rsid w:val="00A22385"/>
    <w:rsid w:val="00A27BFA"/>
    <w:rsid w:val="00A31474"/>
    <w:rsid w:val="00A31F03"/>
    <w:rsid w:val="00A37A86"/>
    <w:rsid w:val="00A4368B"/>
    <w:rsid w:val="00A460F8"/>
    <w:rsid w:val="00A470EB"/>
    <w:rsid w:val="00A51D86"/>
    <w:rsid w:val="00A54F3E"/>
    <w:rsid w:val="00A57DF2"/>
    <w:rsid w:val="00A618A4"/>
    <w:rsid w:val="00A61DF7"/>
    <w:rsid w:val="00A62676"/>
    <w:rsid w:val="00A651A0"/>
    <w:rsid w:val="00A711B3"/>
    <w:rsid w:val="00A74A82"/>
    <w:rsid w:val="00A74BD8"/>
    <w:rsid w:val="00A74CC3"/>
    <w:rsid w:val="00A75F58"/>
    <w:rsid w:val="00A77656"/>
    <w:rsid w:val="00A77CFF"/>
    <w:rsid w:val="00A8005D"/>
    <w:rsid w:val="00A80A9F"/>
    <w:rsid w:val="00A80DAE"/>
    <w:rsid w:val="00A80F0C"/>
    <w:rsid w:val="00A81430"/>
    <w:rsid w:val="00A822BB"/>
    <w:rsid w:val="00A8372A"/>
    <w:rsid w:val="00A86994"/>
    <w:rsid w:val="00A86B65"/>
    <w:rsid w:val="00A86E26"/>
    <w:rsid w:val="00A87945"/>
    <w:rsid w:val="00A932F9"/>
    <w:rsid w:val="00A95739"/>
    <w:rsid w:val="00AA018F"/>
    <w:rsid w:val="00AA2E82"/>
    <w:rsid w:val="00AA53A6"/>
    <w:rsid w:val="00AA59B5"/>
    <w:rsid w:val="00AA6AB6"/>
    <w:rsid w:val="00AA6C2C"/>
    <w:rsid w:val="00AB16A6"/>
    <w:rsid w:val="00AB2984"/>
    <w:rsid w:val="00AB2F29"/>
    <w:rsid w:val="00AB31C6"/>
    <w:rsid w:val="00AB6999"/>
    <w:rsid w:val="00AC0F67"/>
    <w:rsid w:val="00AC206B"/>
    <w:rsid w:val="00AC5CE1"/>
    <w:rsid w:val="00AD6F45"/>
    <w:rsid w:val="00AE0024"/>
    <w:rsid w:val="00AE1301"/>
    <w:rsid w:val="00AE2599"/>
    <w:rsid w:val="00AE558B"/>
    <w:rsid w:val="00AF11E5"/>
    <w:rsid w:val="00AF1A28"/>
    <w:rsid w:val="00AF2F6D"/>
    <w:rsid w:val="00AF3678"/>
    <w:rsid w:val="00B0312D"/>
    <w:rsid w:val="00B0735E"/>
    <w:rsid w:val="00B1310F"/>
    <w:rsid w:val="00B1490B"/>
    <w:rsid w:val="00B162A3"/>
    <w:rsid w:val="00B172FD"/>
    <w:rsid w:val="00B20C6A"/>
    <w:rsid w:val="00B2323C"/>
    <w:rsid w:val="00B24E5B"/>
    <w:rsid w:val="00B26467"/>
    <w:rsid w:val="00B274F9"/>
    <w:rsid w:val="00B27FED"/>
    <w:rsid w:val="00B30DBD"/>
    <w:rsid w:val="00B4077E"/>
    <w:rsid w:val="00B44D2D"/>
    <w:rsid w:val="00B473E8"/>
    <w:rsid w:val="00B51C11"/>
    <w:rsid w:val="00B52D31"/>
    <w:rsid w:val="00B55E43"/>
    <w:rsid w:val="00B645BB"/>
    <w:rsid w:val="00B64C48"/>
    <w:rsid w:val="00B662A6"/>
    <w:rsid w:val="00B665D8"/>
    <w:rsid w:val="00B66BD9"/>
    <w:rsid w:val="00B67A78"/>
    <w:rsid w:val="00B67C7A"/>
    <w:rsid w:val="00B73BE1"/>
    <w:rsid w:val="00B811FC"/>
    <w:rsid w:val="00B81C1B"/>
    <w:rsid w:val="00B83696"/>
    <w:rsid w:val="00B85DC3"/>
    <w:rsid w:val="00B87F78"/>
    <w:rsid w:val="00B92122"/>
    <w:rsid w:val="00BA5597"/>
    <w:rsid w:val="00BA5D97"/>
    <w:rsid w:val="00BB2D37"/>
    <w:rsid w:val="00BB4602"/>
    <w:rsid w:val="00BB6406"/>
    <w:rsid w:val="00BB7D35"/>
    <w:rsid w:val="00BC013E"/>
    <w:rsid w:val="00BC0457"/>
    <w:rsid w:val="00BC6E14"/>
    <w:rsid w:val="00BD0A2F"/>
    <w:rsid w:val="00BD6ECC"/>
    <w:rsid w:val="00BD7D21"/>
    <w:rsid w:val="00BE10EE"/>
    <w:rsid w:val="00BE237B"/>
    <w:rsid w:val="00BE3E21"/>
    <w:rsid w:val="00BE4E87"/>
    <w:rsid w:val="00BE5151"/>
    <w:rsid w:val="00BE7263"/>
    <w:rsid w:val="00BE7671"/>
    <w:rsid w:val="00BE7D91"/>
    <w:rsid w:val="00BF5584"/>
    <w:rsid w:val="00C02F2D"/>
    <w:rsid w:val="00C0412D"/>
    <w:rsid w:val="00C0565C"/>
    <w:rsid w:val="00C060B0"/>
    <w:rsid w:val="00C10FD7"/>
    <w:rsid w:val="00C11562"/>
    <w:rsid w:val="00C2004D"/>
    <w:rsid w:val="00C2178B"/>
    <w:rsid w:val="00C217DC"/>
    <w:rsid w:val="00C246F0"/>
    <w:rsid w:val="00C27A1A"/>
    <w:rsid w:val="00C30DFB"/>
    <w:rsid w:val="00C3263E"/>
    <w:rsid w:val="00C3283A"/>
    <w:rsid w:val="00C32956"/>
    <w:rsid w:val="00C34AF3"/>
    <w:rsid w:val="00C559F8"/>
    <w:rsid w:val="00C56872"/>
    <w:rsid w:val="00C6050E"/>
    <w:rsid w:val="00C61210"/>
    <w:rsid w:val="00C649D0"/>
    <w:rsid w:val="00C65F49"/>
    <w:rsid w:val="00C665D5"/>
    <w:rsid w:val="00C66DE8"/>
    <w:rsid w:val="00C71F5B"/>
    <w:rsid w:val="00C769C1"/>
    <w:rsid w:val="00C76C0B"/>
    <w:rsid w:val="00C76E1A"/>
    <w:rsid w:val="00C76FE3"/>
    <w:rsid w:val="00C77BA1"/>
    <w:rsid w:val="00C805BB"/>
    <w:rsid w:val="00C81516"/>
    <w:rsid w:val="00C830F5"/>
    <w:rsid w:val="00C83CD6"/>
    <w:rsid w:val="00C83FCF"/>
    <w:rsid w:val="00C94402"/>
    <w:rsid w:val="00C9445B"/>
    <w:rsid w:val="00C94D21"/>
    <w:rsid w:val="00CA1BCC"/>
    <w:rsid w:val="00CA31C5"/>
    <w:rsid w:val="00CA35FE"/>
    <w:rsid w:val="00CB06D7"/>
    <w:rsid w:val="00CB3199"/>
    <w:rsid w:val="00CB33B2"/>
    <w:rsid w:val="00CB5449"/>
    <w:rsid w:val="00CB5AED"/>
    <w:rsid w:val="00CB78D1"/>
    <w:rsid w:val="00CC02BC"/>
    <w:rsid w:val="00CC059F"/>
    <w:rsid w:val="00CC0DC9"/>
    <w:rsid w:val="00CC1DFA"/>
    <w:rsid w:val="00CC1FB5"/>
    <w:rsid w:val="00CC3CDA"/>
    <w:rsid w:val="00CC52FF"/>
    <w:rsid w:val="00CD2464"/>
    <w:rsid w:val="00CD302C"/>
    <w:rsid w:val="00CD4B75"/>
    <w:rsid w:val="00CE03E5"/>
    <w:rsid w:val="00CE307C"/>
    <w:rsid w:val="00CF3E27"/>
    <w:rsid w:val="00CF5FE4"/>
    <w:rsid w:val="00CF6807"/>
    <w:rsid w:val="00CF70A9"/>
    <w:rsid w:val="00D034BF"/>
    <w:rsid w:val="00D05D75"/>
    <w:rsid w:val="00D135D6"/>
    <w:rsid w:val="00D255E0"/>
    <w:rsid w:val="00D26E6D"/>
    <w:rsid w:val="00D330B7"/>
    <w:rsid w:val="00D33792"/>
    <w:rsid w:val="00D35263"/>
    <w:rsid w:val="00D36CC6"/>
    <w:rsid w:val="00D3797E"/>
    <w:rsid w:val="00D41F81"/>
    <w:rsid w:val="00D4405B"/>
    <w:rsid w:val="00D45193"/>
    <w:rsid w:val="00D46A4B"/>
    <w:rsid w:val="00D555BC"/>
    <w:rsid w:val="00D6137E"/>
    <w:rsid w:val="00D71628"/>
    <w:rsid w:val="00D76E40"/>
    <w:rsid w:val="00D835F2"/>
    <w:rsid w:val="00D855D6"/>
    <w:rsid w:val="00D940DB"/>
    <w:rsid w:val="00DA0A7A"/>
    <w:rsid w:val="00DA1F69"/>
    <w:rsid w:val="00DA25F5"/>
    <w:rsid w:val="00DA3497"/>
    <w:rsid w:val="00DA59AA"/>
    <w:rsid w:val="00DA72C6"/>
    <w:rsid w:val="00DB7E7F"/>
    <w:rsid w:val="00DB7E97"/>
    <w:rsid w:val="00DC132C"/>
    <w:rsid w:val="00DC4106"/>
    <w:rsid w:val="00DC5317"/>
    <w:rsid w:val="00DC53A9"/>
    <w:rsid w:val="00DC5571"/>
    <w:rsid w:val="00DC59B3"/>
    <w:rsid w:val="00DD16F9"/>
    <w:rsid w:val="00DD436E"/>
    <w:rsid w:val="00DE018C"/>
    <w:rsid w:val="00DE1C1C"/>
    <w:rsid w:val="00DE1E25"/>
    <w:rsid w:val="00DF1474"/>
    <w:rsid w:val="00DF1D08"/>
    <w:rsid w:val="00DF2FE9"/>
    <w:rsid w:val="00E00292"/>
    <w:rsid w:val="00E026E5"/>
    <w:rsid w:val="00E033AF"/>
    <w:rsid w:val="00E03CC0"/>
    <w:rsid w:val="00E1027B"/>
    <w:rsid w:val="00E10737"/>
    <w:rsid w:val="00E11712"/>
    <w:rsid w:val="00E15AF3"/>
    <w:rsid w:val="00E22160"/>
    <w:rsid w:val="00E233EF"/>
    <w:rsid w:val="00E24000"/>
    <w:rsid w:val="00E2580D"/>
    <w:rsid w:val="00E25A6F"/>
    <w:rsid w:val="00E368AC"/>
    <w:rsid w:val="00E375C9"/>
    <w:rsid w:val="00E402CE"/>
    <w:rsid w:val="00E4142A"/>
    <w:rsid w:val="00E43EFD"/>
    <w:rsid w:val="00E50594"/>
    <w:rsid w:val="00E5293B"/>
    <w:rsid w:val="00E532C0"/>
    <w:rsid w:val="00E55142"/>
    <w:rsid w:val="00E55F00"/>
    <w:rsid w:val="00E60BFD"/>
    <w:rsid w:val="00E61661"/>
    <w:rsid w:val="00E6213D"/>
    <w:rsid w:val="00E63E83"/>
    <w:rsid w:val="00E64CED"/>
    <w:rsid w:val="00E708FD"/>
    <w:rsid w:val="00E81C77"/>
    <w:rsid w:val="00E823A1"/>
    <w:rsid w:val="00E86C0A"/>
    <w:rsid w:val="00E8708D"/>
    <w:rsid w:val="00E87CCF"/>
    <w:rsid w:val="00E914A8"/>
    <w:rsid w:val="00E91B10"/>
    <w:rsid w:val="00E91F84"/>
    <w:rsid w:val="00E92559"/>
    <w:rsid w:val="00E942CB"/>
    <w:rsid w:val="00E97F6F"/>
    <w:rsid w:val="00EA1AD8"/>
    <w:rsid w:val="00EA4B38"/>
    <w:rsid w:val="00EB4CB2"/>
    <w:rsid w:val="00EB7E30"/>
    <w:rsid w:val="00EC1A13"/>
    <w:rsid w:val="00EC1A4D"/>
    <w:rsid w:val="00EC1E48"/>
    <w:rsid w:val="00EC2085"/>
    <w:rsid w:val="00EC6E01"/>
    <w:rsid w:val="00ED24DD"/>
    <w:rsid w:val="00ED384C"/>
    <w:rsid w:val="00ED3A73"/>
    <w:rsid w:val="00EE00D5"/>
    <w:rsid w:val="00EE173A"/>
    <w:rsid w:val="00EE6C59"/>
    <w:rsid w:val="00EE78E9"/>
    <w:rsid w:val="00EF2CAD"/>
    <w:rsid w:val="00EF4C99"/>
    <w:rsid w:val="00EF5725"/>
    <w:rsid w:val="00F006FB"/>
    <w:rsid w:val="00F028CB"/>
    <w:rsid w:val="00F043C4"/>
    <w:rsid w:val="00F0494D"/>
    <w:rsid w:val="00F05B70"/>
    <w:rsid w:val="00F05BB0"/>
    <w:rsid w:val="00F14BC3"/>
    <w:rsid w:val="00F14E17"/>
    <w:rsid w:val="00F15EBE"/>
    <w:rsid w:val="00F20C8B"/>
    <w:rsid w:val="00F22C68"/>
    <w:rsid w:val="00F2535E"/>
    <w:rsid w:val="00F331D5"/>
    <w:rsid w:val="00F33C77"/>
    <w:rsid w:val="00F34391"/>
    <w:rsid w:val="00F3511E"/>
    <w:rsid w:val="00F3671C"/>
    <w:rsid w:val="00F40454"/>
    <w:rsid w:val="00F42093"/>
    <w:rsid w:val="00F444E1"/>
    <w:rsid w:val="00F44513"/>
    <w:rsid w:val="00F504B3"/>
    <w:rsid w:val="00F53122"/>
    <w:rsid w:val="00F5549C"/>
    <w:rsid w:val="00F5569F"/>
    <w:rsid w:val="00F55A3B"/>
    <w:rsid w:val="00F63F93"/>
    <w:rsid w:val="00F66A7E"/>
    <w:rsid w:val="00F70A70"/>
    <w:rsid w:val="00F73D12"/>
    <w:rsid w:val="00F744EC"/>
    <w:rsid w:val="00F76298"/>
    <w:rsid w:val="00F805DF"/>
    <w:rsid w:val="00F80D5D"/>
    <w:rsid w:val="00F852F9"/>
    <w:rsid w:val="00F86B41"/>
    <w:rsid w:val="00F9191A"/>
    <w:rsid w:val="00F97239"/>
    <w:rsid w:val="00F97A90"/>
    <w:rsid w:val="00FA015A"/>
    <w:rsid w:val="00FB7A8C"/>
    <w:rsid w:val="00FB7B2E"/>
    <w:rsid w:val="00FC1562"/>
    <w:rsid w:val="00FC26DE"/>
    <w:rsid w:val="00FC3DC9"/>
    <w:rsid w:val="00FC70DB"/>
    <w:rsid w:val="00FD0E27"/>
    <w:rsid w:val="00FD2B14"/>
    <w:rsid w:val="00FD2EA0"/>
    <w:rsid w:val="00FD362E"/>
    <w:rsid w:val="00FD4F68"/>
    <w:rsid w:val="00FD7A66"/>
    <w:rsid w:val="00FE0E20"/>
    <w:rsid w:val="00FE331E"/>
    <w:rsid w:val="00FE38B0"/>
    <w:rsid w:val="00FE7B99"/>
    <w:rsid w:val="00FF155D"/>
    <w:rsid w:val="00FF53EE"/>
    <w:rsid w:val="06C02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F97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2A"/>
  </w:style>
  <w:style w:type="paragraph" w:styleId="Heading1">
    <w:name w:val="heading 1"/>
    <w:basedOn w:val="Normal"/>
    <w:link w:val="Heading1Char"/>
    <w:uiPriority w:val="9"/>
    <w:qFormat/>
    <w:rsid w:val="004950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06D"/>
    <w:rPr>
      <w:rFonts w:ascii="Times New Roman" w:eastAsia="Times New Roman" w:hAnsi="Times New Roman" w:cs="Times New Roman"/>
      <w:b/>
      <w:bCs/>
      <w:kern w:val="36"/>
      <w:sz w:val="48"/>
      <w:szCs w:val="48"/>
    </w:rPr>
  </w:style>
  <w:style w:type="character" w:customStyle="1" w:styleId="CommentTextChar">
    <w:name w:val="Comment Text Char"/>
    <w:basedOn w:val="DefaultParagraphFont"/>
    <w:link w:val="CommentText"/>
    <w:uiPriority w:val="99"/>
    <w:rsid w:val="00A62676"/>
    <w:rPr>
      <w:sz w:val="20"/>
      <w:szCs w:val="20"/>
    </w:rPr>
  </w:style>
  <w:style w:type="paragraph" w:styleId="CommentText">
    <w:name w:val="annotation text"/>
    <w:basedOn w:val="Normal"/>
    <w:link w:val="CommentTextChar"/>
    <w:uiPriority w:val="99"/>
    <w:unhideWhenUsed/>
    <w:rsid w:val="00A62676"/>
    <w:pPr>
      <w:spacing w:line="240" w:lineRule="auto"/>
    </w:pPr>
    <w:rPr>
      <w:sz w:val="20"/>
      <w:szCs w:val="20"/>
    </w:rPr>
  </w:style>
  <w:style w:type="character" w:customStyle="1" w:styleId="CommentTextChar1">
    <w:name w:val="Comment Text Char1"/>
    <w:basedOn w:val="DefaultParagraphFont"/>
    <w:uiPriority w:val="99"/>
    <w:semiHidden/>
    <w:rsid w:val="00A62676"/>
    <w:rPr>
      <w:sz w:val="20"/>
      <w:szCs w:val="20"/>
    </w:rPr>
  </w:style>
  <w:style w:type="paragraph" w:styleId="NormalWeb">
    <w:name w:val="Normal (Web)"/>
    <w:basedOn w:val="Normal"/>
    <w:link w:val="NormalWebChar"/>
    <w:uiPriority w:val="99"/>
    <w:unhideWhenUsed/>
    <w:rsid w:val="00A626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A6267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62676"/>
    <w:rPr>
      <w:sz w:val="16"/>
      <w:szCs w:val="16"/>
    </w:rPr>
  </w:style>
  <w:style w:type="paragraph" w:styleId="BalloonText">
    <w:name w:val="Balloon Text"/>
    <w:basedOn w:val="Normal"/>
    <w:link w:val="BalloonTextChar"/>
    <w:uiPriority w:val="99"/>
    <w:semiHidden/>
    <w:unhideWhenUsed/>
    <w:rsid w:val="00A62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676"/>
    <w:rPr>
      <w:rFonts w:ascii="Segoe UI" w:hAnsi="Segoe UI" w:cs="Segoe UI"/>
      <w:sz w:val="18"/>
      <w:szCs w:val="18"/>
    </w:rPr>
  </w:style>
  <w:style w:type="paragraph" w:styleId="Header">
    <w:name w:val="header"/>
    <w:basedOn w:val="Normal"/>
    <w:link w:val="HeaderChar"/>
    <w:uiPriority w:val="99"/>
    <w:unhideWhenUsed/>
    <w:rsid w:val="001E5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F5E"/>
  </w:style>
  <w:style w:type="paragraph" w:styleId="Footer">
    <w:name w:val="footer"/>
    <w:basedOn w:val="Normal"/>
    <w:link w:val="FooterChar"/>
    <w:uiPriority w:val="99"/>
    <w:unhideWhenUsed/>
    <w:rsid w:val="001E5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F5E"/>
  </w:style>
  <w:style w:type="paragraph" w:styleId="Bibliography">
    <w:name w:val="Bibliography"/>
    <w:basedOn w:val="Normal"/>
    <w:next w:val="Normal"/>
    <w:uiPriority w:val="37"/>
    <w:unhideWhenUsed/>
    <w:rsid w:val="007E7065"/>
    <w:pPr>
      <w:tabs>
        <w:tab w:val="left" w:pos="624"/>
      </w:tabs>
      <w:spacing w:after="0" w:line="240" w:lineRule="auto"/>
      <w:ind w:left="624" w:hanging="624"/>
    </w:pPr>
  </w:style>
  <w:style w:type="character" w:customStyle="1" w:styleId="CommentSubjectChar">
    <w:name w:val="Comment Subject Char"/>
    <w:basedOn w:val="CommentTextChar"/>
    <w:link w:val="CommentSubject"/>
    <w:uiPriority w:val="99"/>
    <w:semiHidden/>
    <w:rsid w:val="005C5D02"/>
    <w:rPr>
      <w:b/>
      <w:bCs/>
      <w:sz w:val="20"/>
      <w:szCs w:val="20"/>
    </w:rPr>
  </w:style>
  <w:style w:type="paragraph" w:styleId="CommentSubject">
    <w:name w:val="annotation subject"/>
    <w:basedOn w:val="CommentText"/>
    <w:next w:val="CommentText"/>
    <w:link w:val="CommentSubjectChar"/>
    <w:uiPriority w:val="99"/>
    <w:semiHidden/>
    <w:unhideWhenUsed/>
    <w:rsid w:val="005C5D02"/>
    <w:rPr>
      <w:b/>
      <w:bCs/>
    </w:rPr>
  </w:style>
  <w:style w:type="character" w:customStyle="1" w:styleId="CommentSubjectChar1">
    <w:name w:val="Comment Subject Char1"/>
    <w:basedOn w:val="CommentTextChar"/>
    <w:uiPriority w:val="99"/>
    <w:semiHidden/>
    <w:rsid w:val="005C5D02"/>
    <w:rPr>
      <w:b/>
      <w:bCs/>
      <w:sz w:val="20"/>
      <w:szCs w:val="20"/>
    </w:rPr>
  </w:style>
  <w:style w:type="paragraph" w:customStyle="1" w:styleId="EndNoteBibliographyTitle">
    <w:name w:val="EndNote Bibliography Title"/>
    <w:basedOn w:val="Normal"/>
    <w:link w:val="EndNoteBibliographyTitleChar"/>
    <w:rsid w:val="005C5D0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C5D02"/>
    <w:rPr>
      <w:rFonts w:ascii="Calibri" w:hAnsi="Calibri" w:cs="Calibri"/>
      <w:noProof/>
    </w:rPr>
  </w:style>
  <w:style w:type="paragraph" w:customStyle="1" w:styleId="EndNoteBibliography">
    <w:name w:val="EndNote Bibliography"/>
    <w:basedOn w:val="Normal"/>
    <w:link w:val="EndNoteBibliographyChar"/>
    <w:rsid w:val="005C5D0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C5D02"/>
    <w:rPr>
      <w:rFonts w:ascii="Calibri" w:hAnsi="Calibri" w:cs="Calibri"/>
      <w:noProof/>
    </w:rPr>
  </w:style>
  <w:style w:type="paragraph" w:styleId="ListParagraph">
    <w:name w:val="List Paragraph"/>
    <w:basedOn w:val="Normal"/>
    <w:uiPriority w:val="34"/>
    <w:qFormat/>
    <w:rsid w:val="005C5D02"/>
    <w:pPr>
      <w:ind w:left="720"/>
      <w:contextualSpacing/>
    </w:pPr>
  </w:style>
  <w:style w:type="character" w:styleId="Hyperlink">
    <w:name w:val="Hyperlink"/>
    <w:basedOn w:val="DefaultParagraphFont"/>
    <w:uiPriority w:val="99"/>
    <w:unhideWhenUsed/>
    <w:rsid w:val="005C5D02"/>
    <w:rPr>
      <w:color w:val="0563C1" w:themeColor="hyperlink"/>
      <w:u w:val="single"/>
    </w:rPr>
  </w:style>
  <w:style w:type="table" w:styleId="TableGrid">
    <w:name w:val="Table Grid"/>
    <w:basedOn w:val="TableNormal"/>
    <w:uiPriority w:val="39"/>
    <w:rsid w:val="005C5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0D34"/>
    <w:rPr>
      <w:color w:val="954F72" w:themeColor="followedHyperlink"/>
      <w:u w:val="single"/>
    </w:rPr>
  </w:style>
  <w:style w:type="character" w:styleId="LineNumber">
    <w:name w:val="line number"/>
    <w:basedOn w:val="DefaultParagraphFont"/>
    <w:uiPriority w:val="99"/>
    <w:semiHidden/>
    <w:unhideWhenUsed/>
    <w:rsid w:val="00802F51"/>
  </w:style>
  <w:style w:type="character" w:customStyle="1" w:styleId="textformatter-separator">
    <w:name w:val="textformatter-separator"/>
    <w:basedOn w:val="DefaultParagraphFont"/>
    <w:rsid w:val="00201E83"/>
  </w:style>
  <w:style w:type="character" w:customStyle="1" w:styleId="UnresolvedMention1">
    <w:name w:val="Unresolved Mention1"/>
    <w:basedOn w:val="DefaultParagraphFont"/>
    <w:uiPriority w:val="99"/>
    <w:semiHidden/>
    <w:unhideWhenUsed/>
    <w:rsid w:val="0049506D"/>
    <w:rPr>
      <w:color w:val="605E5C"/>
      <w:shd w:val="clear" w:color="auto" w:fill="E1DFDD"/>
    </w:rPr>
  </w:style>
  <w:style w:type="character" w:customStyle="1" w:styleId="al-author-name-more">
    <w:name w:val="al-author-name-more"/>
    <w:basedOn w:val="DefaultParagraphFont"/>
    <w:rsid w:val="0049506D"/>
  </w:style>
  <w:style w:type="character" w:customStyle="1" w:styleId="delimiter">
    <w:name w:val="delimiter"/>
    <w:basedOn w:val="DefaultParagraphFont"/>
    <w:rsid w:val="0049506D"/>
  </w:style>
  <w:style w:type="character" w:styleId="Emphasis">
    <w:name w:val="Emphasis"/>
    <w:basedOn w:val="DefaultParagraphFont"/>
    <w:uiPriority w:val="20"/>
    <w:qFormat/>
    <w:rsid w:val="0049506D"/>
    <w:rPr>
      <w:i/>
      <w:iCs/>
    </w:rPr>
  </w:style>
  <w:style w:type="paragraph" w:styleId="Revision">
    <w:name w:val="Revision"/>
    <w:hidden/>
    <w:uiPriority w:val="99"/>
    <w:semiHidden/>
    <w:rsid w:val="003074AB"/>
    <w:pPr>
      <w:spacing w:after="0" w:line="240" w:lineRule="auto"/>
    </w:pPr>
  </w:style>
  <w:style w:type="character" w:customStyle="1" w:styleId="authors-list-item">
    <w:name w:val="authors-list-item"/>
    <w:basedOn w:val="DefaultParagraphFont"/>
    <w:rsid w:val="002644FA"/>
  </w:style>
  <w:style w:type="character" w:customStyle="1" w:styleId="author-sup-separator">
    <w:name w:val="author-sup-separator"/>
    <w:basedOn w:val="DefaultParagraphFont"/>
    <w:rsid w:val="002644FA"/>
  </w:style>
  <w:style w:type="character" w:customStyle="1" w:styleId="comma">
    <w:name w:val="comma"/>
    <w:basedOn w:val="DefaultParagraphFont"/>
    <w:rsid w:val="002644FA"/>
  </w:style>
  <w:style w:type="character" w:customStyle="1" w:styleId="identifier">
    <w:name w:val="identifier"/>
    <w:basedOn w:val="DefaultParagraphFont"/>
    <w:rsid w:val="002644FA"/>
  </w:style>
  <w:style w:type="character" w:customStyle="1" w:styleId="id-label">
    <w:name w:val="id-label"/>
    <w:basedOn w:val="DefaultParagraphFont"/>
    <w:rsid w:val="002644FA"/>
  </w:style>
  <w:style w:type="character" w:styleId="Strong">
    <w:name w:val="Strong"/>
    <w:basedOn w:val="DefaultParagraphFont"/>
    <w:uiPriority w:val="22"/>
    <w:qFormat/>
    <w:rsid w:val="002644FA"/>
    <w:rPr>
      <w:b/>
      <w:bCs/>
    </w:rPr>
  </w:style>
  <w:style w:type="character" w:customStyle="1" w:styleId="st">
    <w:name w:val="st"/>
    <w:basedOn w:val="DefaultParagraphFont"/>
    <w:rsid w:val="000A6224"/>
  </w:style>
  <w:style w:type="character" w:customStyle="1" w:styleId="title-text">
    <w:name w:val="title-text"/>
    <w:basedOn w:val="DefaultParagraphFont"/>
    <w:rsid w:val="007E6B9E"/>
  </w:style>
  <w:style w:type="character" w:customStyle="1" w:styleId="UnresolvedMention2">
    <w:name w:val="Unresolved Mention2"/>
    <w:basedOn w:val="DefaultParagraphFont"/>
    <w:uiPriority w:val="99"/>
    <w:semiHidden/>
    <w:unhideWhenUsed/>
    <w:rsid w:val="00E03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8633">
      <w:bodyDiv w:val="1"/>
      <w:marLeft w:val="0"/>
      <w:marRight w:val="0"/>
      <w:marTop w:val="0"/>
      <w:marBottom w:val="0"/>
      <w:divBdr>
        <w:top w:val="none" w:sz="0" w:space="0" w:color="auto"/>
        <w:left w:val="none" w:sz="0" w:space="0" w:color="auto"/>
        <w:bottom w:val="none" w:sz="0" w:space="0" w:color="auto"/>
        <w:right w:val="none" w:sz="0" w:space="0" w:color="auto"/>
      </w:divBdr>
    </w:div>
    <w:div w:id="66920106">
      <w:bodyDiv w:val="1"/>
      <w:marLeft w:val="0"/>
      <w:marRight w:val="0"/>
      <w:marTop w:val="0"/>
      <w:marBottom w:val="0"/>
      <w:divBdr>
        <w:top w:val="none" w:sz="0" w:space="0" w:color="auto"/>
        <w:left w:val="none" w:sz="0" w:space="0" w:color="auto"/>
        <w:bottom w:val="none" w:sz="0" w:space="0" w:color="auto"/>
        <w:right w:val="none" w:sz="0" w:space="0" w:color="auto"/>
      </w:divBdr>
    </w:div>
    <w:div w:id="71128436">
      <w:bodyDiv w:val="1"/>
      <w:marLeft w:val="0"/>
      <w:marRight w:val="0"/>
      <w:marTop w:val="0"/>
      <w:marBottom w:val="0"/>
      <w:divBdr>
        <w:top w:val="none" w:sz="0" w:space="0" w:color="auto"/>
        <w:left w:val="none" w:sz="0" w:space="0" w:color="auto"/>
        <w:bottom w:val="none" w:sz="0" w:space="0" w:color="auto"/>
        <w:right w:val="none" w:sz="0" w:space="0" w:color="auto"/>
      </w:divBdr>
      <w:divsChild>
        <w:div w:id="1743404617">
          <w:marLeft w:val="0"/>
          <w:marRight w:val="0"/>
          <w:marTop w:val="0"/>
          <w:marBottom w:val="0"/>
          <w:divBdr>
            <w:top w:val="none" w:sz="0" w:space="0" w:color="auto"/>
            <w:left w:val="none" w:sz="0" w:space="0" w:color="auto"/>
            <w:bottom w:val="none" w:sz="0" w:space="0" w:color="auto"/>
            <w:right w:val="none" w:sz="0" w:space="0" w:color="auto"/>
          </w:divBdr>
        </w:div>
      </w:divsChild>
    </w:div>
    <w:div w:id="149370249">
      <w:bodyDiv w:val="1"/>
      <w:marLeft w:val="120"/>
      <w:marRight w:val="120"/>
      <w:marTop w:val="0"/>
      <w:marBottom w:val="0"/>
      <w:divBdr>
        <w:top w:val="none" w:sz="0" w:space="0" w:color="auto"/>
        <w:left w:val="none" w:sz="0" w:space="0" w:color="auto"/>
        <w:bottom w:val="none" w:sz="0" w:space="0" w:color="auto"/>
        <w:right w:val="none" w:sz="0" w:space="0" w:color="auto"/>
      </w:divBdr>
      <w:divsChild>
        <w:div w:id="1406609728">
          <w:marLeft w:val="0"/>
          <w:marRight w:val="0"/>
          <w:marTop w:val="0"/>
          <w:marBottom w:val="0"/>
          <w:divBdr>
            <w:top w:val="none" w:sz="0" w:space="0" w:color="auto"/>
            <w:left w:val="none" w:sz="0" w:space="0" w:color="auto"/>
            <w:bottom w:val="none" w:sz="0" w:space="0" w:color="auto"/>
            <w:right w:val="none" w:sz="0" w:space="0" w:color="auto"/>
          </w:divBdr>
          <w:divsChild>
            <w:div w:id="5588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455">
      <w:bodyDiv w:val="1"/>
      <w:marLeft w:val="120"/>
      <w:marRight w:val="120"/>
      <w:marTop w:val="0"/>
      <w:marBottom w:val="0"/>
      <w:divBdr>
        <w:top w:val="none" w:sz="0" w:space="0" w:color="auto"/>
        <w:left w:val="none" w:sz="0" w:space="0" w:color="auto"/>
        <w:bottom w:val="none" w:sz="0" w:space="0" w:color="auto"/>
        <w:right w:val="none" w:sz="0" w:space="0" w:color="auto"/>
      </w:divBdr>
      <w:divsChild>
        <w:div w:id="783160902">
          <w:marLeft w:val="0"/>
          <w:marRight w:val="0"/>
          <w:marTop w:val="0"/>
          <w:marBottom w:val="0"/>
          <w:divBdr>
            <w:top w:val="none" w:sz="0" w:space="0" w:color="auto"/>
            <w:left w:val="none" w:sz="0" w:space="0" w:color="auto"/>
            <w:bottom w:val="none" w:sz="0" w:space="0" w:color="auto"/>
            <w:right w:val="none" w:sz="0" w:space="0" w:color="auto"/>
          </w:divBdr>
          <w:divsChild>
            <w:div w:id="13064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1280">
      <w:bodyDiv w:val="1"/>
      <w:marLeft w:val="0"/>
      <w:marRight w:val="0"/>
      <w:marTop w:val="0"/>
      <w:marBottom w:val="0"/>
      <w:divBdr>
        <w:top w:val="none" w:sz="0" w:space="0" w:color="auto"/>
        <w:left w:val="none" w:sz="0" w:space="0" w:color="auto"/>
        <w:bottom w:val="none" w:sz="0" w:space="0" w:color="auto"/>
        <w:right w:val="none" w:sz="0" w:space="0" w:color="auto"/>
      </w:divBdr>
    </w:div>
    <w:div w:id="213198951">
      <w:bodyDiv w:val="1"/>
      <w:marLeft w:val="0"/>
      <w:marRight w:val="0"/>
      <w:marTop w:val="0"/>
      <w:marBottom w:val="0"/>
      <w:divBdr>
        <w:top w:val="none" w:sz="0" w:space="0" w:color="auto"/>
        <w:left w:val="none" w:sz="0" w:space="0" w:color="auto"/>
        <w:bottom w:val="none" w:sz="0" w:space="0" w:color="auto"/>
        <w:right w:val="none" w:sz="0" w:space="0" w:color="auto"/>
      </w:divBdr>
    </w:div>
    <w:div w:id="264384032">
      <w:bodyDiv w:val="1"/>
      <w:marLeft w:val="0"/>
      <w:marRight w:val="0"/>
      <w:marTop w:val="0"/>
      <w:marBottom w:val="0"/>
      <w:divBdr>
        <w:top w:val="none" w:sz="0" w:space="0" w:color="auto"/>
        <w:left w:val="none" w:sz="0" w:space="0" w:color="auto"/>
        <w:bottom w:val="none" w:sz="0" w:space="0" w:color="auto"/>
        <w:right w:val="none" w:sz="0" w:space="0" w:color="auto"/>
      </w:divBdr>
    </w:div>
    <w:div w:id="325089872">
      <w:bodyDiv w:val="1"/>
      <w:marLeft w:val="0"/>
      <w:marRight w:val="0"/>
      <w:marTop w:val="0"/>
      <w:marBottom w:val="0"/>
      <w:divBdr>
        <w:top w:val="none" w:sz="0" w:space="0" w:color="auto"/>
        <w:left w:val="none" w:sz="0" w:space="0" w:color="auto"/>
        <w:bottom w:val="none" w:sz="0" w:space="0" w:color="auto"/>
        <w:right w:val="none" w:sz="0" w:space="0" w:color="auto"/>
      </w:divBdr>
    </w:div>
    <w:div w:id="336269825">
      <w:bodyDiv w:val="1"/>
      <w:marLeft w:val="0"/>
      <w:marRight w:val="0"/>
      <w:marTop w:val="0"/>
      <w:marBottom w:val="0"/>
      <w:divBdr>
        <w:top w:val="none" w:sz="0" w:space="0" w:color="auto"/>
        <w:left w:val="none" w:sz="0" w:space="0" w:color="auto"/>
        <w:bottom w:val="none" w:sz="0" w:space="0" w:color="auto"/>
        <w:right w:val="none" w:sz="0" w:space="0" w:color="auto"/>
      </w:divBdr>
    </w:div>
    <w:div w:id="349263003">
      <w:bodyDiv w:val="1"/>
      <w:marLeft w:val="0"/>
      <w:marRight w:val="0"/>
      <w:marTop w:val="0"/>
      <w:marBottom w:val="0"/>
      <w:divBdr>
        <w:top w:val="none" w:sz="0" w:space="0" w:color="auto"/>
        <w:left w:val="none" w:sz="0" w:space="0" w:color="auto"/>
        <w:bottom w:val="none" w:sz="0" w:space="0" w:color="auto"/>
        <w:right w:val="none" w:sz="0" w:space="0" w:color="auto"/>
      </w:divBdr>
    </w:div>
    <w:div w:id="504827746">
      <w:bodyDiv w:val="1"/>
      <w:marLeft w:val="0"/>
      <w:marRight w:val="0"/>
      <w:marTop w:val="0"/>
      <w:marBottom w:val="0"/>
      <w:divBdr>
        <w:top w:val="none" w:sz="0" w:space="0" w:color="auto"/>
        <w:left w:val="none" w:sz="0" w:space="0" w:color="auto"/>
        <w:bottom w:val="none" w:sz="0" w:space="0" w:color="auto"/>
        <w:right w:val="none" w:sz="0" w:space="0" w:color="auto"/>
      </w:divBdr>
    </w:div>
    <w:div w:id="622151061">
      <w:bodyDiv w:val="1"/>
      <w:marLeft w:val="120"/>
      <w:marRight w:val="120"/>
      <w:marTop w:val="0"/>
      <w:marBottom w:val="0"/>
      <w:divBdr>
        <w:top w:val="none" w:sz="0" w:space="0" w:color="auto"/>
        <w:left w:val="none" w:sz="0" w:space="0" w:color="auto"/>
        <w:bottom w:val="none" w:sz="0" w:space="0" w:color="auto"/>
        <w:right w:val="none" w:sz="0" w:space="0" w:color="auto"/>
      </w:divBdr>
      <w:divsChild>
        <w:div w:id="210965923">
          <w:marLeft w:val="0"/>
          <w:marRight w:val="0"/>
          <w:marTop w:val="0"/>
          <w:marBottom w:val="0"/>
          <w:divBdr>
            <w:top w:val="none" w:sz="0" w:space="0" w:color="auto"/>
            <w:left w:val="none" w:sz="0" w:space="0" w:color="auto"/>
            <w:bottom w:val="none" w:sz="0" w:space="0" w:color="auto"/>
            <w:right w:val="none" w:sz="0" w:space="0" w:color="auto"/>
          </w:divBdr>
          <w:divsChild>
            <w:div w:id="957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98556">
      <w:bodyDiv w:val="1"/>
      <w:marLeft w:val="0"/>
      <w:marRight w:val="0"/>
      <w:marTop w:val="0"/>
      <w:marBottom w:val="0"/>
      <w:divBdr>
        <w:top w:val="none" w:sz="0" w:space="0" w:color="auto"/>
        <w:left w:val="none" w:sz="0" w:space="0" w:color="auto"/>
        <w:bottom w:val="none" w:sz="0" w:space="0" w:color="auto"/>
        <w:right w:val="none" w:sz="0" w:space="0" w:color="auto"/>
      </w:divBdr>
    </w:div>
    <w:div w:id="746458741">
      <w:bodyDiv w:val="1"/>
      <w:marLeft w:val="0"/>
      <w:marRight w:val="0"/>
      <w:marTop w:val="0"/>
      <w:marBottom w:val="0"/>
      <w:divBdr>
        <w:top w:val="none" w:sz="0" w:space="0" w:color="auto"/>
        <w:left w:val="none" w:sz="0" w:space="0" w:color="auto"/>
        <w:bottom w:val="none" w:sz="0" w:space="0" w:color="auto"/>
        <w:right w:val="none" w:sz="0" w:space="0" w:color="auto"/>
      </w:divBdr>
    </w:div>
    <w:div w:id="755252390">
      <w:bodyDiv w:val="1"/>
      <w:marLeft w:val="0"/>
      <w:marRight w:val="0"/>
      <w:marTop w:val="0"/>
      <w:marBottom w:val="0"/>
      <w:divBdr>
        <w:top w:val="none" w:sz="0" w:space="0" w:color="auto"/>
        <w:left w:val="none" w:sz="0" w:space="0" w:color="auto"/>
        <w:bottom w:val="none" w:sz="0" w:space="0" w:color="auto"/>
        <w:right w:val="none" w:sz="0" w:space="0" w:color="auto"/>
      </w:divBdr>
    </w:div>
    <w:div w:id="766927190">
      <w:bodyDiv w:val="1"/>
      <w:marLeft w:val="0"/>
      <w:marRight w:val="0"/>
      <w:marTop w:val="0"/>
      <w:marBottom w:val="0"/>
      <w:divBdr>
        <w:top w:val="none" w:sz="0" w:space="0" w:color="auto"/>
        <w:left w:val="none" w:sz="0" w:space="0" w:color="auto"/>
        <w:bottom w:val="none" w:sz="0" w:space="0" w:color="auto"/>
        <w:right w:val="none" w:sz="0" w:space="0" w:color="auto"/>
      </w:divBdr>
    </w:div>
    <w:div w:id="848180569">
      <w:bodyDiv w:val="1"/>
      <w:marLeft w:val="0"/>
      <w:marRight w:val="0"/>
      <w:marTop w:val="0"/>
      <w:marBottom w:val="0"/>
      <w:divBdr>
        <w:top w:val="none" w:sz="0" w:space="0" w:color="auto"/>
        <w:left w:val="none" w:sz="0" w:space="0" w:color="auto"/>
        <w:bottom w:val="none" w:sz="0" w:space="0" w:color="auto"/>
        <w:right w:val="none" w:sz="0" w:space="0" w:color="auto"/>
      </w:divBdr>
    </w:div>
    <w:div w:id="913127358">
      <w:bodyDiv w:val="1"/>
      <w:marLeft w:val="0"/>
      <w:marRight w:val="0"/>
      <w:marTop w:val="0"/>
      <w:marBottom w:val="0"/>
      <w:divBdr>
        <w:top w:val="none" w:sz="0" w:space="0" w:color="auto"/>
        <w:left w:val="none" w:sz="0" w:space="0" w:color="auto"/>
        <w:bottom w:val="none" w:sz="0" w:space="0" w:color="auto"/>
        <w:right w:val="none" w:sz="0" w:space="0" w:color="auto"/>
      </w:divBdr>
    </w:div>
    <w:div w:id="989485835">
      <w:bodyDiv w:val="1"/>
      <w:marLeft w:val="0"/>
      <w:marRight w:val="0"/>
      <w:marTop w:val="0"/>
      <w:marBottom w:val="0"/>
      <w:divBdr>
        <w:top w:val="none" w:sz="0" w:space="0" w:color="auto"/>
        <w:left w:val="none" w:sz="0" w:space="0" w:color="auto"/>
        <w:bottom w:val="none" w:sz="0" w:space="0" w:color="auto"/>
        <w:right w:val="none" w:sz="0" w:space="0" w:color="auto"/>
      </w:divBdr>
    </w:div>
    <w:div w:id="1041438552">
      <w:bodyDiv w:val="1"/>
      <w:marLeft w:val="0"/>
      <w:marRight w:val="0"/>
      <w:marTop w:val="0"/>
      <w:marBottom w:val="0"/>
      <w:divBdr>
        <w:top w:val="none" w:sz="0" w:space="0" w:color="auto"/>
        <w:left w:val="none" w:sz="0" w:space="0" w:color="auto"/>
        <w:bottom w:val="none" w:sz="0" w:space="0" w:color="auto"/>
        <w:right w:val="none" w:sz="0" w:space="0" w:color="auto"/>
      </w:divBdr>
    </w:div>
    <w:div w:id="1042557891">
      <w:bodyDiv w:val="1"/>
      <w:marLeft w:val="0"/>
      <w:marRight w:val="0"/>
      <w:marTop w:val="0"/>
      <w:marBottom w:val="0"/>
      <w:divBdr>
        <w:top w:val="none" w:sz="0" w:space="0" w:color="auto"/>
        <w:left w:val="none" w:sz="0" w:space="0" w:color="auto"/>
        <w:bottom w:val="none" w:sz="0" w:space="0" w:color="auto"/>
        <w:right w:val="none" w:sz="0" w:space="0" w:color="auto"/>
      </w:divBdr>
      <w:divsChild>
        <w:div w:id="1915430191">
          <w:marLeft w:val="0"/>
          <w:marRight w:val="0"/>
          <w:marTop w:val="0"/>
          <w:marBottom w:val="0"/>
          <w:divBdr>
            <w:top w:val="none" w:sz="0" w:space="0" w:color="auto"/>
            <w:left w:val="none" w:sz="0" w:space="0" w:color="auto"/>
            <w:bottom w:val="none" w:sz="0" w:space="0" w:color="auto"/>
            <w:right w:val="none" w:sz="0" w:space="0" w:color="auto"/>
          </w:divBdr>
        </w:div>
        <w:div w:id="108471664">
          <w:marLeft w:val="0"/>
          <w:marRight w:val="0"/>
          <w:marTop w:val="0"/>
          <w:marBottom w:val="0"/>
          <w:divBdr>
            <w:top w:val="none" w:sz="0" w:space="0" w:color="auto"/>
            <w:left w:val="none" w:sz="0" w:space="0" w:color="auto"/>
            <w:bottom w:val="none" w:sz="0" w:space="0" w:color="auto"/>
            <w:right w:val="none" w:sz="0" w:space="0" w:color="auto"/>
          </w:divBdr>
        </w:div>
      </w:divsChild>
    </w:div>
    <w:div w:id="1127117355">
      <w:bodyDiv w:val="1"/>
      <w:marLeft w:val="0"/>
      <w:marRight w:val="0"/>
      <w:marTop w:val="0"/>
      <w:marBottom w:val="0"/>
      <w:divBdr>
        <w:top w:val="none" w:sz="0" w:space="0" w:color="auto"/>
        <w:left w:val="none" w:sz="0" w:space="0" w:color="auto"/>
        <w:bottom w:val="none" w:sz="0" w:space="0" w:color="auto"/>
        <w:right w:val="none" w:sz="0" w:space="0" w:color="auto"/>
      </w:divBdr>
    </w:div>
    <w:div w:id="1150092975">
      <w:bodyDiv w:val="1"/>
      <w:marLeft w:val="0"/>
      <w:marRight w:val="0"/>
      <w:marTop w:val="0"/>
      <w:marBottom w:val="0"/>
      <w:divBdr>
        <w:top w:val="none" w:sz="0" w:space="0" w:color="auto"/>
        <w:left w:val="none" w:sz="0" w:space="0" w:color="auto"/>
        <w:bottom w:val="none" w:sz="0" w:space="0" w:color="auto"/>
        <w:right w:val="none" w:sz="0" w:space="0" w:color="auto"/>
      </w:divBdr>
      <w:divsChild>
        <w:div w:id="646322045">
          <w:marLeft w:val="0"/>
          <w:marRight w:val="0"/>
          <w:marTop w:val="0"/>
          <w:marBottom w:val="0"/>
          <w:divBdr>
            <w:top w:val="none" w:sz="0" w:space="0" w:color="auto"/>
            <w:left w:val="none" w:sz="0" w:space="0" w:color="auto"/>
            <w:bottom w:val="none" w:sz="0" w:space="0" w:color="auto"/>
            <w:right w:val="none" w:sz="0" w:space="0" w:color="auto"/>
          </w:divBdr>
          <w:divsChild>
            <w:div w:id="1355881585">
              <w:marLeft w:val="0"/>
              <w:marRight w:val="0"/>
              <w:marTop w:val="0"/>
              <w:marBottom w:val="0"/>
              <w:divBdr>
                <w:top w:val="none" w:sz="0" w:space="0" w:color="auto"/>
                <w:left w:val="none" w:sz="0" w:space="0" w:color="auto"/>
                <w:bottom w:val="none" w:sz="0" w:space="0" w:color="auto"/>
                <w:right w:val="none" w:sz="0" w:space="0" w:color="auto"/>
              </w:divBdr>
              <w:divsChild>
                <w:div w:id="28366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81844">
          <w:marLeft w:val="0"/>
          <w:marRight w:val="0"/>
          <w:marTop w:val="0"/>
          <w:marBottom w:val="0"/>
          <w:divBdr>
            <w:top w:val="none" w:sz="0" w:space="0" w:color="auto"/>
            <w:left w:val="none" w:sz="0" w:space="0" w:color="auto"/>
            <w:bottom w:val="none" w:sz="0" w:space="0" w:color="auto"/>
            <w:right w:val="none" w:sz="0" w:space="0" w:color="auto"/>
          </w:divBdr>
        </w:div>
      </w:divsChild>
    </w:div>
    <w:div w:id="1209495486">
      <w:bodyDiv w:val="1"/>
      <w:marLeft w:val="120"/>
      <w:marRight w:val="120"/>
      <w:marTop w:val="0"/>
      <w:marBottom w:val="0"/>
      <w:divBdr>
        <w:top w:val="none" w:sz="0" w:space="0" w:color="auto"/>
        <w:left w:val="none" w:sz="0" w:space="0" w:color="auto"/>
        <w:bottom w:val="none" w:sz="0" w:space="0" w:color="auto"/>
        <w:right w:val="none" w:sz="0" w:space="0" w:color="auto"/>
      </w:divBdr>
      <w:divsChild>
        <w:div w:id="516425236">
          <w:marLeft w:val="0"/>
          <w:marRight w:val="0"/>
          <w:marTop w:val="0"/>
          <w:marBottom w:val="0"/>
          <w:divBdr>
            <w:top w:val="none" w:sz="0" w:space="0" w:color="auto"/>
            <w:left w:val="none" w:sz="0" w:space="0" w:color="auto"/>
            <w:bottom w:val="none" w:sz="0" w:space="0" w:color="auto"/>
            <w:right w:val="none" w:sz="0" w:space="0" w:color="auto"/>
          </w:divBdr>
          <w:divsChild>
            <w:div w:id="4457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82493">
      <w:bodyDiv w:val="1"/>
      <w:marLeft w:val="0"/>
      <w:marRight w:val="0"/>
      <w:marTop w:val="0"/>
      <w:marBottom w:val="0"/>
      <w:divBdr>
        <w:top w:val="none" w:sz="0" w:space="0" w:color="auto"/>
        <w:left w:val="none" w:sz="0" w:space="0" w:color="auto"/>
        <w:bottom w:val="none" w:sz="0" w:space="0" w:color="auto"/>
        <w:right w:val="none" w:sz="0" w:space="0" w:color="auto"/>
      </w:divBdr>
    </w:div>
    <w:div w:id="1553691380">
      <w:bodyDiv w:val="1"/>
      <w:marLeft w:val="0"/>
      <w:marRight w:val="0"/>
      <w:marTop w:val="0"/>
      <w:marBottom w:val="0"/>
      <w:divBdr>
        <w:top w:val="none" w:sz="0" w:space="0" w:color="auto"/>
        <w:left w:val="none" w:sz="0" w:space="0" w:color="auto"/>
        <w:bottom w:val="none" w:sz="0" w:space="0" w:color="auto"/>
        <w:right w:val="none" w:sz="0" w:space="0" w:color="auto"/>
      </w:divBdr>
    </w:div>
    <w:div w:id="1721442996">
      <w:bodyDiv w:val="1"/>
      <w:marLeft w:val="120"/>
      <w:marRight w:val="120"/>
      <w:marTop w:val="0"/>
      <w:marBottom w:val="0"/>
      <w:divBdr>
        <w:top w:val="none" w:sz="0" w:space="0" w:color="auto"/>
        <w:left w:val="none" w:sz="0" w:space="0" w:color="auto"/>
        <w:bottom w:val="none" w:sz="0" w:space="0" w:color="auto"/>
        <w:right w:val="none" w:sz="0" w:space="0" w:color="auto"/>
      </w:divBdr>
      <w:divsChild>
        <w:div w:id="2045447925">
          <w:marLeft w:val="0"/>
          <w:marRight w:val="0"/>
          <w:marTop w:val="0"/>
          <w:marBottom w:val="0"/>
          <w:divBdr>
            <w:top w:val="none" w:sz="0" w:space="0" w:color="auto"/>
            <w:left w:val="none" w:sz="0" w:space="0" w:color="auto"/>
            <w:bottom w:val="none" w:sz="0" w:space="0" w:color="auto"/>
            <w:right w:val="none" w:sz="0" w:space="0" w:color="auto"/>
          </w:divBdr>
          <w:divsChild>
            <w:div w:id="7223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38044">
      <w:bodyDiv w:val="1"/>
      <w:marLeft w:val="0"/>
      <w:marRight w:val="0"/>
      <w:marTop w:val="0"/>
      <w:marBottom w:val="0"/>
      <w:divBdr>
        <w:top w:val="none" w:sz="0" w:space="0" w:color="auto"/>
        <w:left w:val="none" w:sz="0" w:space="0" w:color="auto"/>
        <w:bottom w:val="none" w:sz="0" w:space="0" w:color="auto"/>
        <w:right w:val="none" w:sz="0" w:space="0" w:color="auto"/>
      </w:divBdr>
    </w:div>
    <w:div w:id="1901667974">
      <w:bodyDiv w:val="1"/>
      <w:marLeft w:val="0"/>
      <w:marRight w:val="0"/>
      <w:marTop w:val="0"/>
      <w:marBottom w:val="0"/>
      <w:divBdr>
        <w:top w:val="none" w:sz="0" w:space="0" w:color="auto"/>
        <w:left w:val="none" w:sz="0" w:space="0" w:color="auto"/>
        <w:bottom w:val="none" w:sz="0" w:space="0" w:color="auto"/>
        <w:right w:val="none" w:sz="0" w:space="0" w:color="auto"/>
      </w:divBdr>
    </w:div>
    <w:div w:id="1908760342">
      <w:bodyDiv w:val="1"/>
      <w:marLeft w:val="0"/>
      <w:marRight w:val="0"/>
      <w:marTop w:val="0"/>
      <w:marBottom w:val="0"/>
      <w:divBdr>
        <w:top w:val="none" w:sz="0" w:space="0" w:color="auto"/>
        <w:left w:val="none" w:sz="0" w:space="0" w:color="auto"/>
        <w:bottom w:val="none" w:sz="0" w:space="0" w:color="auto"/>
        <w:right w:val="none" w:sz="0" w:space="0" w:color="auto"/>
      </w:divBdr>
      <w:divsChild>
        <w:div w:id="400449706">
          <w:marLeft w:val="0"/>
          <w:marRight w:val="0"/>
          <w:marTop w:val="0"/>
          <w:marBottom w:val="0"/>
          <w:divBdr>
            <w:top w:val="none" w:sz="0" w:space="0" w:color="auto"/>
            <w:left w:val="none" w:sz="0" w:space="0" w:color="auto"/>
            <w:bottom w:val="none" w:sz="0" w:space="0" w:color="auto"/>
            <w:right w:val="none" w:sz="0" w:space="0" w:color="auto"/>
          </w:divBdr>
        </w:div>
        <w:div w:id="2008626916">
          <w:marLeft w:val="0"/>
          <w:marRight w:val="0"/>
          <w:marTop w:val="0"/>
          <w:marBottom w:val="0"/>
          <w:divBdr>
            <w:top w:val="none" w:sz="0" w:space="0" w:color="auto"/>
            <w:left w:val="none" w:sz="0" w:space="0" w:color="auto"/>
            <w:bottom w:val="none" w:sz="0" w:space="0" w:color="auto"/>
            <w:right w:val="none" w:sz="0" w:space="0" w:color="auto"/>
          </w:divBdr>
        </w:div>
      </w:divsChild>
    </w:div>
    <w:div w:id="2074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1460C-2311-449C-80F2-9CA2C70B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2021-08-22T21:34:00Z</dcterms:created>
  <dcterms:modified xsi:type="dcterms:W3CDTF">2021-08-22T21:35:00Z</dcterms:modified>
</cp:coreProperties>
</file>