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14"/>
          <w:szCs w:val="14"/>
        </w:rPr>
      </w:pPr>
      <w:r w:rsidDel="00000000" w:rsidR="00000000" w:rsidRPr="00000000">
        <w:rPr>
          <w:rtl w:val="0"/>
        </w:rPr>
      </w:r>
    </w:p>
    <w:tbl>
      <w:tblPr>
        <w:tblStyle w:val="Table1"/>
        <w:tblW w:w="10628.24427480916" w:type="dxa"/>
        <w:jc w:val="left"/>
        <w:tblInd w:w="40.0" w:type="pct"/>
        <w:tblLayout w:type="fixed"/>
        <w:tblLook w:val="0600"/>
      </w:tblPr>
      <w:tblGrid>
        <w:gridCol w:w="3185.4961832061063"/>
        <w:gridCol w:w="745.8015267175572"/>
        <w:gridCol w:w="745.8015267175572"/>
        <w:gridCol w:w="745.8015267175572"/>
        <w:gridCol w:w="745.8015267175572"/>
        <w:gridCol w:w="602.2900763358779"/>
        <w:gridCol w:w="171.7557251908397"/>
        <w:gridCol w:w="387.0229007633588"/>
        <w:gridCol w:w="1104.5801526717557"/>
        <w:gridCol w:w="1"/>
        <w:gridCol w:w="387.0229007633588"/>
        <w:gridCol w:w="1032.824427480916"/>
        <w:gridCol w:w="602.2900763358779"/>
        <w:gridCol w:w="171.7557251908397"/>
        <w:tblGridChange w:id="0">
          <w:tblGrid>
            <w:gridCol w:w="3185.4961832061063"/>
            <w:gridCol w:w="745.8015267175572"/>
            <w:gridCol w:w="745.8015267175572"/>
            <w:gridCol w:w="745.8015267175572"/>
            <w:gridCol w:w="745.8015267175572"/>
            <w:gridCol w:w="602.2900763358779"/>
            <w:gridCol w:w="171.7557251908397"/>
            <w:gridCol w:w="387.0229007633588"/>
            <w:gridCol w:w="1104.5801526717557"/>
            <w:gridCol w:w="1"/>
            <w:gridCol w:w="387.0229007633588"/>
            <w:gridCol w:w="1032.824427480916"/>
            <w:gridCol w:w="602.2900763358779"/>
            <w:gridCol w:w="171.7557251908397"/>
          </w:tblGrid>
        </w:tblGridChange>
      </w:tblGrid>
      <w:tr>
        <w:trPr>
          <w:cantSplit w:val="0"/>
          <w:trHeight w:val="338.3969785984053" w:hRule="atLeast"/>
          <w:tblHeader w:val="0"/>
        </w:trPr>
        <w:tc>
          <w:tcPr>
            <w:gridSpan w:val="14"/>
            <w:tcBorders>
              <w:top w:color="000000" w:space="0" w:sz="0" w:val="nil"/>
              <w:left w:color="000000" w:space="0" w:sz="0" w:val="nil"/>
              <w:bottom w:color="000000" w:space="0" w:sz="6" w:val="single"/>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02">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Supplementary Table 2a. Post-Propensity Matching Comparison Of Patients With And Without Malnutrition; Clinical Outcomes Of Those Who Underwent Total Hepatectomy, Partial </w:t>
            </w:r>
            <w:r w:rsidDel="00000000" w:rsidR="00000000" w:rsidRPr="00000000">
              <w:rPr>
                <w:rFonts w:ascii="Arial" w:cs="Arial" w:eastAsia="Arial" w:hAnsi="Arial"/>
                <w:b w:val="1"/>
                <w:sz w:val="13.799177921315325"/>
                <w:szCs w:val="13.799177921315325"/>
                <w:rtl w:val="0"/>
              </w:rPr>
              <w:t xml:space="preserve">Hepatectomy</w:t>
            </w:r>
            <w:r w:rsidDel="00000000" w:rsidR="00000000" w:rsidRPr="00000000">
              <w:rPr>
                <w:rFonts w:ascii="Arial" w:cs="Arial" w:eastAsia="Arial" w:hAnsi="Arial"/>
                <w:b w:val="1"/>
                <w:color w:val="000000"/>
                <w:sz w:val="13.799177921315325"/>
                <w:szCs w:val="13.799177921315325"/>
                <w:rtl w:val="0"/>
              </w:rPr>
              <w:t xml:space="preserve"> And Other Liver Procedures</w:t>
            </w: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10">
            <w:pPr>
              <w:rPr>
                <w:rFonts w:ascii="Arial" w:cs="Arial" w:eastAsia="Arial" w:hAnsi="Arial"/>
                <w:color w:val="000000"/>
                <w:sz w:val="13.799177921315325"/>
                <w:szCs w:val="13.799177921315325"/>
              </w:rPr>
            </w:pPr>
            <w:r w:rsidDel="00000000" w:rsidR="00000000" w:rsidRPr="00000000">
              <w:rPr>
                <w:rtl w:val="0"/>
              </w:rPr>
            </w:r>
          </w:p>
        </w:tc>
        <w:tc>
          <w:tcPr>
            <w:gridSpan w:val="1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11">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Post-Match Patients With Malnutrition Vs Without Malnutrition Undergoing Total Hepatectomy</w:t>
            </w:r>
            <w:r w:rsidDel="00000000" w:rsidR="00000000" w:rsidRPr="00000000">
              <w:rPr>
                <w:rtl w:val="0"/>
              </w:rPr>
            </w:r>
          </w:p>
        </w:tc>
      </w:tr>
      <w:tr>
        <w:trPr>
          <w:cantSplit w:val="0"/>
          <w:trHeight w:val="338.3969785984053"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1E">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1F">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Patients With Malnutrition</w:t>
            </w: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1">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Patients Without Malnutrition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4">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5">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Univariate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7">
            <w:pPr>
              <w:rPr>
                <w:rFonts w:ascii="Arial" w:cs="Arial" w:eastAsia="Arial" w:hAnsi="Arial"/>
                <w:color w:val="000000"/>
                <w:sz w:val="13.799177921315325"/>
                <w:szCs w:val="13.799177921315325"/>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8">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Multivariate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B">
            <w:pPr>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C">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Hospital Outcomes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D">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194</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E">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2F">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194</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0">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1">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3">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4">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6">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aOR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7">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8">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9">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Mortality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7.22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0.370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0.68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2">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(0.33 - 1.38)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0.72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5">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(0.34 - 1.53)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0.394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7">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Length of Stay (days)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24.50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16.50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1.51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3">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(1.45 - 1.58)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Hospitalization Costs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588,922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418,758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0">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1.42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1">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(1.42 - 1.42)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Disposition at Discharge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C">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1">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Routine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37.10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52.10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9">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A">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F">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Short-term Hospital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1.55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D">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Skilled Nursing or other Facility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27.30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12.90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B">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Home Health Care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26.80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23.20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9">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Against Medical Advice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7">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Died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7.22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5">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Unknown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0.52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C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3">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4">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Postoperative complications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1">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Bleeding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13.40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16.50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0.480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0.78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A">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(0.45 - 1.37)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F">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Infection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1.55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3.09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0.500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0.49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8">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(0.08 - 2.35)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D">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Wound Complications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3.61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0.170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3.58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6">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(0.67 - 35.79)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B">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Respiratory Failure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12.40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13.40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0.880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0.91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4">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(0.50 - 1.65)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9">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gridSpan w:val="14"/>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1A">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28">
            <w:pPr>
              <w:rPr>
                <w:rFonts w:ascii="Arial" w:cs="Arial" w:eastAsia="Arial" w:hAnsi="Arial"/>
                <w:color w:val="000000"/>
                <w:sz w:val="13.799177921315325"/>
                <w:szCs w:val="13.799177921315325"/>
              </w:rPr>
            </w:pPr>
            <w:r w:rsidDel="00000000" w:rsidR="00000000" w:rsidRPr="00000000">
              <w:rPr>
                <w:rtl w:val="0"/>
              </w:rPr>
            </w:r>
          </w:p>
        </w:tc>
        <w:tc>
          <w:tcPr>
            <w:gridSpan w:val="1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29">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Post-Match Patients With Malnutrition Vs Without Malnutrition Undergoing Partial Hepatectomy</w:t>
            </w:r>
            <w:r w:rsidDel="00000000" w:rsidR="00000000" w:rsidRPr="00000000">
              <w:rPr>
                <w:rtl w:val="0"/>
              </w:rPr>
            </w:r>
          </w:p>
        </w:tc>
      </w:tr>
      <w:tr>
        <w:trPr>
          <w:cantSplit w:val="0"/>
          <w:trHeight w:val="338.3969785984053"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6">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7">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Patients With Malnutrition</w:t>
            </w: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9">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Patients Without Malnutrition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C">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D">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Univariate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F">
            <w:pPr>
              <w:rPr>
                <w:rFonts w:ascii="Arial" w:cs="Arial" w:eastAsia="Arial" w:hAnsi="Arial"/>
                <w:color w:val="000000"/>
                <w:sz w:val="13.799177921315325"/>
                <w:szCs w:val="13.799177921315325"/>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0">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Multivariate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3">
            <w:pPr>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4">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Hospital Outcomes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5">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1,785</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6">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7">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1,785</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8">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9">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B">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C">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E">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aOR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F">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0">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1">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Mortality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4.82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0.036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A">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(1.03 - 1.83)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D">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(1.02 - 1.82)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0.036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F">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Length of Stay (days)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17.70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8.73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2.03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B">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(2.00 - 2.07)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Hospitalization Costs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6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257,584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134,857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9">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(1.96 - 1.96)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Disposition at Discharge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7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9">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Routine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41.30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66.30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8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7">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Short-term Hospital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1.40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0.78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5">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Skilled Nursing or other Facility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23.50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9.64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3">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Home Health Care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27.00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18.40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9">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C">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1">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Against Medical Advice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0.28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9">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A">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CF">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Died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6.50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3">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4.82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D">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Unknown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D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2">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B">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C">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Postoperative complications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E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1">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9">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Bleeding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5.77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2.63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1">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2.26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2">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(1.59 - 3.22)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7">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Infection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7.90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2.41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3.47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0">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(2.45 - 4.92)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5">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Wound Complications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4.71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0.95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A">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5.14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E">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(3.04 - 8.69)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3">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4">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Respiratory Failure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5">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9.41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6">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7">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3.64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8">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2.75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C">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(2.05 - 3.69)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1">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F">
            <w:pPr>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0">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Used Poisson regression analysis</w:t>
            </w:r>
          </w:p>
        </w:tc>
      </w:tr>
      <w:tr>
        <w:trPr>
          <w:cantSplit w:val="0"/>
          <w:trHeight w:val="202.43390684011752"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E">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Fisher's Test</w:t>
            </w:r>
          </w:p>
        </w:tc>
      </w:tr>
      <w:tr>
        <w:trPr>
          <w:cantSplit w:val="0"/>
          <w:trHeight w:val="329.3327738145195"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5C">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The following variables were included in the propensity-score matching procedure: age, gender: female, race, diabetes, hyperlipidemia, hypertension, chronic obstructive pulmonary disease, coronary artery disease, chronic kidney disease, congestive heart failure, coagulopathy, alcohol use disorder, cigarette use, obesity, elective (vs emergent) procedure, alcoholic liver disease, hepatitis b, hepatitis c, non-alcoholic fatty liver disease, cirrhosis</w:t>
            </w:r>
          </w:p>
        </w:tc>
      </w:tr>
    </w:tbl>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3.799177921315325"/>
          <w:szCs w:val="13.799177921315325"/>
        </w:rPr>
      </w:pPr>
      <w:r w:rsidDel="00000000" w:rsidR="00000000" w:rsidRPr="00000000">
        <w:br w:type="page"/>
      </w:r>
      <w:r w:rsidDel="00000000" w:rsidR="00000000" w:rsidRPr="00000000">
        <w:rPr>
          <w:rtl w:val="0"/>
        </w:rPr>
      </w:r>
    </w:p>
    <w:tbl>
      <w:tblPr>
        <w:tblStyle w:val="Table2"/>
        <w:tblW w:w="10628.24427480916" w:type="dxa"/>
        <w:jc w:val="left"/>
        <w:tblInd w:w="40.0" w:type="pct"/>
        <w:tblLayout w:type="fixed"/>
        <w:tblLook w:val="0600"/>
      </w:tblPr>
      <w:tblGrid>
        <w:gridCol w:w="3185.4961832061063"/>
        <w:gridCol w:w="745.8015267175572"/>
        <w:gridCol w:w="745.8015267175572"/>
        <w:gridCol w:w="745.8015267175572"/>
        <w:gridCol w:w="745.8015267175572"/>
        <w:gridCol w:w="602.2900763358779"/>
        <w:gridCol w:w="171.7557251908397"/>
        <w:gridCol w:w="387.0229007633588"/>
        <w:gridCol w:w="1104.5801526717557"/>
        <w:gridCol w:w="1"/>
        <w:gridCol w:w="387.0229007633588"/>
        <w:gridCol w:w="1032.824427480916"/>
        <w:gridCol w:w="602.2900763358779"/>
        <w:gridCol w:w="171.7557251908397"/>
        <w:tblGridChange w:id="0">
          <w:tblGrid>
            <w:gridCol w:w="3185.4961832061063"/>
            <w:gridCol w:w="745.8015267175572"/>
            <w:gridCol w:w="745.8015267175572"/>
            <w:gridCol w:w="745.8015267175572"/>
            <w:gridCol w:w="745.8015267175572"/>
            <w:gridCol w:w="602.2900763358779"/>
            <w:gridCol w:w="171.7557251908397"/>
            <w:gridCol w:w="387.0229007633588"/>
            <w:gridCol w:w="1104.5801526717557"/>
            <w:gridCol w:w="1"/>
            <w:gridCol w:w="387.0229007633588"/>
            <w:gridCol w:w="1032.824427480916"/>
            <w:gridCol w:w="602.2900763358779"/>
            <w:gridCol w:w="171.7557251908397"/>
          </w:tblGrid>
        </w:tblGridChange>
      </w:tblGrid>
      <w:tr>
        <w:trPr>
          <w:cantSplit w:val="0"/>
          <w:trHeight w:val="338.3969785984053" w:hRule="atLeast"/>
          <w:tblHeader w:val="0"/>
        </w:trPr>
        <w:tc>
          <w:tcPr>
            <w:gridSpan w:val="14"/>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B">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Supplementary Table 2b. Post-Propensity Matching Comparison Of Patients With And Without Malnutrition; Clinical Outcomes Of Those Who Underwent Total Hepatectomy, Partial </w:t>
            </w:r>
            <w:r w:rsidDel="00000000" w:rsidR="00000000" w:rsidRPr="00000000">
              <w:rPr>
                <w:rFonts w:ascii="Arial" w:cs="Arial" w:eastAsia="Arial" w:hAnsi="Arial"/>
                <w:b w:val="1"/>
                <w:sz w:val="13.799177921315325"/>
                <w:szCs w:val="13.799177921315325"/>
                <w:rtl w:val="0"/>
              </w:rPr>
              <w:t xml:space="preserve">Hepatectomy</w:t>
            </w:r>
            <w:r w:rsidDel="00000000" w:rsidR="00000000" w:rsidRPr="00000000">
              <w:rPr>
                <w:rFonts w:ascii="Arial" w:cs="Arial" w:eastAsia="Arial" w:hAnsi="Arial"/>
                <w:b w:val="1"/>
                <w:color w:val="000000"/>
                <w:sz w:val="13.799177921315325"/>
                <w:szCs w:val="13.799177921315325"/>
                <w:rtl w:val="0"/>
              </w:rPr>
              <w:t xml:space="preserve"> And Other Liver Procedures</w:t>
            </w: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9">
            <w:pPr>
              <w:rPr>
                <w:rFonts w:ascii="Arial" w:cs="Arial" w:eastAsia="Arial" w:hAnsi="Arial"/>
                <w:color w:val="000000"/>
                <w:sz w:val="13.799177921315325"/>
                <w:szCs w:val="13.799177921315325"/>
              </w:rPr>
            </w:pPr>
            <w:r w:rsidDel="00000000" w:rsidR="00000000" w:rsidRPr="00000000">
              <w:rPr>
                <w:rtl w:val="0"/>
              </w:rPr>
            </w:r>
          </w:p>
        </w:tc>
        <w:tc>
          <w:tcPr>
            <w:gridSpan w:val="1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A">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Post-Match Patients With Malnutrition Vs Without Malnutrition Undergoing Hepatectomy For Other Liver Procedures</w:t>
            </w: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7">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8">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With Malnutrition</w:t>
            </w: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A">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Without Malnutrition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D">
            <w:pPr>
              <w:rPr>
                <w:rFonts w:ascii="Arial" w:cs="Arial" w:eastAsia="Arial" w:hAnsi="Arial"/>
                <w:color w:val="000000"/>
                <w:sz w:val="13.799177921315325"/>
                <w:szCs w:val="13.799177921315325"/>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E">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Univariate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0">
            <w:pPr>
              <w:rPr>
                <w:rFonts w:ascii="Arial" w:cs="Arial" w:eastAsia="Arial" w:hAnsi="Arial"/>
                <w:color w:val="000000"/>
                <w:sz w:val="13.799177921315325"/>
                <w:szCs w:val="13.799177921315325"/>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1">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Multivariate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4">
            <w:pPr>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5">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Hospital Outcomes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6">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472</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7">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8">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n = 472</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9">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(50.00 %)</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A">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C">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D">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F">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aOR</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0">
            <w:pPr>
              <w:jc w:val="cente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95% CI</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1">
            <w:pPr>
              <w:jc w:val="right"/>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p-value</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2">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Mortality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6.14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3.18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0.045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B">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(1.05 - 3.77)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C">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2.28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E">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(1.18 - 4.39)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F">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0.014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0">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1">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Length of Stay (days)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17.20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9.02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days</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A">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C">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(1.83 - 1.97)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D">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F">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Hospitalization Costs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0">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227,981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1">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129,143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9">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1.74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A">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(1.74 - 1.75)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B">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Disposition at Discharge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1">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5">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9">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A">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Routine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41.30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63.60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F">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1">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2">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3">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8">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Short-term Hospital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2.97</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0">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1">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6">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Skilled Nursing or other Facility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28.80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11.70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E">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F">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4">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Home Health Care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21.60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17.60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C">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D">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2">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Against Medical Advice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0.21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0.85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A">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B">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C">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0">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1">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Died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6.14</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4">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3.18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8">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9">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A">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C">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D">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E">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F">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Unknown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0">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1">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0.21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3">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4">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6">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7">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8">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9">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A">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B">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C">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D">
            <w:pPr>
              <w:rPr>
                <w:rFonts w:ascii="Arial" w:cs="Arial" w:eastAsia="Arial" w:hAnsi="Arial"/>
                <w:color w:val="000000"/>
                <w:sz w:val="13.799177921315325"/>
                <w:szCs w:val="13.799177921315325"/>
              </w:rPr>
            </w:pPr>
            <w:r w:rsidDel="00000000" w:rsidR="00000000" w:rsidRPr="00000000">
              <w:rPr>
                <w:rFonts w:ascii="Arial" w:cs="Arial" w:eastAsia="Arial" w:hAnsi="Arial"/>
                <w:b w:val="1"/>
                <w:color w:val="000000"/>
                <w:sz w:val="13.799177921315325"/>
                <w:szCs w:val="13.799177921315325"/>
                <w:rtl w:val="0"/>
              </w:rPr>
              <w:t xml:space="preserve">Postoperative complications</w:t>
            </w: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0">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1">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2">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A">
            <w:pPr>
              <w:rPr>
                <w:rFonts w:ascii="Arial" w:cs="Arial" w:eastAsia="Arial" w:hAnsi="Arial"/>
                <w:color w:val="000000"/>
                <w:sz w:val="13.799177921315325"/>
                <w:szCs w:val="13.799177921315325"/>
              </w:rPr>
            </w:pPr>
            <w:r w:rsidDel="00000000" w:rsidR="00000000" w:rsidRPr="00000000">
              <w:rPr>
                <w:rtl w:val="0"/>
              </w:rPr>
            </w:r>
          </w:p>
        </w:tc>
      </w:tr>
      <w:tr>
        <w:trPr>
          <w:cantSplit w:val="0"/>
          <w:trHeight w:val="284.0117498950902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Bleeding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5.51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3.60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F">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0">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0.210</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1">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2">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1.56</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3">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(0.84 - 2.92)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6">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7">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8">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Infection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4.45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2.12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0.068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0">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2.15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1">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(1.00 - 4.62)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4">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5">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6">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Wound Complications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4.45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1.48</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B">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0.013</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E">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3.09</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F">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(1.30 - 7.35)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2">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3">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4">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5">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Postoperative Respiratory Failure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6">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8.05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7">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8">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2.12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9">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A">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&lt; 0.001</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C">
            <w:pPr>
              <w:jc w:val="right"/>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4.05</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D">
            <w:pPr>
              <w:jc w:val="cente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(1.99 - 8.22)</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E">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F">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0">
            <w:pPr>
              <w:jc w:val="cente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1">
            <w:pPr>
              <w:jc w:val="right"/>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2">
            <w:pPr>
              <w:jc w:val="right"/>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3">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4">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5">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6">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7">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8">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9">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A">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B">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C">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D">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E">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F">
            <w:pPr>
              <w:rPr>
                <w:rFonts w:ascii="Arial" w:cs="Arial" w:eastAsia="Arial" w:hAnsi="Arial"/>
                <w:color w:val="000000"/>
                <w:sz w:val="13.799177921315325"/>
                <w:szCs w:val="13.799177921315325"/>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90">
            <w:pPr>
              <w:rPr>
                <w:rFonts w:ascii="Arial" w:cs="Arial" w:eastAsia="Arial" w:hAnsi="Arial"/>
                <w:color w:val="000000"/>
                <w:sz w:val="13.799177921315325"/>
                <w:szCs w:val="13.799177921315325"/>
              </w:rPr>
            </w:pPr>
            <w:r w:rsidDel="00000000" w:rsidR="00000000" w:rsidRPr="00000000">
              <w:rPr>
                <w:rtl w:val="0"/>
              </w:rPr>
            </w:r>
          </w:p>
        </w:tc>
      </w:tr>
      <w:tr>
        <w:trPr>
          <w:cantSplit w:val="0"/>
          <w:trHeight w:val="202.43390684011752"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91">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Used Poisson regression analysis</w:t>
            </w:r>
          </w:p>
        </w:tc>
      </w:tr>
      <w:tr>
        <w:trPr>
          <w:cantSplit w:val="0"/>
          <w:trHeight w:val="202.43390684011752"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9F">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 Fisher's Test</w:t>
            </w:r>
          </w:p>
        </w:tc>
      </w:tr>
      <w:tr>
        <w:trPr>
          <w:cantSplit w:val="0"/>
          <w:trHeight w:val="329.3327738145195" w:hRule="atLeast"/>
          <w:tblHeader w:val="0"/>
        </w:trPr>
        <w:tc>
          <w:tcPr>
            <w:gridSpan w:val="14"/>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AD">
            <w:pPr>
              <w:rPr>
                <w:rFonts w:ascii="Arial" w:cs="Arial" w:eastAsia="Arial" w:hAnsi="Arial"/>
                <w:color w:val="000000"/>
                <w:sz w:val="13.799177921315325"/>
                <w:szCs w:val="13.799177921315325"/>
              </w:rPr>
            </w:pPr>
            <w:r w:rsidDel="00000000" w:rsidR="00000000" w:rsidRPr="00000000">
              <w:rPr>
                <w:rFonts w:ascii="Arial" w:cs="Arial" w:eastAsia="Arial" w:hAnsi="Arial"/>
                <w:color w:val="000000"/>
                <w:sz w:val="13.799177921315325"/>
                <w:szCs w:val="13.799177921315325"/>
                <w:rtl w:val="0"/>
              </w:rPr>
              <w:t xml:space="preserve">The following variables were included in the propensity-score matching procedure: age, gender: female, race, diabetes, hyperlipidemia, hypertension, chronic obstructive pulmonary disease, coronary artery disease, chronic kidney disease, congestive heart failure, coagulopathy, alcohol use disorder, cigarette use, obesity, elective (vs emergent) procedure, alcoholic liver disease, hepatitis b, hepatitis c, non-alcoholic fatty liver disease, cirrhosis</w:t>
            </w:r>
          </w:p>
        </w:tc>
      </w:tr>
    </w:tbl>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4"/>
          <w:szCs w:val="1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