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378A" w14:textId="027C81DA" w:rsidR="008B5F3F" w:rsidRPr="00465582" w:rsidRDefault="008B5F3F" w:rsidP="008B5F3F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t xml:space="preserve">Supplementary </w:t>
      </w:r>
      <w:r w:rsidRPr="00465582"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t>Table</w:t>
      </w:r>
      <w:r w:rsidRPr="00465582">
        <w:rPr>
          <w:rFonts w:ascii="Times New Roman" w:hAnsi="Times New Roman"/>
          <w:b/>
          <w:bCs/>
          <w:kern w:val="0"/>
          <w:sz w:val="20"/>
          <w:szCs w:val="20"/>
          <w:lang w:bidi="en-US"/>
        </w:rPr>
        <w:t xml:space="preserve"> </w:t>
      </w:r>
      <w:r w:rsidRPr="00465582"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t>1. Composition and nutrient level of experimental diet</w:t>
      </w:r>
    </w:p>
    <w:tbl>
      <w:tblPr>
        <w:tblW w:w="8292" w:type="dxa"/>
        <w:jc w:val="center"/>
        <w:tblLayout w:type="fixed"/>
        <w:tblLook w:val="04A0" w:firstRow="1" w:lastRow="0" w:firstColumn="1" w:lastColumn="0" w:noHBand="0" w:noVBand="1"/>
      </w:tblPr>
      <w:tblGrid>
        <w:gridCol w:w="2465"/>
        <w:gridCol w:w="1304"/>
        <w:gridCol w:w="3184"/>
        <w:gridCol w:w="1339"/>
      </w:tblGrid>
      <w:tr w:rsidR="008B5F3F" w:rsidRPr="00465582" w14:paraId="30BB900A" w14:textId="77777777" w:rsidTr="00704222">
        <w:trPr>
          <w:jc w:val="center"/>
        </w:trPr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67A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bCs/>
                <w:kern w:val="0"/>
                <w:sz w:val="20"/>
                <w:szCs w:val="20"/>
                <w:lang w:bidi="ar"/>
              </w:rPr>
              <w:t>Ingredients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9B4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bCs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7231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bCs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bCs/>
                <w:kern w:val="0"/>
                <w:sz w:val="20"/>
                <w:szCs w:val="20"/>
                <w:lang w:bidi="ar"/>
              </w:rPr>
              <w:t>Nutrient level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B09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Palatino Linotype" w:hAnsi="Times New Roman"/>
                <w:bCs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bCs/>
                <w:kern w:val="0"/>
                <w:sz w:val="20"/>
                <w:szCs w:val="20"/>
                <w:lang w:bidi="ar"/>
              </w:rPr>
              <w:t>Content</w:t>
            </w:r>
          </w:p>
        </w:tc>
      </w:tr>
      <w:tr w:rsidR="008B5F3F" w:rsidRPr="00465582" w14:paraId="4B28A682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A60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Corn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1E94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28.31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0EAE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Digestible energy (calculated, MJ/kg)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A9A3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14.78</w:t>
            </w:r>
          </w:p>
        </w:tc>
      </w:tr>
      <w:tr w:rsidR="008B5F3F" w:rsidRPr="00465582" w14:paraId="509898C7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B053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Extruded corn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15DF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24.87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58F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Crude Protein (%)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06B1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19.68</w:t>
            </w:r>
          </w:p>
        </w:tc>
      </w:tr>
      <w:tr w:rsidR="008B5F3F" w:rsidRPr="00465582" w14:paraId="6C2B190C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FA64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Soybean meal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779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8.50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9F1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Calcium (%)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4C7D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0.81</w:t>
            </w:r>
          </w:p>
        </w:tc>
      </w:tr>
      <w:tr w:rsidR="008B5F3F" w:rsidRPr="00465582" w14:paraId="1D4989AF" w14:textId="77777777" w:rsidTr="00704222">
        <w:trPr>
          <w:trHeight w:val="90"/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BFB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Extruded full-fat soybean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DD8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10.30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E03B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Available phosphorus (%)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F1A8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0.55</w:t>
            </w:r>
          </w:p>
        </w:tc>
      </w:tr>
      <w:tr w:rsidR="008B5F3F" w:rsidRPr="00465582" w14:paraId="2D501341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B54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Fish meal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08D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4.20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BB60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Lysine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569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1.35</w:t>
            </w:r>
          </w:p>
        </w:tc>
      </w:tr>
      <w:tr w:rsidR="008B5F3F" w:rsidRPr="00465582" w14:paraId="44E24386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F73F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Whey powder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8BEB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9168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Methionine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373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0.42</w:t>
            </w:r>
          </w:p>
        </w:tc>
      </w:tr>
      <w:tr w:rsidR="008B5F3F" w:rsidRPr="00465582" w14:paraId="18E13A59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3FE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Soybean protein concentrate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3AAF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4D81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Methionine + cysteine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002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0.60</w:t>
            </w:r>
          </w:p>
        </w:tc>
      </w:tr>
      <w:tr w:rsidR="008B5F3F" w:rsidRPr="00465582" w14:paraId="7E76B723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36EF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Soybean oil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370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F1D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Threonine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E81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0.79</w:t>
            </w:r>
          </w:p>
        </w:tc>
      </w:tr>
      <w:tr w:rsidR="008B5F3F" w:rsidRPr="00465582" w14:paraId="5F6C0534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BDAA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Sucrose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F7A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93CA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  <w:r w:rsidRPr="00465582">
              <w:rPr>
                <w:rFonts w:ascii="Times New Roman" w:eastAsia="仿宋" w:hAnsi="Times New Roman"/>
                <w:kern w:val="0"/>
                <w:sz w:val="20"/>
                <w:szCs w:val="20"/>
                <w:lang w:bidi="ar"/>
              </w:rPr>
              <w:t>Tryptophan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893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0.22</w:t>
            </w:r>
          </w:p>
        </w:tc>
      </w:tr>
      <w:tr w:rsidR="008B5F3F" w:rsidRPr="00465582" w14:paraId="4FB10899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906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Limestone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AA90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0.90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4CC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2884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6914F262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BBB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Dicalcium phosphate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FEB3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DAB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69F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4EA61A74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88A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NaCl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0320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0.30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ACA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6E31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0175184E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A703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L -</w:t>
            </w:r>
            <w:proofErr w:type="spellStart"/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LysineHCl</w:t>
            </w:r>
            <w:proofErr w:type="spellEnd"/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 xml:space="preserve"> (78%)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F3E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0.47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FE1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96A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40D14DB5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0C15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DL -Methionine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276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0.15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21A4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8A3F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362201EF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EE2C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L -Threonine (98.5%)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FE2E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0.13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9F74A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9DC8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5C238095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0677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Tryptophan (98%)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D881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0.03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751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2EAD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5E2D3B13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B6E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Chloride choline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E560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759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A992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257A937F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3D78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 xml:space="preserve">Vitamin premix </w:t>
            </w: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vertAlign w:val="superscript"/>
                <w:lang w:bidi="ar"/>
              </w:rPr>
              <w:t>1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D7D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0.04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5C9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3F5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3D9BAC2A" w14:textId="77777777" w:rsidTr="00704222">
        <w:trPr>
          <w:jc w:val="center"/>
        </w:trPr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2D06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 xml:space="preserve">Mineral premix </w:t>
            </w: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140BB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0.20</w:t>
            </w:r>
          </w:p>
        </w:tc>
        <w:tc>
          <w:tcPr>
            <w:tcW w:w="3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21F3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1CDA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8B5F3F" w:rsidRPr="00465582" w14:paraId="77A8796A" w14:textId="77777777" w:rsidTr="00704222">
        <w:trPr>
          <w:jc w:val="center"/>
        </w:trPr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A05A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Total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4F0B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465582"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5B99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C70F" w14:textId="77777777" w:rsidR="008B5F3F" w:rsidRPr="00465582" w:rsidRDefault="008B5F3F" w:rsidP="00704222">
            <w:pPr>
              <w:widowControl/>
              <w:autoSpaceDE w:val="0"/>
              <w:spacing w:line="260" w:lineRule="atLeast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</w:tbl>
    <w:p w14:paraId="1546D816" w14:textId="77777777" w:rsidR="008B5F3F" w:rsidRPr="00465582" w:rsidRDefault="008B5F3F" w:rsidP="008B5F3F">
      <w:pPr>
        <w:widowControl/>
        <w:autoSpaceDE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0"/>
          <w:szCs w:val="20"/>
          <w:lang w:bidi="en-US"/>
        </w:rPr>
      </w:pPr>
      <w:r w:rsidRPr="00465582">
        <w:rPr>
          <w:rFonts w:ascii="Times New Roman" w:hAnsi="Times New Roman"/>
          <w:kern w:val="0"/>
          <w:sz w:val="20"/>
          <w:szCs w:val="20"/>
          <w:vertAlign w:val="superscript"/>
          <w:lang w:bidi="en-US"/>
        </w:rPr>
        <w:t>1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en-US"/>
        </w:rPr>
        <w:t xml:space="preserve"> The vitamin premix provided the following per kg of diet: 9000 IU of VA, 3000 IU of VD 3, 20 IU of VE, 3 mg of VK 3, 1.5 mg of VB1, 4 mg of VB 2, 3 mg of VB6, 0.02 mg of VB12, 30 mg of niacin, 15 mg of pantothenic acid, 0.75 mg of folic acid, and 0.1 mg of biotin.</w:t>
      </w:r>
      <w:r w:rsidRPr="00465582">
        <w:rPr>
          <w:rFonts w:ascii="Times New Roman" w:hAnsi="Times New Roman"/>
          <w:kern w:val="0"/>
          <w:sz w:val="20"/>
          <w:szCs w:val="20"/>
          <w:lang w:bidi="en-US"/>
        </w:rPr>
        <w:t xml:space="preserve"> </w:t>
      </w:r>
      <w:r w:rsidRPr="00465582">
        <w:rPr>
          <w:rFonts w:ascii="Times New Roman" w:hAnsi="Times New Roman"/>
          <w:kern w:val="0"/>
          <w:sz w:val="20"/>
          <w:szCs w:val="20"/>
          <w:vertAlign w:val="superscript"/>
          <w:lang w:bidi="en-US"/>
        </w:rPr>
        <w:t xml:space="preserve">2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en-US"/>
        </w:rPr>
        <w:t>The mineral premix provided the following per kg of diet: 100 mg Fe, 6 mg Cu, 100 mg Zn, 4 mg Mn, 0.30 mg I</w:t>
      </w:r>
      <w:r w:rsidRPr="00465582">
        <w:rPr>
          <w:rFonts w:ascii="Times New Roman" w:hAnsi="Times New Roman" w:hint="eastAsia"/>
          <w:kern w:val="0"/>
          <w:sz w:val="20"/>
          <w:szCs w:val="20"/>
          <w:lang w:bidi="en-US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en-US"/>
        </w:rPr>
        <w:t>0.3 mg</w:t>
      </w:r>
      <w:r w:rsidRPr="00465582">
        <w:rPr>
          <w:rFonts w:ascii="Times New Roman" w:hAnsi="Times New Roman" w:hint="eastAsia"/>
          <w:kern w:val="0"/>
          <w:sz w:val="20"/>
          <w:szCs w:val="20"/>
          <w:lang w:bidi="en-US"/>
        </w:rPr>
        <w:t xml:space="preserve">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en-US"/>
        </w:rPr>
        <w:t>Se</w:t>
      </w:r>
      <w:r w:rsidRPr="00465582">
        <w:rPr>
          <w:rFonts w:ascii="Times New Roman" w:hAnsi="Times New Roman" w:hint="eastAsia"/>
          <w:kern w:val="0"/>
          <w:sz w:val="20"/>
          <w:szCs w:val="20"/>
          <w:lang w:bidi="en-US"/>
        </w:rPr>
        <w:t>.</w:t>
      </w:r>
    </w:p>
    <w:p w14:paraId="59DC9224" w14:textId="4BF278D1" w:rsidR="008B5F3F" w:rsidRPr="00465582" w:rsidRDefault="008B5F3F" w:rsidP="008B5F3F">
      <w:pPr>
        <w:widowControl/>
        <w:autoSpaceDE w:val="0"/>
        <w:spacing w:before="100" w:beforeAutospacing="1" w:after="100" w:afterAutospacing="1"/>
        <w:jc w:val="left"/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</w:pPr>
      <w:r w:rsidRPr="00465582">
        <w:rPr>
          <w:rFonts w:ascii="Times New Roman" w:eastAsia="黑体" w:hAnsi="Times New Roman"/>
          <w:sz w:val="20"/>
          <w:szCs w:val="20"/>
          <w:lang w:eastAsia="de" w:bidi="ar"/>
        </w:rPr>
        <w:br w:type="page"/>
      </w:r>
      <w:r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lastRenderedPageBreak/>
        <w:t>Supplementary</w:t>
      </w:r>
      <w:r w:rsidRPr="00465582"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t xml:space="preserve"> </w:t>
      </w:r>
      <w:r w:rsidRPr="00465582">
        <w:rPr>
          <w:rFonts w:ascii="Times New Roman" w:eastAsia="Palatino Linotype" w:hAnsi="Times New Roman"/>
          <w:b/>
          <w:bCs/>
          <w:kern w:val="0"/>
          <w:sz w:val="20"/>
          <w:szCs w:val="20"/>
          <w:lang w:bidi="en-US"/>
        </w:rPr>
        <w:t>Table 2. The sequences of primers used for real-time PCR</w:t>
      </w:r>
    </w:p>
    <w:tbl>
      <w:tblPr>
        <w:tblStyle w:val="a6"/>
        <w:tblW w:w="8305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685"/>
        <w:gridCol w:w="1737"/>
        <w:gridCol w:w="996"/>
      </w:tblGrid>
      <w:tr w:rsidR="008B5F3F" w:rsidRPr="00465582" w14:paraId="3E41038E" w14:textId="77777777" w:rsidTr="00704222">
        <w:trPr>
          <w:trHeight w:val="1066"/>
          <w:jc w:val="center"/>
        </w:trPr>
        <w:tc>
          <w:tcPr>
            <w:tcW w:w="1887" w:type="dxa"/>
            <w:tcBorders>
              <w:bottom w:val="single" w:sz="4" w:space="0" w:color="auto"/>
              <w:right w:val="nil"/>
            </w:tcBorders>
            <w:vAlign w:val="center"/>
          </w:tcPr>
          <w:p w14:paraId="7DDF5A39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Gene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95332A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Primer sequence (5’ –3’)</w:t>
            </w:r>
          </w:p>
        </w:tc>
        <w:tc>
          <w:tcPr>
            <w:tcW w:w="1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D8D935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Annealing temperature (℃)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17EF9" w14:textId="77777777" w:rsidR="008B5F3F" w:rsidRPr="00465582" w:rsidRDefault="008B5F3F" w:rsidP="00704222">
            <w:pPr>
              <w:suppressAutoHyphens/>
              <w:spacing w:after="120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Product size (bp)</w:t>
            </w:r>
          </w:p>
        </w:tc>
      </w:tr>
      <w:tr w:rsidR="008B5F3F" w:rsidRPr="00465582" w14:paraId="7125ACAC" w14:textId="77777777" w:rsidTr="00704222">
        <w:trPr>
          <w:trHeight w:val="43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5F323B0C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β-Actin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1ABF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TGGAACGGTGAAGGTGACAGC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ECDA0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62.84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8374D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177</w:t>
            </w:r>
          </w:p>
        </w:tc>
      </w:tr>
      <w:tr w:rsidR="008B5F3F" w:rsidRPr="00465582" w14:paraId="37F3F904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4D5E4396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AA22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 xml:space="preserve">R: </w:t>
            </w:r>
            <w:bookmarkStart w:id="0" w:name="OLE_LINK37"/>
            <w:bookmarkStart w:id="1" w:name="OLE_LINK112"/>
            <w:r w:rsidRPr="00465582">
              <w:rPr>
                <w:rFonts w:eastAsia="黑体"/>
                <w:szCs w:val="20"/>
              </w:rPr>
              <w:t>GCTTTTGGGAAGGCAGGGACT</w:t>
            </w:r>
            <w:bookmarkEnd w:id="0"/>
            <w:bookmarkEnd w:id="1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AFA0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62.90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A08355C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44F7E01E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25A4EC31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TLR4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D031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 xml:space="preserve">F: </w:t>
            </w:r>
            <w:bookmarkStart w:id="2" w:name="OLE_LINK118"/>
            <w:bookmarkStart w:id="3" w:name="OLE_LINK119"/>
            <w:bookmarkStart w:id="4" w:name="OLE_LINK113"/>
            <w:r w:rsidRPr="00465582">
              <w:rPr>
                <w:rFonts w:eastAsia="黑体"/>
                <w:szCs w:val="20"/>
              </w:rPr>
              <w:t>TTACAGAAGCTGGTTGCCGT</w:t>
            </w:r>
            <w:bookmarkEnd w:id="2"/>
            <w:bookmarkEnd w:id="3"/>
            <w:bookmarkEnd w:id="4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D11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59.89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31A79D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 w:hint="eastAsia"/>
                <w:szCs w:val="20"/>
              </w:rPr>
              <w:t>152</w:t>
            </w:r>
          </w:p>
        </w:tc>
      </w:tr>
      <w:tr w:rsidR="008B5F3F" w:rsidRPr="00465582" w14:paraId="16F53BE9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745DAD92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AF9A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TCCAGGTTGGGCAGGTTAGA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80A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60.47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B4B0F4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24926B0D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5908271F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MYD88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A30F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CCATTCGAGATGACCCCCTG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94547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59.89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936B91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184</w:t>
            </w:r>
          </w:p>
        </w:tc>
      </w:tr>
      <w:tr w:rsidR="008B5F3F" w:rsidRPr="00465582" w14:paraId="585A4DC7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20218F3E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F5DF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TCAGCAATGGACCAGACGCAG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364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62.97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DFA8C5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0510AE49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1B66BEAF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NF-</w:t>
            </w:r>
            <w:proofErr w:type="spellStart"/>
            <w:r w:rsidRPr="00465582">
              <w:rPr>
                <w:rFonts w:eastAsia="Palatino Linotype"/>
                <w:szCs w:val="20"/>
                <w:lang w:bidi="ar"/>
              </w:rPr>
              <w:t>κ</w:t>
            </w:r>
            <w:r w:rsidRPr="00465582">
              <w:rPr>
                <w:rFonts w:eastAsia="黑体"/>
                <w:szCs w:val="20"/>
              </w:rPr>
              <w:t>B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0EEC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GTGTGTAAAGAAGCGGGACCT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5B49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60.27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DDDA69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139</w:t>
            </w:r>
          </w:p>
        </w:tc>
      </w:tr>
      <w:tr w:rsidR="008B5F3F" w:rsidRPr="00465582" w14:paraId="2593582D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6BFAEC9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BD3D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CACTGTCACCTGGAAGCAGAG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8E1F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60.61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83279C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504C9DEF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20AA7B49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5731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CACACATCTCCTTTCTCATTGC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CB11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57.65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98C23F7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588A4358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2653C68C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Ho-1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B1D6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CGCTCCCGAATGAACAC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5BCD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55.66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698118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112</w:t>
            </w:r>
          </w:p>
        </w:tc>
      </w:tr>
      <w:tr w:rsidR="008B5F3F" w:rsidRPr="00465582" w14:paraId="30EA06A5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4B4667B3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2AF9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GCTCCTGCACCTCCTC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7057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55.92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38AA4B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7DB9D4DA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1D0DA41C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N</w:t>
            </w:r>
            <w:r w:rsidRPr="00465582">
              <w:rPr>
                <w:rFonts w:eastAsia="黑体" w:hint="eastAsia"/>
                <w:szCs w:val="20"/>
              </w:rPr>
              <w:t>rf-</w:t>
            </w:r>
            <w:r w:rsidRPr="00465582">
              <w:rPr>
                <w:rFonts w:eastAsia="黑体"/>
                <w:szCs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9A8B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GCCCCTGGAAGCGTTAAAC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8E34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59.12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A23436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67</w:t>
            </w:r>
          </w:p>
        </w:tc>
      </w:tr>
      <w:tr w:rsidR="008B5F3F" w:rsidRPr="00465582" w14:paraId="4915077A" w14:textId="77777777" w:rsidTr="00704222">
        <w:trPr>
          <w:trHeight w:val="43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5D27BC35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37C3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GGACTGTATCCCCAGAAGGTTGT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40D01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61.65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93BF0D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2B10EA5F" w14:textId="77777777" w:rsidTr="00704222">
        <w:trPr>
          <w:trHeight w:val="428"/>
          <w:jc w:val="center"/>
        </w:trPr>
        <w:tc>
          <w:tcPr>
            <w:tcW w:w="188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6CC9E2C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BAX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CE96F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AAGCGCATTGGAGATGAACT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40CEE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57.88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FCD9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121</w:t>
            </w:r>
          </w:p>
        </w:tc>
      </w:tr>
      <w:tr w:rsidR="008B5F3F" w:rsidRPr="00465582" w14:paraId="33AA7A9D" w14:textId="77777777" w:rsidTr="00704222">
        <w:trPr>
          <w:trHeight w:val="448"/>
          <w:jc w:val="center"/>
        </w:trPr>
        <w:tc>
          <w:tcPr>
            <w:tcW w:w="18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FC1AAC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225B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TGCCGTCAGCAAACATTTC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F026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57.14</w:t>
            </w: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BBA5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42A76B5C" w14:textId="77777777" w:rsidTr="00704222">
        <w:trPr>
          <w:trHeight w:val="44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2E2EB26D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Bcl-2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CDD2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F: ATGTGTGTGGAGAGCGTCAA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7E367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59.61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ABD8C3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142</w:t>
            </w:r>
          </w:p>
        </w:tc>
      </w:tr>
      <w:tr w:rsidR="008B5F3F" w:rsidRPr="00465582" w14:paraId="5599E133" w14:textId="77777777" w:rsidTr="00704222">
        <w:trPr>
          <w:trHeight w:val="448"/>
          <w:jc w:val="center"/>
        </w:trPr>
        <w:tc>
          <w:tcPr>
            <w:tcW w:w="1887" w:type="dxa"/>
            <w:vMerge/>
            <w:tcBorders>
              <w:bottom w:val="nil"/>
              <w:right w:val="nil"/>
            </w:tcBorders>
            <w:vAlign w:val="center"/>
          </w:tcPr>
          <w:p w14:paraId="2BCE7CF1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FF32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szCs w:val="20"/>
              </w:rPr>
            </w:pPr>
            <w:r w:rsidRPr="00465582">
              <w:rPr>
                <w:rFonts w:eastAsia="黑体"/>
                <w:szCs w:val="20"/>
              </w:rPr>
              <w:t>R: GCCCATACAGCTCCACAAAG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EC3F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58.90</w:t>
            </w:r>
          </w:p>
        </w:tc>
        <w:tc>
          <w:tcPr>
            <w:tcW w:w="9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08E084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  <w:tr w:rsidR="008B5F3F" w:rsidRPr="00465582" w14:paraId="737701A2" w14:textId="77777777" w:rsidTr="00704222">
        <w:trPr>
          <w:trHeight w:val="448"/>
          <w:jc w:val="center"/>
        </w:trPr>
        <w:tc>
          <w:tcPr>
            <w:tcW w:w="1887" w:type="dxa"/>
            <w:vMerge w:val="restart"/>
            <w:tcBorders>
              <w:top w:val="nil"/>
              <w:right w:val="nil"/>
            </w:tcBorders>
            <w:vAlign w:val="center"/>
          </w:tcPr>
          <w:p w14:paraId="0B6132AE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i/>
                <w:iCs/>
                <w:szCs w:val="20"/>
              </w:rPr>
            </w:pPr>
            <w:r w:rsidRPr="00465582">
              <w:rPr>
                <w:rFonts w:eastAsia="黑体"/>
                <w:szCs w:val="20"/>
              </w:rPr>
              <w:t>Caspase</w:t>
            </w:r>
            <w:r w:rsidRPr="00465582">
              <w:rPr>
                <w:rFonts w:eastAsia="黑体" w:hint="eastAsia"/>
                <w:szCs w:val="20"/>
              </w:rPr>
              <w:t>-</w:t>
            </w:r>
            <w:r w:rsidRPr="00465582">
              <w:rPr>
                <w:rFonts w:eastAsia="黑体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E5D3" w14:textId="77777777" w:rsidR="008B5F3F" w:rsidRPr="00465582" w:rsidRDefault="008B5F3F" w:rsidP="00704222">
            <w:pPr>
              <w:pStyle w:val="MDPI42tablebody"/>
              <w:spacing w:line="240" w:lineRule="auto"/>
              <w:rPr>
                <w:rFonts w:ascii="Times New Roman" w:eastAsia="黑体" w:hAnsi="Times New Roman"/>
                <w:color w:val="auto"/>
              </w:rPr>
            </w:pPr>
            <w:r w:rsidRPr="00465582">
              <w:rPr>
                <w:rFonts w:ascii="Times New Roman" w:eastAsia="黑体" w:hAnsi="Times New Roman"/>
                <w:color w:val="auto"/>
              </w:rPr>
              <w:t xml:space="preserve">F: </w:t>
            </w:r>
            <w:r w:rsidRPr="00465582">
              <w:rPr>
                <w:rFonts w:ascii="Times New Roman" w:hAnsi="Times New Roman"/>
                <w:color w:val="auto"/>
              </w:rPr>
              <w:t>GGAATGGCATGTCGATCTGGT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945D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63.00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5A7CEA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 w:hint="eastAsia"/>
                <w:szCs w:val="20"/>
              </w:rPr>
              <w:t>105</w:t>
            </w:r>
          </w:p>
        </w:tc>
      </w:tr>
      <w:tr w:rsidR="008B5F3F" w:rsidRPr="00465582" w14:paraId="40621AD5" w14:textId="77777777" w:rsidTr="00704222">
        <w:trPr>
          <w:trHeight w:val="456"/>
          <w:jc w:val="center"/>
        </w:trPr>
        <w:tc>
          <w:tcPr>
            <w:tcW w:w="188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786A1E2" w14:textId="77777777" w:rsidR="008B5F3F" w:rsidRPr="00465582" w:rsidRDefault="008B5F3F" w:rsidP="00704222">
            <w:pPr>
              <w:suppressAutoHyphens/>
              <w:jc w:val="center"/>
              <w:rPr>
                <w:rFonts w:eastAsia="黑体"/>
                <w:i/>
                <w:iCs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D22A9" w14:textId="77777777" w:rsidR="008B5F3F" w:rsidRPr="00465582" w:rsidRDefault="008B5F3F" w:rsidP="00704222">
            <w:pPr>
              <w:pStyle w:val="MDPI42tablebody"/>
              <w:spacing w:line="240" w:lineRule="auto"/>
              <w:rPr>
                <w:rFonts w:ascii="Times New Roman" w:eastAsia="黑体" w:hAnsi="Times New Roman"/>
                <w:color w:val="auto"/>
              </w:rPr>
            </w:pPr>
            <w:r w:rsidRPr="00465582">
              <w:rPr>
                <w:rFonts w:ascii="Times New Roman" w:eastAsia="黑体" w:hAnsi="Times New Roman"/>
                <w:color w:val="auto"/>
              </w:rPr>
              <w:t>R:</w:t>
            </w:r>
            <w:r w:rsidRPr="00465582">
              <w:rPr>
                <w:rFonts w:ascii="Times New Roman" w:eastAsia="黑体" w:hAnsi="Times New Roman" w:hint="eastAsia"/>
                <w:color w:val="auto"/>
              </w:rPr>
              <w:t xml:space="preserve"> </w:t>
            </w:r>
            <w:r w:rsidRPr="00465582">
              <w:rPr>
                <w:rFonts w:ascii="Times New Roman" w:hAnsi="Times New Roman"/>
                <w:color w:val="auto"/>
              </w:rPr>
              <w:t>ACTGTCCGTCTCAATCCCA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772C8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  <w:r w:rsidRPr="00465582">
              <w:rPr>
                <w:rFonts w:eastAsia="Microsoft YaHei UI"/>
                <w:szCs w:val="20"/>
              </w:rPr>
              <w:t>61.78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6B1DC6" w14:textId="77777777" w:rsidR="008B5F3F" w:rsidRPr="00465582" w:rsidRDefault="008B5F3F" w:rsidP="00704222">
            <w:pPr>
              <w:suppressAutoHyphens/>
              <w:spacing w:after="120"/>
              <w:jc w:val="center"/>
              <w:rPr>
                <w:rFonts w:eastAsia="Microsoft YaHei UI"/>
                <w:szCs w:val="20"/>
              </w:rPr>
            </w:pPr>
          </w:p>
        </w:tc>
      </w:tr>
    </w:tbl>
    <w:p w14:paraId="4FD3C204" w14:textId="0EAC386C" w:rsidR="000A167E" w:rsidRDefault="008B5F3F">
      <w:r w:rsidRPr="00465582">
        <w:rPr>
          <w:rFonts w:ascii="Times New Roman" w:eastAsia="Palatino Linotype" w:hAnsi="Times New Roman" w:cs="Times New Roman"/>
          <w:kern w:val="0"/>
          <w:sz w:val="20"/>
          <w:szCs w:val="20"/>
          <w:lang w:bidi="ar"/>
        </w:rPr>
        <w:t>Toll-like receptor 4, TLR4; myeloid differentiation factor 88, MyD88; nuclear factor-</w:t>
      </w:r>
      <w:proofErr w:type="spellStart"/>
      <w:r w:rsidRPr="00465582">
        <w:rPr>
          <w:rFonts w:ascii="Times New Roman" w:eastAsia="Palatino Linotype" w:hAnsi="Times New Roman" w:cs="Times New Roman"/>
          <w:kern w:val="0"/>
          <w:sz w:val="20"/>
          <w:szCs w:val="20"/>
          <w:lang w:bidi="ar"/>
        </w:rPr>
        <w:t>κB</w:t>
      </w:r>
      <w:proofErr w:type="spellEnd"/>
      <w:r w:rsidRPr="00465582">
        <w:rPr>
          <w:rFonts w:ascii="Times New Roman" w:eastAsia="Palatino Linotype" w:hAnsi="Times New Roman" w:cs="Times New Roman"/>
          <w:kern w:val="0"/>
          <w:sz w:val="20"/>
          <w:szCs w:val="20"/>
          <w:lang w:bidi="ar"/>
        </w:rPr>
        <w:t>, NF-</w:t>
      </w:r>
      <w:proofErr w:type="spellStart"/>
      <w:r w:rsidRPr="00465582">
        <w:rPr>
          <w:rFonts w:ascii="Times New Roman" w:eastAsia="Palatino Linotype" w:hAnsi="Times New Roman" w:cs="Times New Roman"/>
          <w:kern w:val="0"/>
          <w:sz w:val="20"/>
          <w:szCs w:val="20"/>
          <w:lang w:bidi="ar"/>
        </w:rPr>
        <w:t>κB</w:t>
      </w:r>
      <w:proofErr w:type="spellEnd"/>
      <w:r w:rsidRPr="00465582">
        <w:rPr>
          <w:rFonts w:ascii="Times New Roman" w:eastAsia="Palatino Linotype" w:hAnsi="Times New Roman" w:cs="Times New Roman"/>
          <w:kern w:val="0"/>
          <w:sz w:val="20"/>
          <w:szCs w:val="20"/>
          <w:lang w:bidi="ar"/>
        </w:rPr>
        <w:t xml:space="preserve">; </w:t>
      </w:r>
      <w:bookmarkStart w:id="5" w:name="_Hlk57904276"/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nuclear factor erythroid-derived 2-related factor</w:t>
      </w:r>
      <w:bookmarkEnd w:id="5"/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 xml:space="preserve"> 2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Nrf2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; </w:t>
      </w:r>
      <w:bookmarkStart w:id="6" w:name="_Hlk57904291"/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heme oxygenase-1</w:t>
      </w:r>
      <w:bookmarkEnd w:id="6"/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HO-1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;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B-cell lymphoma-2-associated X protein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BAX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;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B-cell lymphoma-2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BCL-2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>;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 xml:space="preserve"> cysteinyl aspartate-specific proteinase-3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 xml:space="preserve">, </w:t>
      </w:r>
      <w:r w:rsidRPr="00465582">
        <w:rPr>
          <w:rFonts w:ascii="Times New Roman" w:eastAsia="Palatino Linotype" w:hAnsi="Times New Roman"/>
          <w:kern w:val="0"/>
          <w:sz w:val="20"/>
          <w:szCs w:val="20"/>
          <w:lang w:bidi="ar"/>
        </w:rPr>
        <w:t>caspase-3</w:t>
      </w:r>
      <w:r w:rsidRPr="00465582">
        <w:rPr>
          <w:rFonts w:ascii="Times New Roman" w:eastAsia="Palatino Linotype" w:hAnsi="Times New Roman" w:hint="eastAsia"/>
          <w:kern w:val="0"/>
          <w:sz w:val="20"/>
          <w:szCs w:val="20"/>
          <w:lang w:bidi="ar"/>
        </w:rPr>
        <w:t>.</w:t>
      </w:r>
    </w:p>
    <w:sectPr w:rsidR="000A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F"/>
    <w:rsid w:val="000A167E"/>
    <w:rsid w:val="008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6A3F"/>
  <w15:chartTrackingRefBased/>
  <w15:docId w15:val="{C90FCF5C-5BAD-4E0D-AC0A-2F74ED1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8B5F3F"/>
    <w:pPr>
      <w:jc w:val="left"/>
    </w:pPr>
  </w:style>
  <w:style w:type="character" w:customStyle="1" w:styleId="a4">
    <w:name w:val="批注文字 字符"/>
    <w:basedOn w:val="a0"/>
    <w:link w:val="a3"/>
    <w:qFormat/>
    <w:rsid w:val="008B5F3F"/>
    <w:rPr>
      <w:szCs w:val="24"/>
    </w:rPr>
  </w:style>
  <w:style w:type="character" w:styleId="a5">
    <w:name w:val="annotation reference"/>
    <w:basedOn w:val="a0"/>
    <w:unhideWhenUsed/>
    <w:qFormat/>
    <w:rsid w:val="008B5F3F"/>
    <w:rPr>
      <w:sz w:val="21"/>
      <w:szCs w:val="21"/>
    </w:rPr>
  </w:style>
  <w:style w:type="table" w:styleId="a6">
    <w:name w:val="Table Grid"/>
    <w:basedOn w:val="a1"/>
    <w:qFormat/>
    <w:rsid w:val="008B5F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basedOn w:val="a"/>
    <w:qFormat/>
    <w:rsid w:val="008B5F3F"/>
    <w:pPr>
      <w:widowControl/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YH</dc:creator>
  <cp:keywords/>
  <dc:description/>
  <cp:lastModifiedBy>Luo YH</cp:lastModifiedBy>
  <cp:revision>1</cp:revision>
  <dcterms:created xsi:type="dcterms:W3CDTF">2021-09-28T02:43:00Z</dcterms:created>
  <dcterms:modified xsi:type="dcterms:W3CDTF">2021-09-28T02:45:00Z</dcterms:modified>
</cp:coreProperties>
</file>