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FF6F3" w14:textId="1AA77F58" w:rsidR="00CE486B" w:rsidRPr="00B72815" w:rsidRDefault="00CE486B" w:rsidP="00CE486B">
      <w:pPr>
        <w:rPr>
          <w:rFonts w:ascii="Times New Roman" w:hAnsi="Times New Roman" w:cs="Times New Roman"/>
        </w:rPr>
      </w:pPr>
      <w:r>
        <w:rPr>
          <w:rFonts w:ascii="Times New Roman" w:hAnsi="Times New Roman" w:cs="Times New Roman"/>
          <w:b/>
        </w:rPr>
        <w:t>Supplemental T</w:t>
      </w:r>
      <w:r w:rsidRPr="00B72815">
        <w:rPr>
          <w:rFonts w:ascii="Times New Roman" w:hAnsi="Times New Roman" w:cs="Times New Roman"/>
          <w:b/>
        </w:rPr>
        <w:t xml:space="preserve">able </w:t>
      </w:r>
      <w:r w:rsidR="00FB38BC">
        <w:rPr>
          <w:rFonts w:ascii="Times New Roman" w:hAnsi="Times New Roman" w:cs="Times New Roman"/>
          <w:b/>
        </w:rPr>
        <w:t>1</w:t>
      </w:r>
      <w:r w:rsidRPr="00B72815">
        <w:rPr>
          <w:rFonts w:ascii="Times New Roman" w:hAnsi="Times New Roman" w:cs="Times New Roman"/>
          <w:b/>
        </w:rPr>
        <w:t xml:space="preserve">. </w:t>
      </w:r>
      <w:r w:rsidRPr="00B72815">
        <w:rPr>
          <w:rFonts w:ascii="Times New Roman" w:hAnsi="Times New Roman" w:cs="Times New Roman"/>
        </w:rPr>
        <w:t xml:space="preserve">Justification of component choice, portion size, scoring and imposed limitations for </w:t>
      </w:r>
      <w:r w:rsidR="00BF6C28">
        <w:rPr>
          <w:rFonts w:ascii="Times New Roman" w:hAnsi="Times New Roman" w:cs="Times New Roman"/>
        </w:rPr>
        <w:t>FDQI</w:t>
      </w:r>
      <w:r w:rsidRPr="00B72815">
        <w:rPr>
          <w:rFonts w:ascii="Times New Roman" w:hAnsi="Times New Roman" w:cs="Times New Roman"/>
        </w:rPr>
        <w:t>-65+</w:t>
      </w:r>
      <w:r w:rsidR="00A51ABC">
        <w:rPr>
          <w:rFonts w:ascii="Times New Roman" w:hAnsi="Times New Roman" w:cs="Times New Roman"/>
        </w:rPr>
        <w:t>PA,</w:t>
      </w:r>
      <w:r w:rsidRPr="00B72815">
        <w:rPr>
          <w:rFonts w:ascii="Times New Roman" w:hAnsi="Times New Roman" w:cs="Times New Roman"/>
        </w:rPr>
        <w:t xml:space="preserve"> N</w:t>
      </w:r>
      <w:r w:rsidR="00BF6C28">
        <w:rPr>
          <w:rFonts w:ascii="Times New Roman" w:hAnsi="Times New Roman" w:cs="Times New Roman"/>
        </w:rPr>
        <w:t>FDQI</w:t>
      </w:r>
      <w:r w:rsidRPr="00B72815">
        <w:rPr>
          <w:rFonts w:ascii="Times New Roman" w:hAnsi="Times New Roman" w:cs="Times New Roman"/>
        </w:rPr>
        <w:t>-65+</w:t>
      </w:r>
      <w:r w:rsidR="00A51ABC">
        <w:rPr>
          <w:rFonts w:ascii="Times New Roman" w:hAnsi="Times New Roman" w:cs="Times New Roman"/>
        </w:rPr>
        <w:t>PA and N</w:t>
      </w:r>
      <w:r w:rsidR="00BF6C28">
        <w:rPr>
          <w:rFonts w:ascii="Times New Roman" w:hAnsi="Times New Roman" w:cs="Times New Roman"/>
        </w:rPr>
        <w:t>FDQI</w:t>
      </w:r>
      <w:r w:rsidR="00A51ABC">
        <w:rPr>
          <w:rFonts w:ascii="Times New Roman" w:hAnsi="Times New Roman" w:cs="Times New Roman"/>
        </w:rPr>
        <w:t>-65</w:t>
      </w:r>
      <w:r w:rsidRPr="00B72815">
        <w:rPr>
          <w:rFonts w:ascii="Times New Roman" w:hAnsi="Times New Roman" w:cs="Times New Roman"/>
          <w:i/>
          <w:vertAlign w:val="superscript"/>
        </w:rPr>
        <w:t>1</w:t>
      </w:r>
      <w:r w:rsidRPr="00B72815">
        <w:rPr>
          <w:rFonts w:ascii="Times New Roman" w:hAnsi="Times New Roman" w:cs="Times New Roman"/>
        </w:rPr>
        <w:t>.</w:t>
      </w:r>
    </w:p>
    <w:p w14:paraId="3BA19BE6" w14:textId="77777777" w:rsidR="00CE486B" w:rsidRPr="00B72815" w:rsidRDefault="00CE486B" w:rsidP="00CE486B">
      <w:pPr>
        <w:jc w:val="center"/>
        <w:rPr>
          <w:rFonts w:ascii="Times New Roman" w:hAnsi="Times New Roman" w:cs="Times New Roman"/>
          <w:b/>
          <w:sz w:val="2"/>
          <w:szCs w:val="2"/>
          <w:u w:val="single"/>
        </w:rPr>
      </w:pPr>
    </w:p>
    <w:tbl>
      <w:tblPr>
        <w:tblStyle w:val="TableGrid"/>
        <w:tblW w:w="14628" w:type="dxa"/>
        <w:tblInd w:w="108" w:type="dxa"/>
        <w:tblLook w:val="04A0" w:firstRow="1" w:lastRow="0" w:firstColumn="1" w:lastColumn="0" w:noHBand="0" w:noVBand="1"/>
      </w:tblPr>
      <w:tblGrid>
        <w:gridCol w:w="1984"/>
        <w:gridCol w:w="2216"/>
        <w:gridCol w:w="2744"/>
        <w:gridCol w:w="904"/>
        <w:gridCol w:w="5794"/>
        <w:gridCol w:w="980"/>
        <w:gridCol w:w="6"/>
      </w:tblGrid>
      <w:tr w:rsidR="00CE486B" w:rsidRPr="00170648" w14:paraId="2E4D848F" w14:textId="77777777" w:rsidTr="00CE486B">
        <w:trPr>
          <w:gridAfter w:val="1"/>
          <w:wAfter w:w="6" w:type="dxa"/>
          <w:trHeight w:val="355"/>
        </w:trPr>
        <w:tc>
          <w:tcPr>
            <w:tcW w:w="1984" w:type="dxa"/>
            <w:tcBorders>
              <w:top w:val="single" w:sz="4" w:space="0" w:color="auto"/>
              <w:left w:val="nil"/>
              <w:bottom w:val="single" w:sz="4" w:space="0" w:color="auto"/>
              <w:right w:val="nil"/>
            </w:tcBorders>
            <w:vAlign w:val="center"/>
          </w:tcPr>
          <w:p w14:paraId="41E6AC4F" w14:textId="77777777" w:rsidR="00CE486B" w:rsidRPr="00170648" w:rsidRDefault="00CE486B" w:rsidP="00BB5B01">
            <w:pPr>
              <w:rPr>
                <w:rFonts w:ascii="Times New Roman" w:hAnsi="Times New Roman" w:cs="Times New Roman"/>
                <w:b/>
                <w:sz w:val="20"/>
                <w:szCs w:val="20"/>
              </w:rPr>
            </w:pPr>
            <w:bookmarkStart w:id="0" w:name="_Hlk498778048"/>
            <w:r w:rsidRPr="00170648">
              <w:rPr>
                <w:rFonts w:ascii="Times New Roman" w:hAnsi="Times New Roman" w:cs="Times New Roman"/>
                <w:b/>
                <w:sz w:val="20"/>
                <w:szCs w:val="20"/>
              </w:rPr>
              <w:t>Component</w:t>
            </w:r>
          </w:p>
        </w:tc>
        <w:tc>
          <w:tcPr>
            <w:tcW w:w="2216" w:type="dxa"/>
            <w:tcBorders>
              <w:top w:val="single" w:sz="4" w:space="0" w:color="auto"/>
              <w:left w:val="nil"/>
              <w:bottom w:val="single" w:sz="4" w:space="0" w:color="auto"/>
              <w:right w:val="nil"/>
            </w:tcBorders>
            <w:vAlign w:val="center"/>
          </w:tcPr>
          <w:p w14:paraId="496D1FCD" w14:textId="77777777" w:rsidR="00CE486B" w:rsidRPr="00170648" w:rsidRDefault="00CE486B" w:rsidP="00BB5B01">
            <w:pPr>
              <w:jc w:val="center"/>
              <w:rPr>
                <w:rFonts w:ascii="Times New Roman" w:hAnsi="Times New Roman" w:cs="Times New Roman"/>
                <w:b/>
                <w:sz w:val="20"/>
                <w:szCs w:val="20"/>
              </w:rPr>
            </w:pPr>
            <w:r w:rsidRPr="00170648">
              <w:rPr>
                <w:rFonts w:ascii="Times New Roman" w:hAnsi="Times New Roman" w:cs="Times New Roman"/>
                <w:b/>
                <w:sz w:val="20"/>
                <w:szCs w:val="20"/>
              </w:rPr>
              <w:t>Recommendation</w:t>
            </w:r>
          </w:p>
        </w:tc>
        <w:tc>
          <w:tcPr>
            <w:tcW w:w="2744" w:type="dxa"/>
            <w:tcBorders>
              <w:top w:val="single" w:sz="4" w:space="0" w:color="auto"/>
              <w:left w:val="nil"/>
              <w:bottom w:val="single" w:sz="4" w:space="0" w:color="auto"/>
              <w:right w:val="nil"/>
            </w:tcBorders>
            <w:vAlign w:val="center"/>
          </w:tcPr>
          <w:p w14:paraId="7A69D1C9" w14:textId="77777777" w:rsidR="00CE486B" w:rsidRPr="00170648" w:rsidRDefault="00CE486B" w:rsidP="00BB5B01">
            <w:pPr>
              <w:jc w:val="center"/>
              <w:rPr>
                <w:rFonts w:ascii="Times New Roman" w:hAnsi="Times New Roman" w:cs="Times New Roman"/>
                <w:b/>
                <w:sz w:val="20"/>
                <w:szCs w:val="20"/>
              </w:rPr>
            </w:pPr>
            <w:r w:rsidRPr="00170648">
              <w:rPr>
                <w:rFonts w:ascii="Times New Roman" w:hAnsi="Times New Roman" w:cs="Times New Roman"/>
                <w:b/>
                <w:sz w:val="20"/>
                <w:szCs w:val="20"/>
              </w:rPr>
              <w:t>Foods and portion size</w:t>
            </w:r>
          </w:p>
        </w:tc>
        <w:tc>
          <w:tcPr>
            <w:tcW w:w="904" w:type="dxa"/>
            <w:tcBorders>
              <w:top w:val="single" w:sz="4" w:space="0" w:color="auto"/>
              <w:left w:val="nil"/>
              <w:bottom w:val="single" w:sz="4" w:space="0" w:color="auto"/>
              <w:right w:val="nil"/>
            </w:tcBorders>
            <w:vAlign w:val="center"/>
          </w:tcPr>
          <w:p w14:paraId="48A215D0" w14:textId="77777777" w:rsidR="00CE486B" w:rsidRPr="00170648" w:rsidRDefault="00CE486B" w:rsidP="00BB5B01">
            <w:pPr>
              <w:jc w:val="center"/>
              <w:rPr>
                <w:rFonts w:ascii="Times New Roman" w:hAnsi="Times New Roman" w:cs="Times New Roman"/>
                <w:b/>
                <w:sz w:val="20"/>
                <w:szCs w:val="20"/>
              </w:rPr>
            </w:pPr>
            <w:r w:rsidRPr="00170648">
              <w:rPr>
                <w:rFonts w:ascii="Times New Roman" w:hAnsi="Times New Roman" w:cs="Times New Roman"/>
                <w:b/>
                <w:sz w:val="20"/>
                <w:szCs w:val="20"/>
              </w:rPr>
              <w:t>Units</w:t>
            </w:r>
          </w:p>
        </w:tc>
        <w:tc>
          <w:tcPr>
            <w:tcW w:w="5794" w:type="dxa"/>
            <w:tcBorders>
              <w:top w:val="single" w:sz="4" w:space="0" w:color="auto"/>
              <w:left w:val="nil"/>
              <w:bottom w:val="single" w:sz="4" w:space="0" w:color="auto"/>
              <w:right w:val="nil"/>
            </w:tcBorders>
            <w:vAlign w:val="center"/>
          </w:tcPr>
          <w:p w14:paraId="0D2BA7E7" w14:textId="77777777" w:rsidR="00CE486B" w:rsidRPr="00170648" w:rsidRDefault="00CE486B" w:rsidP="00BB5B01">
            <w:pPr>
              <w:jc w:val="center"/>
              <w:rPr>
                <w:rFonts w:ascii="Times New Roman" w:hAnsi="Times New Roman" w:cs="Times New Roman"/>
                <w:b/>
                <w:sz w:val="20"/>
                <w:szCs w:val="20"/>
              </w:rPr>
            </w:pPr>
            <w:r w:rsidRPr="00170648">
              <w:rPr>
                <w:rFonts w:ascii="Times New Roman" w:hAnsi="Times New Roman" w:cs="Times New Roman"/>
                <w:b/>
                <w:sz w:val="20"/>
                <w:szCs w:val="20"/>
              </w:rPr>
              <w:t>Justification</w:t>
            </w:r>
          </w:p>
        </w:tc>
        <w:tc>
          <w:tcPr>
            <w:tcW w:w="980" w:type="dxa"/>
            <w:tcBorders>
              <w:top w:val="single" w:sz="4" w:space="0" w:color="auto"/>
              <w:left w:val="nil"/>
              <w:bottom w:val="single" w:sz="4" w:space="0" w:color="auto"/>
              <w:right w:val="nil"/>
            </w:tcBorders>
            <w:vAlign w:val="center"/>
          </w:tcPr>
          <w:p w14:paraId="5ED50C80" w14:textId="77777777" w:rsidR="00CE486B" w:rsidRPr="00170648" w:rsidRDefault="00CE486B" w:rsidP="00BB5B01">
            <w:pPr>
              <w:jc w:val="center"/>
              <w:rPr>
                <w:rFonts w:ascii="Times New Roman" w:hAnsi="Times New Roman" w:cs="Times New Roman"/>
                <w:b/>
                <w:sz w:val="20"/>
                <w:szCs w:val="20"/>
              </w:rPr>
            </w:pPr>
            <w:r w:rsidRPr="00170648">
              <w:rPr>
                <w:rFonts w:ascii="Times New Roman" w:hAnsi="Times New Roman" w:cs="Times New Roman"/>
                <w:b/>
                <w:sz w:val="20"/>
                <w:szCs w:val="20"/>
              </w:rPr>
              <w:t>Scoring</w:t>
            </w:r>
          </w:p>
        </w:tc>
      </w:tr>
      <w:tr w:rsidR="00CE486B" w:rsidRPr="00170648" w14:paraId="1DDB6D2C" w14:textId="77777777" w:rsidTr="00CE486B">
        <w:trPr>
          <w:trHeight w:val="404"/>
        </w:trPr>
        <w:tc>
          <w:tcPr>
            <w:tcW w:w="14628" w:type="dxa"/>
            <w:gridSpan w:val="7"/>
            <w:tcBorders>
              <w:top w:val="single" w:sz="4" w:space="0" w:color="auto"/>
              <w:left w:val="nil"/>
              <w:bottom w:val="single" w:sz="4" w:space="0" w:color="auto"/>
              <w:right w:val="nil"/>
            </w:tcBorders>
            <w:vAlign w:val="center"/>
          </w:tcPr>
          <w:p w14:paraId="6EE337AA" w14:textId="234C67D5" w:rsidR="00CE486B" w:rsidRPr="00170648" w:rsidRDefault="00CE486B" w:rsidP="00BB5B01">
            <w:pPr>
              <w:rPr>
                <w:rFonts w:ascii="Times New Roman" w:hAnsi="Times New Roman" w:cs="Times New Roman"/>
                <w:b/>
                <w:sz w:val="20"/>
                <w:szCs w:val="20"/>
              </w:rPr>
            </w:pPr>
            <w:r w:rsidRPr="00170648">
              <w:rPr>
                <w:rFonts w:ascii="Times New Roman" w:hAnsi="Times New Roman" w:cs="Times New Roman"/>
                <w:b/>
                <w:sz w:val="20"/>
                <w:szCs w:val="20"/>
              </w:rPr>
              <w:t xml:space="preserve">Components in </w:t>
            </w:r>
            <w:r w:rsidR="00BF6C28">
              <w:rPr>
                <w:rFonts w:ascii="Times New Roman" w:hAnsi="Times New Roman" w:cs="Times New Roman"/>
                <w:b/>
                <w:sz w:val="20"/>
                <w:szCs w:val="20"/>
              </w:rPr>
              <w:t>FDQI</w:t>
            </w:r>
            <w:r w:rsidRPr="00170648">
              <w:rPr>
                <w:rFonts w:ascii="Times New Roman" w:hAnsi="Times New Roman" w:cs="Times New Roman"/>
                <w:b/>
                <w:sz w:val="20"/>
                <w:szCs w:val="20"/>
              </w:rPr>
              <w:t>-65+</w:t>
            </w:r>
            <w:r w:rsidR="00A51ABC">
              <w:rPr>
                <w:rFonts w:ascii="Times New Roman" w:hAnsi="Times New Roman" w:cs="Times New Roman"/>
                <w:b/>
                <w:sz w:val="20"/>
                <w:szCs w:val="20"/>
              </w:rPr>
              <w:t>PA,</w:t>
            </w:r>
            <w:r w:rsidRPr="00170648">
              <w:rPr>
                <w:rFonts w:ascii="Times New Roman" w:hAnsi="Times New Roman" w:cs="Times New Roman"/>
                <w:b/>
                <w:sz w:val="20"/>
                <w:szCs w:val="20"/>
              </w:rPr>
              <w:t xml:space="preserve"> </w:t>
            </w:r>
            <w:r w:rsidR="00DB0C94">
              <w:rPr>
                <w:rFonts w:ascii="Times New Roman" w:hAnsi="Times New Roman" w:cs="Times New Roman"/>
                <w:b/>
                <w:sz w:val="20"/>
                <w:szCs w:val="20"/>
              </w:rPr>
              <w:t>N</w:t>
            </w:r>
            <w:r w:rsidR="00BF6C28">
              <w:rPr>
                <w:rFonts w:ascii="Times New Roman" w:hAnsi="Times New Roman" w:cs="Times New Roman"/>
                <w:b/>
                <w:sz w:val="20"/>
                <w:szCs w:val="20"/>
              </w:rPr>
              <w:t>FDQI</w:t>
            </w:r>
            <w:r w:rsidRPr="00170648">
              <w:rPr>
                <w:rFonts w:ascii="Times New Roman" w:hAnsi="Times New Roman" w:cs="Times New Roman"/>
                <w:b/>
                <w:sz w:val="20"/>
                <w:szCs w:val="20"/>
              </w:rPr>
              <w:t>-65+</w:t>
            </w:r>
            <w:r w:rsidR="00A51ABC">
              <w:rPr>
                <w:rFonts w:ascii="Times New Roman" w:hAnsi="Times New Roman" w:cs="Times New Roman"/>
                <w:b/>
                <w:sz w:val="20"/>
                <w:szCs w:val="20"/>
              </w:rPr>
              <w:t>PA and N</w:t>
            </w:r>
            <w:r w:rsidR="00BF6C28">
              <w:rPr>
                <w:rFonts w:ascii="Times New Roman" w:hAnsi="Times New Roman" w:cs="Times New Roman"/>
                <w:b/>
                <w:sz w:val="20"/>
                <w:szCs w:val="20"/>
              </w:rPr>
              <w:t>FDQI</w:t>
            </w:r>
            <w:r w:rsidR="00A51ABC">
              <w:rPr>
                <w:rFonts w:ascii="Times New Roman" w:hAnsi="Times New Roman" w:cs="Times New Roman"/>
                <w:b/>
                <w:sz w:val="20"/>
                <w:szCs w:val="20"/>
              </w:rPr>
              <w:t>-65</w:t>
            </w:r>
          </w:p>
        </w:tc>
      </w:tr>
      <w:tr w:rsidR="00CE486B" w:rsidRPr="00170648" w14:paraId="747DAB97" w14:textId="77777777" w:rsidTr="0077678F">
        <w:trPr>
          <w:gridAfter w:val="1"/>
          <w:wAfter w:w="6" w:type="dxa"/>
          <w:trHeight w:val="2027"/>
        </w:trPr>
        <w:tc>
          <w:tcPr>
            <w:tcW w:w="1984" w:type="dxa"/>
            <w:tcBorders>
              <w:top w:val="single" w:sz="4" w:space="0" w:color="auto"/>
              <w:left w:val="nil"/>
              <w:bottom w:val="single" w:sz="4" w:space="0" w:color="auto"/>
              <w:right w:val="nil"/>
            </w:tcBorders>
            <w:vAlign w:val="center"/>
          </w:tcPr>
          <w:p w14:paraId="05F7E091" w14:textId="77777777" w:rsidR="00CE486B" w:rsidRPr="00170648" w:rsidRDefault="00CE486B" w:rsidP="00BB5B01">
            <w:pPr>
              <w:spacing w:line="276" w:lineRule="auto"/>
              <w:rPr>
                <w:rFonts w:ascii="Times New Roman" w:hAnsi="Times New Roman" w:cs="Times New Roman"/>
                <w:sz w:val="20"/>
                <w:szCs w:val="20"/>
                <w:lang w:eastAsia="en-GB"/>
              </w:rPr>
            </w:pPr>
            <w:r w:rsidRPr="00170648">
              <w:rPr>
                <w:rFonts w:ascii="Times New Roman" w:hAnsi="Times New Roman" w:cs="Times New Roman"/>
                <w:sz w:val="20"/>
                <w:szCs w:val="20"/>
                <w:lang w:eastAsia="en-GB"/>
              </w:rPr>
              <w:t>Vegetables</w:t>
            </w:r>
          </w:p>
        </w:tc>
        <w:tc>
          <w:tcPr>
            <w:tcW w:w="2216" w:type="dxa"/>
            <w:tcBorders>
              <w:top w:val="single" w:sz="4" w:space="0" w:color="auto"/>
              <w:left w:val="nil"/>
              <w:bottom w:val="single" w:sz="4" w:space="0" w:color="auto"/>
              <w:right w:val="nil"/>
            </w:tcBorders>
            <w:vAlign w:val="center"/>
          </w:tcPr>
          <w:p w14:paraId="116EDB44"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≥3 portions/day</w:t>
            </w:r>
          </w:p>
        </w:tc>
        <w:tc>
          <w:tcPr>
            <w:tcW w:w="2744" w:type="dxa"/>
            <w:tcBorders>
              <w:top w:val="single" w:sz="4" w:space="0" w:color="auto"/>
              <w:left w:val="nil"/>
              <w:bottom w:val="single" w:sz="4" w:space="0" w:color="auto"/>
              <w:right w:val="nil"/>
            </w:tcBorders>
            <w:vAlign w:val="center"/>
          </w:tcPr>
          <w:p w14:paraId="64DE8935"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To include all vegetables, up to 1 portion of legumes and up to 1 portion of tomato puree</w:t>
            </w:r>
          </w:p>
          <w:p w14:paraId="4842975C" w14:textId="77777777" w:rsidR="00CE486B" w:rsidRPr="00170648" w:rsidRDefault="00CE486B" w:rsidP="00D95F01">
            <w:pPr>
              <w:rPr>
                <w:rFonts w:ascii="Times New Roman" w:hAnsi="Times New Roman" w:cs="Times New Roman"/>
                <w:sz w:val="20"/>
                <w:szCs w:val="20"/>
              </w:rPr>
            </w:pPr>
          </w:p>
          <w:p w14:paraId="3DB58DD9" w14:textId="46345250"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80</w:t>
            </w:r>
            <w:r>
              <w:rPr>
                <w:rFonts w:ascii="Times New Roman" w:hAnsi="Times New Roman" w:cs="Times New Roman"/>
                <w:sz w:val="20"/>
                <w:szCs w:val="20"/>
              </w:rPr>
              <w:t xml:space="preserve"> </w:t>
            </w:r>
            <w:r w:rsidRPr="00170648">
              <w:rPr>
                <w:rFonts w:ascii="Times New Roman" w:hAnsi="Times New Roman" w:cs="Times New Roman"/>
                <w:sz w:val="20"/>
                <w:szCs w:val="20"/>
              </w:rPr>
              <w:t>g vegetables or legumes, 15</w:t>
            </w:r>
            <w:r>
              <w:rPr>
                <w:rFonts w:ascii="Times New Roman" w:hAnsi="Times New Roman" w:cs="Times New Roman"/>
                <w:sz w:val="20"/>
                <w:szCs w:val="20"/>
              </w:rPr>
              <w:t xml:space="preserve"> </w:t>
            </w:r>
            <w:r w:rsidRPr="00170648">
              <w:rPr>
                <w:rFonts w:ascii="Times New Roman" w:hAnsi="Times New Roman" w:cs="Times New Roman"/>
                <w:sz w:val="20"/>
                <w:szCs w:val="20"/>
              </w:rPr>
              <w:t>g tomato puree</w:t>
            </w:r>
          </w:p>
        </w:tc>
        <w:tc>
          <w:tcPr>
            <w:tcW w:w="904" w:type="dxa"/>
            <w:vMerge w:val="restart"/>
            <w:tcBorders>
              <w:top w:val="single" w:sz="4" w:space="0" w:color="auto"/>
              <w:left w:val="nil"/>
              <w:bottom w:val="single" w:sz="4" w:space="0" w:color="auto"/>
              <w:right w:val="nil"/>
            </w:tcBorders>
            <w:vAlign w:val="center"/>
          </w:tcPr>
          <w:p w14:paraId="790F871C"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g</w:t>
            </w:r>
          </w:p>
        </w:tc>
        <w:tc>
          <w:tcPr>
            <w:tcW w:w="5794" w:type="dxa"/>
            <w:vMerge w:val="restart"/>
            <w:tcBorders>
              <w:top w:val="single" w:sz="4" w:space="0" w:color="auto"/>
              <w:left w:val="nil"/>
              <w:bottom w:val="single" w:sz="4" w:space="0" w:color="auto"/>
              <w:right w:val="nil"/>
            </w:tcBorders>
            <w:vAlign w:val="center"/>
          </w:tcPr>
          <w:p w14:paraId="63BF2FBC" w14:textId="5BB50D6B"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Recommendation of 5 portions of fruit and vegetables per day </w:t>
            </w:r>
            <w:r w:rsidR="002C555F">
              <w:rPr>
                <w:rFonts w:ascii="Times New Roman" w:hAnsi="Times New Roman" w:cs="Times New Roman"/>
                <w:sz w:val="20"/>
                <w:szCs w:val="20"/>
              </w:rPr>
              <w:t xml:space="preserve">was set </w:t>
            </w:r>
            <w:r w:rsidRPr="00170648">
              <w:rPr>
                <w:rFonts w:ascii="Times New Roman" w:hAnsi="Times New Roman" w:cs="Times New Roman"/>
                <w:sz w:val="20"/>
                <w:szCs w:val="20"/>
              </w:rPr>
              <w:t xml:space="preserve">for consistency with UK </w:t>
            </w:r>
            <w:r w:rsidR="002451FA">
              <w:rPr>
                <w:rFonts w:ascii="Times New Roman" w:hAnsi="Times New Roman" w:cs="Times New Roman"/>
                <w:i/>
                <w:iCs/>
                <w:sz w:val="20"/>
                <w:szCs w:val="20"/>
              </w:rPr>
              <w:t xml:space="preserve">Eatwell guide </w:t>
            </w:r>
            <w:proofErr w:type="gramStart"/>
            <w:r w:rsidRPr="00170648">
              <w:rPr>
                <w:rFonts w:ascii="Times New Roman" w:hAnsi="Times New Roman" w:cs="Times New Roman"/>
                <w:sz w:val="20"/>
                <w:szCs w:val="20"/>
              </w:rPr>
              <w:t>recommendations</w:t>
            </w:r>
            <w:r w:rsidR="002451FA" w:rsidRPr="00B5479C">
              <w:rPr>
                <w:rFonts w:ascii="Times New Roman" w:hAnsi="Times New Roman" w:cs="Times New Roman"/>
                <w:sz w:val="20"/>
                <w:szCs w:val="20"/>
                <w:vertAlign w:val="superscript"/>
              </w:rPr>
              <w:t>(</w:t>
            </w:r>
            <w:proofErr w:type="gramEnd"/>
            <w:r w:rsidR="003D388C">
              <w:rPr>
                <w:rFonts w:ascii="Times New Roman" w:hAnsi="Times New Roman" w:cs="Times New Roman"/>
                <w:sz w:val="20"/>
                <w:szCs w:val="20"/>
                <w:vertAlign w:val="superscript"/>
              </w:rPr>
              <w:t>5</w:t>
            </w:r>
            <w:r w:rsidR="002451FA" w:rsidRPr="00B5479C">
              <w:rPr>
                <w:rFonts w:ascii="Times New Roman" w:hAnsi="Times New Roman" w:cs="Times New Roman"/>
                <w:sz w:val="20"/>
                <w:szCs w:val="20"/>
                <w:vertAlign w:val="superscript"/>
              </w:rPr>
              <w:t>)</w:t>
            </w:r>
            <w:r w:rsidR="002451FA">
              <w:rPr>
                <w:rFonts w:ascii="Times New Roman" w:hAnsi="Times New Roman" w:cs="Times New Roman"/>
                <w:sz w:val="20"/>
                <w:szCs w:val="20"/>
              </w:rPr>
              <w:t xml:space="preserve"> and considered achievable on a population level</w:t>
            </w:r>
            <w:r w:rsidRPr="00170648">
              <w:rPr>
                <w:rFonts w:ascii="Times New Roman" w:hAnsi="Times New Roman" w:cs="Times New Roman"/>
                <w:sz w:val="20"/>
                <w:szCs w:val="20"/>
              </w:rPr>
              <w:t xml:space="preserve">, although exceeding this amount may be beneficial. </w:t>
            </w:r>
          </w:p>
          <w:p w14:paraId="38973529" w14:textId="77777777" w:rsidR="00CE486B" w:rsidRPr="00170648" w:rsidRDefault="00CE486B" w:rsidP="00D95F01">
            <w:pPr>
              <w:rPr>
                <w:rFonts w:ascii="Times New Roman" w:hAnsi="Times New Roman" w:cs="Times New Roman"/>
                <w:sz w:val="20"/>
                <w:szCs w:val="20"/>
              </w:rPr>
            </w:pPr>
          </w:p>
          <w:p w14:paraId="1BDF3505" w14:textId="3D79435C"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Number of portions of vegetables and fruit specified. Promotes variety and favours vegetable consumption as fruit is high in fructose. Variety in types of fruits and vegetables </w:t>
            </w:r>
            <w:r w:rsidR="0058707C">
              <w:rPr>
                <w:rFonts w:ascii="Times New Roman" w:hAnsi="Times New Roman" w:cs="Times New Roman"/>
                <w:sz w:val="20"/>
                <w:szCs w:val="20"/>
              </w:rPr>
              <w:t xml:space="preserve">consumed is </w:t>
            </w:r>
            <w:r w:rsidRPr="00170648">
              <w:rPr>
                <w:rFonts w:ascii="Times New Roman" w:hAnsi="Times New Roman" w:cs="Times New Roman"/>
                <w:sz w:val="20"/>
                <w:szCs w:val="20"/>
              </w:rPr>
              <w:t xml:space="preserve">not assessed due to limitations of NDNS data, although could be adapted in future application.  </w:t>
            </w:r>
          </w:p>
          <w:p w14:paraId="5D01D376" w14:textId="77777777" w:rsidR="00CE486B" w:rsidRPr="00170648" w:rsidRDefault="00CE486B" w:rsidP="00D95F01">
            <w:pPr>
              <w:rPr>
                <w:rFonts w:ascii="Times New Roman" w:hAnsi="Times New Roman" w:cs="Times New Roman"/>
                <w:sz w:val="20"/>
                <w:szCs w:val="20"/>
              </w:rPr>
            </w:pPr>
          </w:p>
          <w:p w14:paraId="2A1A3D1F" w14:textId="06C1D96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Dried fruit limited as energy dense and high in sugar. Fruit juice limited as low in fibre and source of free </w:t>
            </w:r>
            <w:proofErr w:type="gramStart"/>
            <w:r w:rsidRPr="00170648">
              <w:rPr>
                <w:rFonts w:ascii="Times New Roman" w:hAnsi="Times New Roman" w:cs="Times New Roman"/>
                <w:sz w:val="20"/>
                <w:szCs w:val="20"/>
              </w:rPr>
              <w:t>sugars</w:t>
            </w:r>
            <w:r w:rsidRPr="00B5479C">
              <w:rPr>
                <w:rFonts w:ascii="Times New Roman" w:hAnsi="Times New Roman" w:cs="Times New Roman"/>
                <w:noProof/>
                <w:sz w:val="20"/>
                <w:szCs w:val="20"/>
                <w:vertAlign w:val="superscript"/>
              </w:rPr>
              <w:t>(</w:t>
            </w:r>
            <w:proofErr w:type="gramEnd"/>
            <w:r w:rsidR="006C6C77">
              <w:rPr>
                <w:rFonts w:ascii="Times New Roman" w:hAnsi="Times New Roman" w:cs="Times New Roman"/>
                <w:noProof/>
                <w:sz w:val="20"/>
                <w:szCs w:val="20"/>
                <w:vertAlign w:val="superscript"/>
              </w:rPr>
              <w:t>6</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Legumes limited to 1 portion as they contribute fewer micronutrients compared to vegetables. Tomato puree limited to 1 portion </w:t>
            </w:r>
            <w:r>
              <w:rPr>
                <w:rFonts w:ascii="Times New Roman" w:hAnsi="Times New Roman" w:cs="Times New Roman"/>
                <w:sz w:val="20"/>
                <w:szCs w:val="20"/>
              </w:rPr>
              <w:t>to promote variety</w:t>
            </w:r>
            <w:r w:rsidRPr="00170648">
              <w:rPr>
                <w:rFonts w:ascii="Times New Roman" w:hAnsi="Times New Roman" w:cs="Times New Roman"/>
                <w:sz w:val="20"/>
                <w:szCs w:val="20"/>
              </w:rPr>
              <w:t xml:space="preserve">, and portion size reduced by one fifth due to </w:t>
            </w:r>
            <w:proofErr w:type="gramStart"/>
            <w:r w:rsidRPr="00170648">
              <w:rPr>
                <w:rFonts w:ascii="Times New Roman" w:hAnsi="Times New Roman" w:cs="Times New Roman"/>
                <w:sz w:val="20"/>
                <w:szCs w:val="20"/>
              </w:rPr>
              <w:t>concentration</w:t>
            </w:r>
            <w:r w:rsidRPr="00B5479C">
              <w:rPr>
                <w:rFonts w:ascii="Times New Roman" w:hAnsi="Times New Roman" w:cs="Times New Roman"/>
                <w:noProof/>
                <w:sz w:val="20"/>
                <w:szCs w:val="20"/>
                <w:vertAlign w:val="superscript"/>
              </w:rPr>
              <w:t>(</w:t>
            </w:r>
            <w:proofErr w:type="gramEnd"/>
            <w:r w:rsidR="006C6C77">
              <w:rPr>
                <w:rFonts w:ascii="Times New Roman" w:hAnsi="Times New Roman" w:cs="Times New Roman"/>
                <w:noProof/>
                <w:sz w:val="20"/>
                <w:szCs w:val="20"/>
                <w:vertAlign w:val="superscript"/>
              </w:rPr>
              <w:t>7</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w:t>
            </w:r>
          </w:p>
          <w:p w14:paraId="4BA78D47" w14:textId="77777777" w:rsidR="00CE486B" w:rsidRPr="00170648" w:rsidRDefault="00CE486B" w:rsidP="00D95F01">
            <w:pPr>
              <w:rPr>
                <w:rFonts w:ascii="Times New Roman" w:hAnsi="Times New Roman" w:cs="Times New Roman"/>
                <w:sz w:val="20"/>
                <w:szCs w:val="20"/>
              </w:rPr>
            </w:pPr>
          </w:p>
          <w:p w14:paraId="75E3AD6A" w14:textId="73D6299F"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Standard portion sizes used as per </w:t>
            </w:r>
            <w:r w:rsidRPr="00CE486B">
              <w:rPr>
                <w:rFonts w:ascii="Times New Roman" w:hAnsi="Times New Roman" w:cs="Times New Roman"/>
                <w:sz w:val="20"/>
                <w:szCs w:val="20"/>
              </w:rPr>
              <w:t>the UK</w:t>
            </w:r>
            <w:r w:rsidRPr="00170648">
              <w:rPr>
                <w:rFonts w:ascii="Times New Roman" w:hAnsi="Times New Roman" w:cs="Times New Roman"/>
                <w:i/>
                <w:sz w:val="20"/>
                <w:szCs w:val="20"/>
              </w:rPr>
              <w:t xml:space="preserve"> </w:t>
            </w:r>
            <w:r w:rsidR="00546542" w:rsidRPr="00170648">
              <w:rPr>
                <w:rFonts w:ascii="Times New Roman" w:hAnsi="Times New Roman" w:cs="Times New Roman"/>
                <w:i/>
                <w:sz w:val="20"/>
                <w:szCs w:val="20"/>
              </w:rPr>
              <w:t>Eatwell</w:t>
            </w:r>
            <w:r w:rsidRPr="00170648">
              <w:rPr>
                <w:rFonts w:ascii="Times New Roman" w:hAnsi="Times New Roman" w:cs="Times New Roman"/>
                <w:i/>
                <w:sz w:val="20"/>
                <w:szCs w:val="20"/>
              </w:rPr>
              <w:t xml:space="preserve"> </w:t>
            </w:r>
            <w:proofErr w:type="gramStart"/>
            <w:r w:rsidRPr="00170648">
              <w:rPr>
                <w:rFonts w:ascii="Times New Roman" w:hAnsi="Times New Roman" w:cs="Times New Roman"/>
                <w:i/>
                <w:sz w:val="20"/>
                <w:szCs w:val="20"/>
              </w:rPr>
              <w:t>Guide</w:t>
            </w:r>
            <w:r w:rsidRPr="00B5479C">
              <w:rPr>
                <w:rFonts w:ascii="Times New Roman" w:hAnsi="Times New Roman" w:cs="Times New Roman"/>
                <w:noProof/>
                <w:sz w:val="20"/>
                <w:szCs w:val="20"/>
                <w:vertAlign w:val="superscript"/>
              </w:rPr>
              <w:t>(</w:t>
            </w:r>
            <w:proofErr w:type="gramEnd"/>
            <w:r w:rsidR="006C6C77">
              <w:rPr>
                <w:rFonts w:ascii="Times New Roman" w:hAnsi="Times New Roman" w:cs="Times New Roman"/>
                <w:noProof/>
                <w:sz w:val="20"/>
                <w:szCs w:val="20"/>
                <w:vertAlign w:val="superscript"/>
              </w:rPr>
              <w:t>5</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w:t>
            </w:r>
          </w:p>
        </w:tc>
        <w:tc>
          <w:tcPr>
            <w:tcW w:w="980" w:type="dxa"/>
            <w:tcBorders>
              <w:top w:val="single" w:sz="4" w:space="0" w:color="auto"/>
              <w:left w:val="nil"/>
              <w:bottom w:val="single" w:sz="4" w:space="0" w:color="auto"/>
              <w:right w:val="nil"/>
            </w:tcBorders>
            <w:vAlign w:val="center"/>
          </w:tcPr>
          <w:p w14:paraId="3A80A66E"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58B27323" w14:textId="77777777" w:rsidTr="00CE486B">
        <w:trPr>
          <w:gridAfter w:val="1"/>
          <w:wAfter w:w="6" w:type="dxa"/>
          <w:trHeight w:val="2126"/>
        </w:trPr>
        <w:tc>
          <w:tcPr>
            <w:tcW w:w="1984" w:type="dxa"/>
            <w:tcBorders>
              <w:top w:val="single" w:sz="4" w:space="0" w:color="auto"/>
              <w:left w:val="nil"/>
              <w:bottom w:val="single" w:sz="4" w:space="0" w:color="auto"/>
              <w:right w:val="nil"/>
            </w:tcBorders>
            <w:vAlign w:val="center"/>
          </w:tcPr>
          <w:p w14:paraId="142CB3B3" w14:textId="77777777" w:rsidR="00CE486B" w:rsidRPr="00170648" w:rsidRDefault="00CE486B" w:rsidP="00BB5B01">
            <w:pPr>
              <w:spacing w:line="276" w:lineRule="auto"/>
              <w:rPr>
                <w:rFonts w:ascii="Times New Roman" w:hAnsi="Times New Roman" w:cs="Times New Roman"/>
                <w:sz w:val="20"/>
                <w:szCs w:val="20"/>
                <w:lang w:eastAsia="en-GB"/>
              </w:rPr>
            </w:pPr>
            <w:r w:rsidRPr="00170648">
              <w:rPr>
                <w:rFonts w:ascii="Times New Roman" w:hAnsi="Times New Roman" w:cs="Times New Roman"/>
                <w:sz w:val="20"/>
                <w:szCs w:val="20"/>
                <w:lang w:eastAsia="en-GB"/>
              </w:rPr>
              <w:t>Fruit</w:t>
            </w:r>
          </w:p>
        </w:tc>
        <w:tc>
          <w:tcPr>
            <w:tcW w:w="2216" w:type="dxa"/>
            <w:tcBorders>
              <w:top w:val="single" w:sz="4" w:space="0" w:color="auto"/>
              <w:left w:val="nil"/>
              <w:bottom w:val="single" w:sz="4" w:space="0" w:color="auto"/>
              <w:right w:val="nil"/>
            </w:tcBorders>
            <w:vAlign w:val="center"/>
          </w:tcPr>
          <w:p w14:paraId="11F6869D"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≥2 portions/day</w:t>
            </w:r>
          </w:p>
        </w:tc>
        <w:tc>
          <w:tcPr>
            <w:tcW w:w="2744" w:type="dxa"/>
            <w:tcBorders>
              <w:top w:val="single" w:sz="4" w:space="0" w:color="auto"/>
              <w:left w:val="nil"/>
              <w:bottom w:val="single" w:sz="4" w:space="0" w:color="auto"/>
              <w:right w:val="nil"/>
            </w:tcBorders>
            <w:vAlign w:val="center"/>
          </w:tcPr>
          <w:p w14:paraId="3996EB6F"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To include fresh fruit and up to 1 portion of dried fruit or fruit juice per day</w:t>
            </w:r>
          </w:p>
          <w:p w14:paraId="6DD2D637" w14:textId="77777777" w:rsidR="00CE486B" w:rsidRPr="00170648" w:rsidRDefault="00CE486B" w:rsidP="00D95F01">
            <w:pPr>
              <w:rPr>
                <w:rFonts w:ascii="Times New Roman" w:hAnsi="Times New Roman" w:cs="Times New Roman"/>
                <w:sz w:val="20"/>
                <w:szCs w:val="20"/>
              </w:rPr>
            </w:pPr>
          </w:p>
          <w:p w14:paraId="4C70F477" w14:textId="2C6116A8"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80</w:t>
            </w:r>
            <w:r>
              <w:rPr>
                <w:rFonts w:ascii="Times New Roman" w:hAnsi="Times New Roman" w:cs="Times New Roman"/>
                <w:sz w:val="20"/>
                <w:szCs w:val="20"/>
              </w:rPr>
              <w:t xml:space="preserve"> </w:t>
            </w:r>
            <w:r w:rsidRPr="00170648">
              <w:rPr>
                <w:rFonts w:ascii="Times New Roman" w:hAnsi="Times New Roman" w:cs="Times New Roman"/>
                <w:sz w:val="20"/>
                <w:szCs w:val="20"/>
              </w:rPr>
              <w:t>g fruit, 150</w:t>
            </w:r>
            <w:r>
              <w:rPr>
                <w:rFonts w:ascii="Times New Roman" w:hAnsi="Times New Roman" w:cs="Times New Roman"/>
                <w:sz w:val="20"/>
                <w:szCs w:val="20"/>
              </w:rPr>
              <w:t xml:space="preserve"> </w:t>
            </w:r>
            <w:r w:rsidRPr="00170648">
              <w:rPr>
                <w:rFonts w:ascii="Times New Roman" w:hAnsi="Times New Roman" w:cs="Times New Roman"/>
                <w:sz w:val="20"/>
                <w:szCs w:val="20"/>
              </w:rPr>
              <w:t>m</w:t>
            </w:r>
            <w:r>
              <w:rPr>
                <w:rFonts w:ascii="Times New Roman" w:hAnsi="Times New Roman" w:cs="Times New Roman"/>
                <w:sz w:val="20"/>
                <w:szCs w:val="20"/>
              </w:rPr>
              <w:t>L</w:t>
            </w:r>
            <w:r w:rsidRPr="00170648">
              <w:rPr>
                <w:rFonts w:ascii="Times New Roman" w:hAnsi="Times New Roman" w:cs="Times New Roman"/>
                <w:sz w:val="20"/>
                <w:szCs w:val="20"/>
              </w:rPr>
              <w:t xml:space="preserve"> fruit juice, 30</w:t>
            </w:r>
            <w:r>
              <w:rPr>
                <w:rFonts w:ascii="Times New Roman" w:hAnsi="Times New Roman" w:cs="Times New Roman"/>
                <w:sz w:val="20"/>
                <w:szCs w:val="20"/>
              </w:rPr>
              <w:t xml:space="preserve"> </w:t>
            </w:r>
            <w:r w:rsidRPr="00170648">
              <w:rPr>
                <w:rFonts w:ascii="Times New Roman" w:hAnsi="Times New Roman" w:cs="Times New Roman"/>
                <w:sz w:val="20"/>
                <w:szCs w:val="20"/>
              </w:rPr>
              <w:t>g dried fruit</w:t>
            </w:r>
          </w:p>
        </w:tc>
        <w:tc>
          <w:tcPr>
            <w:tcW w:w="904" w:type="dxa"/>
            <w:vMerge/>
            <w:tcBorders>
              <w:top w:val="single" w:sz="4" w:space="0" w:color="auto"/>
              <w:left w:val="nil"/>
              <w:bottom w:val="single" w:sz="4" w:space="0" w:color="auto"/>
              <w:right w:val="nil"/>
            </w:tcBorders>
            <w:vAlign w:val="center"/>
          </w:tcPr>
          <w:p w14:paraId="245F5612" w14:textId="77777777" w:rsidR="00CE486B" w:rsidRPr="00170648" w:rsidRDefault="00CE486B" w:rsidP="00BB5B01">
            <w:pPr>
              <w:jc w:val="center"/>
              <w:rPr>
                <w:rFonts w:ascii="Times New Roman" w:hAnsi="Times New Roman" w:cs="Times New Roman"/>
                <w:sz w:val="20"/>
                <w:szCs w:val="20"/>
              </w:rPr>
            </w:pPr>
          </w:p>
        </w:tc>
        <w:tc>
          <w:tcPr>
            <w:tcW w:w="5794" w:type="dxa"/>
            <w:vMerge/>
            <w:tcBorders>
              <w:top w:val="single" w:sz="4" w:space="0" w:color="auto"/>
              <w:left w:val="nil"/>
              <w:bottom w:val="single" w:sz="4" w:space="0" w:color="auto"/>
              <w:right w:val="nil"/>
            </w:tcBorders>
            <w:vAlign w:val="center"/>
          </w:tcPr>
          <w:p w14:paraId="7875A609" w14:textId="77777777" w:rsidR="00CE486B" w:rsidRPr="00170648" w:rsidRDefault="00CE486B" w:rsidP="00D95F01">
            <w:pPr>
              <w:rPr>
                <w:rFonts w:ascii="Times New Roman" w:hAnsi="Times New Roman" w:cs="Times New Roman"/>
                <w:sz w:val="20"/>
                <w:szCs w:val="20"/>
              </w:rPr>
            </w:pPr>
          </w:p>
        </w:tc>
        <w:tc>
          <w:tcPr>
            <w:tcW w:w="980" w:type="dxa"/>
            <w:tcBorders>
              <w:top w:val="single" w:sz="4" w:space="0" w:color="auto"/>
              <w:left w:val="nil"/>
              <w:bottom w:val="single" w:sz="4" w:space="0" w:color="auto"/>
              <w:right w:val="nil"/>
            </w:tcBorders>
            <w:vAlign w:val="center"/>
          </w:tcPr>
          <w:p w14:paraId="546F9BA2"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30C3B245" w14:textId="77777777" w:rsidTr="00CE486B">
        <w:trPr>
          <w:gridAfter w:val="1"/>
          <w:wAfter w:w="6" w:type="dxa"/>
          <w:trHeight w:val="7210"/>
        </w:trPr>
        <w:tc>
          <w:tcPr>
            <w:tcW w:w="1984" w:type="dxa"/>
            <w:tcBorders>
              <w:top w:val="single" w:sz="4" w:space="0" w:color="auto"/>
              <w:left w:val="nil"/>
              <w:bottom w:val="single" w:sz="4" w:space="0" w:color="auto"/>
              <w:right w:val="nil"/>
            </w:tcBorders>
            <w:vAlign w:val="center"/>
          </w:tcPr>
          <w:p w14:paraId="50F7E506" w14:textId="387C7459" w:rsidR="00CE486B" w:rsidRPr="00170648" w:rsidRDefault="00A51ABC" w:rsidP="00BB5B01">
            <w:pPr>
              <w:spacing w:line="276" w:lineRule="auto"/>
              <w:rPr>
                <w:rFonts w:ascii="Times New Roman" w:hAnsi="Times New Roman" w:cs="Times New Roman"/>
                <w:sz w:val="20"/>
                <w:szCs w:val="20"/>
                <w:lang w:eastAsia="en-GB"/>
              </w:rPr>
            </w:pPr>
            <w:r>
              <w:rPr>
                <w:rFonts w:ascii="Times New Roman" w:hAnsi="Times New Roman" w:cs="Times New Roman"/>
                <w:sz w:val="20"/>
                <w:szCs w:val="20"/>
                <w:lang w:eastAsia="en-GB"/>
              </w:rPr>
              <w:lastRenderedPageBreak/>
              <w:t>Protein</w:t>
            </w:r>
          </w:p>
        </w:tc>
        <w:tc>
          <w:tcPr>
            <w:tcW w:w="2216" w:type="dxa"/>
            <w:tcBorders>
              <w:top w:val="single" w:sz="4" w:space="0" w:color="auto"/>
              <w:left w:val="nil"/>
              <w:bottom w:val="single" w:sz="4" w:space="0" w:color="auto"/>
              <w:right w:val="nil"/>
            </w:tcBorders>
            <w:vAlign w:val="center"/>
          </w:tcPr>
          <w:p w14:paraId="5119F2D1"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≥3 portions/day</w:t>
            </w:r>
          </w:p>
        </w:tc>
        <w:tc>
          <w:tcPr>
            <w:tcW w:w="2744" w:type="dxa"/>
            <w:tcBorders>
              <w:top w:val="single" w:sz="4" w:space="0" w:color="auto"/>
              <w:left w:val="nil"/>
              <w:bottom w:val="single" w:sz="4" w:space="0" w:color="auto"/>
              <w:right w:val="nil"/>
            </w:tcBorders>
            <w:vAlign w:val="center"/>
          </w:tcPr>
          <w:p w14:paraId="6B851B62"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To include all lean meat and poultry, fish and seafood, eggs, milk, cheese and yoghurt, legumes and nuts, and meat alternatives</w:t>
            </w:r>
          </w:p>
          <w:p w14:paraId="6C78682C" w14:textId="77777777" w:rsidR="00CE486B" w:rsidRPr="00170648" w:rsidRDefault="00CE486B" w:rsidP="00D95F01">
            <w:pPr>
              <w:rPr>
                <w:rFonts w:ascii="Times New Roman" w:hAnsi="Times New Roman" w:cs="Times New Roman"/>
                <w:sz w:val="20"/>
                <w:szCs w:val="20"/>
              </w:rPr>
            </w:pPr>
          </w:p>
          <w:p w14:paraId="62415DA3"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Only up to 1 portion of legumes or nuts, 1 portion of dairy per day and 1 portion of red meat per day</w:t>
            </w:r>
          </w:p>
          <w:p w14:paraId="00B22796" w14:textId="77777777" w:rsidR="00CE486B" w:rsidRPr="00170648" w:rsidRDefault="00CE486B" w:rsidP="00D95F01">
            <w:pPr>
              <w:rPr>
                <w:rFonts w:ascii="Times New Roman" w:hAnsi="Times New Roman" w:cs="Times New Roman"/>
                <w:sz w:val="20"/>
                <w:szCs w:val="20"/>
              </w:rPr>
            </w:pPr>
          </w:p>
          <w:p w14:paraId="4DA55226" w14:textId="09CBD056"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70</w:t>
            </w:r>
            <w:r>
              <w:rPr>
                <w:rFonts w:ascii="Times New Roman" w:hAnsi="Times New Roman" w:cs="Times New Roman"/>
                <w:sz w:val="20"/>
                <w:szCs w:val="20"/>
              </w:rPr>
              <w:t xml:space="preserve"> </w:t>
            </w:r>
            <w:r w:rsidRPr="00170648">
              <w:rPr>
                <w:rFonts w:ascii="Times New Roman" w:hAnsi="Times New Roman" w:cs="Times New Roman"/>
                <w:sz w:val="20"/>
                <w:szCs w:val="20"/>
              </w:rPr>
              <w:t>g red meat, 100</w:t>
            </w:r>
            <w:r>
              <w:rPr>
                <w:rFonts w:ascii="Times New Roman" w:hAnsi="Times New Roman" w:cs="Times New Roman"/>
                <w:sz w:val="20"/>
                <w:szCs w:val="20"/>
              </w:rPr>
              <w:t xml:space="preserve"> </w:t>
            </w:r>
            <w:r w:rsidRPr="00170648">
              <w:rPr>
                <w:rFonts w:ascii="Times New Roman" w:hAnsi="Times New Roman" w:cs="Times New Roman"/>
                <w:sz w:val="20"/>
                <w:szCs w:val="20"/>
              </w:rPr>
              <w:t>g poultry, 140</w:t>
            </w:r>
            <w:r>
              <w:rPr>
                <w:rFonts w:ascii="Times New Roman" w:hAnsi="Times New Roman" w:cs="Times New Roman"/>
                <w:sz w:val="20"/>
                <w:szCs w:val="20"/>
              </w:rPr>
              <w:t xml:space="preserve"> </w:t>
            </w:r>
            <w:r w:rsidRPr="00170648">
              <w:rPr>
                <w:rFonts w:ascii="Times New Roman" w:hAnsi="Times New Roman" w:cs="Times New Roman"/>
                <w:sz w:val="20"/>
                <w:szCs w:val="20"/>
              </w:rPr>
              <w:t xml:space="preserve">g </w:t>
            </w:r>
            <w:r>
              <w:rPr>
                <w:rFonts w:ascii="Times New Roman" w:hAnsi="Times New Roman" w:cs="Times New Roman"/>
                <w:sz w:val="20"/>
                <w:szCs w:val="20"/>
              </w:rPr>
              <w:t xml:space="preserve">cooked </w:t>
            </w:r>
            <w:r w:rsidRPr="00170648">
              <w:rPr>
                <w:rFonts w:ascii="Times New Roman" w:hAnsi="Times New Roman" w:cs="Times New Roman"/>
                <w:sz w:val="20"/>
                <w:szCs w:val="20"/>
              </w:rPr>
              <w:t>fish or shellfish, 2 eggs, 150</w:t>
            </w:r>
            <w:r>
              <w:rPr>
                <w:rFonts w:ascii="Times New Roman" w:hAnsi="Times New Roman" w:cs="Times New Roman"/>
                <w:sz w:val="20"/>
                <w:szCs w:val="20"/>
              </w:rPr>
              <w:t xml:space="preserve"> </w:t>
            </w:r>
            <w:r w:rsidRPr="00170648">
              <w:rPr>
                <w:rFonts w:ascii="Times New Roman" w:hAnsi="Times New Roman" w:cs="Times New Roman"/>
                <w:sz w:val="20"/>
                <w:szCs w:val="20"/>
              </w:rPr>
              <w:t>g legumes, 30</w:t>
            </w:r>
            <w:r>
              <w:rPr>
                <w:rFonts w:ascii="Times New Roman" w:hAnsi="Times New Roman" w:cs="Times New Roman"/>
                <w:sz w:val="20"/>
                <w:szCs w:val="20"/>
              </w:rPr>
              <w:t xml:space="preserve"> </w:t>
            </w:r>
            <w:r w:rsidRPr="00170648">
              <w:rPr>
                <w:rFonts w:ascii="Times New Roman" w:hAnsi="Times New Roman" w:cs="Times New Roman"/>
                <w:sz w:val="20"/>
                <w:szCs w:val="20"/>
              </w:rPr>
              <w:t>g nuts, 250</w:t>
            </w:r>
            <w:r>
              <w:rPr>
                <w:rFonts w:ascii="Times New Roman" w:hAnsi="Times New Roman" w:cs="Times New Roman"/>
                <w:sz w:val="20"/>
                <w:szCs w:val="20"/>
              </w:rPr>
              <w:t xml:space="preserve"> </w:t>
            </w:r>
            <w:r w:rsidRPr="00170648">
              <w:rPr>
                <w:rFonts w:ascii="Times New Roman" w:hAnsi="Times New Roman" w:cs="Times New Roman"/>
                <w:sz w:val="20"/>
                <w:szCs w:val="20"/>
              </w:rPr>
              <w:t>m</w:t>
            </w:r>
            <w:r>
              <w:rPr>
                <w:rFonts w:ascii="Times New Roman" w:hAnsi="Times New Roman" w:cs="Times New Roman"/>
                <w:sz w:val="20"/>
                <w:szCs w:val="20"/>
              </w:rPr>
              <w:t>L</w:t>
            </w:r>
            <w:r w:rsidRPr="00170648">
              <w:rPr>
                <w:rFonts w:ascii="Times New Roman" w:hAnsi="Times New Roman" w:cs="Times New Roman"/>
                <w:sz w:val="20"/>
                <w:szCs w:val="20"/>
              </w:rPr>
              <w:t xml:space="preserve"> milk, 30</w:t>
            </w:r>
            <w:r>
              <w:rPr>
                <w:rFonts w:ascii="Times New Roman" w:hAnsi="Times New Roman" w:cs="Times New Roman"/>
                <w:sz w:val="20"/>
                <w:szCs w:val="20"/>
              </w:rPr>
              <w:t xml:space="preserve"> </w:t>
            </w:r>
            <w:r w:rsidRPr="00170648">
              <w:rPr>
                <w:rFonts w:ascii="Times New Roman" w:hAnsi="Times New Roman" w:cs="Times New Roman"/>
                <w:sz w:val="20"/>
                <w:szCs w:val="20"/>
              </w:rPr>
              <w:t>g cheese, 125</w:t>
            </w:r>
            <w:r>
              <w:rPr>
                <w:rFonts w:ascii="Times New Roman" w:hAnsi="Times New Roman" w:cs="Times New Roman"/>
                <w:sz w:val="20"/>
                <w:szCs w:val="20"/>
              </w:rPr>
              <w:t xml:space="preserve"> </w:t>
            </w:r>
            <w:r w:rsidRPr="00170648">
              <w:rPr>
                <w:rFonts w:ascii="Times New Roman" w:hAnsi="Times New Roman" w:cs="Times New Roman"/>
                <w:sz w:val="20"/>
                <w:szCs w:val="20"/>
              </w:rPr>
              <w:t>g yoghurt, 100</w:t>
            </w:r>
            <w:r>
              <w:rPr>
                <w:rFonts w:ascii="Times New Roman" w:hAnsi="Times New Roman" w:cs="Times New Roman"/>
                <w:sz w:val="20"/>
                <w:szCs w:val="20"/>
              </w:rPr>
              <w:t xml:space="preserve"> </w:t>
            </w:r>
            <w:r w:rsidRPr="00170648">
              <w:rPr>
                <w:rFonts w:ascii="Times New Roman" w:hAnsi="Times New Roman" w:cs="Times New Roman"/>
                <w:sz w:val="20"/>
                <w:szCs w:val="20"/>
              </w:rPr>
              <w:t>g meat alternatives</w:t>
            </w:r>
          </w:p>
        </w:tc>
        <w:tc>
          <w:tcPr>
            <w:tcW w:w="904" w:type="dxa"/>
            <w:tcBorders>
              <w:top w:val="single" w:sz="4" w:space="0" w:color="auto"/>
              <w:left w:val="nil"/>
              <w:bottom w:val="single" w:sz="4" w:space="0" w:color="auto"/>
              <w:right w:val="nil"/>
            </w:tcBorders>
            <w:vAlign w:val="center"/>
          </w:tcPr>
          <w:p w14:paraId="5A4D5F89"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g</w:t>
            </w:r>
          </w:p>
        </w:tc>
        <w:tc>
          <w:tcPr>
            <w:tcW w:w="5794" w:type="dxa"/>
            <w:tcBorders>
              <w:top w:val="single" w:sz="4" w:space="0" w:color="auto"/>
              <w:left w:val="nil"/>
              <w:bottom w:val="single" w:sz="4" w:space="0" w:color="auto"/>
              <w:right w:val="nil"/>
            </w:tcBorders>
            <w:vAlign w:val="center"/>
          </w:tcPr>
          <w:p w14:paraId="588E8244" w14:textId="74E7B329" w:rsidR="0058707C"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Lean protein selected to promote lower SFA intake. Higher meat fat consumption has been associated with increased risk of </w:t>
            </w:r>
            <w:proofErr w:type="gramStart"/>
            <w:r w:rsidRPr="00170648">
              <w:rPr>
                <w:rFonts w:ascii="Times New Roman" w:hAnsi="Times New Roman" w:cs="Times New Roman"/>
                <w:sz w:val="20"/>
                <w:szCs w:val="20"/>
              </w:rPr>
              <w:t>CVD</w:t>
            </w:r>
            <w:r w:rsidRPr="00B5479C">
              <w:rPr>
                <w:rFonts w:ascii="Times New Roman" w:hAnsi="Times New Roman" w:cs="Times New Roman"/>
                <w:noProof/>
                <w:sz w:val="20"/>
                <w:szCs w:val="20"/>
                <w:vertAlign w:val="superscript"/>
              </w:rPr>
              <w:t>(</w:t>
            </w:r>
            <w:proofErr w:type="gramEnd"/>
            <w:r w:rsidR="00B57BDA">
              <w:rPr>
                <w:rFonts w:ascii="Times New Roman" w:hAnsi="Times New Roman" w:cs="Times New Roman"/>
                <w:noProof/>
                <w:sz w:val="20"/>
                <w:szCs w:val="20"/>
                <w:vertAlign w:val="superscript"/>
              </w:rPr>
              <w:t>8</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Legumes, nuts, eggs, </w:t>
            </w:r>
            <w:proofErr w:type="gramStart"/>
            <w:r w:rsidRPr="00170648">
              <w:rPr>
                <w:rFonts w:ascii="Times New Roman" w:hAnsi="Times New Roman" w:cs="Times New Roman"/>
                <w:sz w:val="20"/>
                <w:szCs w:val="20"/>
              </w:rPr>
              <w:t>dairy</w:t>
            </w:r>
            <w:proofErr w:type="gramEnd"/>
            <w:r w:rsidRPr="00170648">
              <w:rPr>
                <w:rFonts w:ascii="Times New Roman" w:hAnsi="Times New Roman" w:cs="Times New Roman"/>
                <w:sz w:val="20"/>
                <w:szCs w:val="20"/>
              </w:rPr>
              <w:t xml:space="preserve"> and meat alternatives included to be sensitive to vegetarian diets for score generalisability. </w:t>
            </w:r>
          </w:p>
          <w:p w14:paraId="19226273" w14:textId="77777777" w:rsidR="0058707C" w:rsidRDefault="0058707C" w:rsidP="00D95F01">
            <w:pPr>
              <w:rPr>
                <w:rFonts w:ascii="Times New Roman" w:hAnsi="Times New Roman" w:cs="Times New Roman"/>
                <w:sz w:val="20"/>
                <w:szCs w:val="20"/>
              </w:rPr>
            </w:pPr>
          </w:p>
          <w:p w14:paraId="730673DB" w14:textId="014C2FF4"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Limited to up to 1 portion each of dairy and legumes to promote animal protein as a source of </w:t>
            </w:r>
            <w:proofErr w:type="spellStart"/>
            <w:r w:rsidRPr="00170648">
              <w:rPr>
                <w:rFonts w:ascii="Times New Roman" w:hAnsi="Times New Roman" w:cs="Times New Roman"/>
                <w:sz w:val="20"/>
                <w:szCs w:val="20"/>
              </w:rPr>
              <w:t>heme</w:t>
            </w:r>
            <w:proofErr w:type="spellEnd"/>
            <w:r w:rsidRPr="00170648">
              <w:rPr>
                <w:rFonts w:ascii="Times New Roman" w:hAnsi="Times New Roman" w:cs="Times New Roman"/>
                <w:sz w:val="20"/>
                <w:szCs w:val="20"/>
              </w:rPr>
              <w:t xml:space="preserve"> </w:t>
            </w:r>
            <w:proofErr w:type="gramStart"/>
            <w:r w:rsidRPr="00170648">
              <w:rPr>
                <w:rFonts w:ascii="Times New Roman" w:hAnsi="Times New Roman" w:cs="Times New Roman"/>
                <w:sz w:val="20"/>
                <w:szCs w:val="20"/>
              </w:rPr>
              <w:t>iron</w:t>
            </w:r>
            <w:r w:rsidRPr="00E11441">
              <w:rPr>
                <w:rFonts w:ascii="Times New Roman" w:hAnsi="Times New Roman" w:cs="Times New Roman"/>
                <w:noProof/>
                <w:sz w:val="20"/>
                <w:szCs w:val="20"/>
                <w:vertAlign w:val="superscript"/>
              </w:rPr>
              <w:t>(</w:t>
            </w:r>
            <w:proofErr w:type="gramEnd"/>
            <w:r w:rsidR="00E11441" w:rsidRPr="00E11441">
              <w:rPr>
                <w:rFonts w:ascii="Times New Roman" w:hAnsi="Times New Roman" w:cs="Times New Roman"/>
                <w:noProof/>
                <w:sz w:val="20"/>
                <w:szCs w:val="20"/>
                <w:vertAlign w:val="superscript"/>
              </w:rPr>
              <w:t>9</w:t>
            </w:r>
            <w:r w:rsidRPr="00E11441">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and essential amino acids, including leucine, for maximum muscle synthesis. However, meat alternatives included with no limitation to be appropriate to vegans and as insufficient evidence on effect of soya protein on muscle synthesis. A non-consumer of animal products would not score any points for dairy and oily </w:t>
            </w:r>
            <w:proofErr w:type="gramStart"/>
            <w:r w:rsidRPr="00170648">
              <w:rPr>
                <w:rFonts w:ascii="Times New Roman" w:hAnsi="Times New Roman" w:cs="Times New Roman"/>
                <w:sz w:val="20"/>
                <w:szCs w:val="20"/>
              </w:rPr>
              <w:t>fish,</w:t>
            </w:r>
            <w:proofErr w:type="gramEnd"/>
            <w:r w:rsidRPr="00170648">
              <w:rPr>
                <w:rFonts w:ascii="Times New Roman" w:hAnsi="Times New Roman" w:cs="Times New Roman"/>
                <w:sz w:val="20"/>
                <w:szCs w:val="20"/>
              </w:rPr>
              <w:t xml:space="preserve"> hence a lower total score will be obtained to reflect evidence suggesting benefits of animal protein.</w:t>
            </w:r>
          </w:p>
          <w:p w14:paraId="59979922" w14:textId="77777777" w:rsidR="00CE486B" w:rsidRPr="00170648" w:rsidRDefault="00CE486B" w:rsidP="00D95F01">
            <w:pPr>
              <w:rPr>
                <w:rFonts w:ascii="Times New Roman" w:hAnsi="Times New Roman" w:cs="Times New Roman"/>
                <w:sz w:val="20"/>
                <w:szCs w:val="20"/>
              </w:rPr>
            </w:pPr>
          </w:p>
          <w:p w14:paraId="27DAA1DE" w14:textId="35FE1270"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Red meat included as high in folic acid and vitamin B12. Limited to 1 portion per day and portion size 70</w:t>
            </w:r>
            <w:r>
              <w:rPr>
                <w:rFonts w:ascii="Times New Roman" w:hAnsi="Times New Roman" w:cs="Times New Roman"/>
                <w:sz w:val="20"/>
                <w:szCs w:val="20"/>
              </w:rPr>
              <w:t xml:space="preserve"> </w:t>
            </w:r>
            <w:r w:rsidRPr="00170648">
              <w:rPr>
                <w:rFonts w:ascii="Times New Roman" w:hAnsi="Times New Roman" w:cs="Times New Roman"/>
                <w:sz w:val="20"/>
                <w:szCs w:val="20"/>
              </w:rPr>
              <w:t xml:space="preserve">g based on current </w:t>
            </w:r>
            <w:proofErr w:type="gramStart"/>
            <w:r w:rsidRPr="00170648">
              <w:rPr>
                <w:rFonts w:ascii="Times New Roman" w:hAnsi="Times New Roman" w:cs="Times New Roman"/>
                <w:sz w:val="20"/>
                <w:szCs w:val="20"/>
              </w:rPr>
              <w:t>recommendations</w:t>
            </w:r>
            <w:r w:rsidRPr="00B5479C">
              <w:rPr>
                <w:rFonts w:ascii="Times New Roman" w:hAnsi="Times New Roman" w:cs="Times New Roman"/>
                <w:noProof/>
                <w:sz w:val="20"/>
                <w:szCs w:val="20"/>
                <w:vertAlign w:val="superscript"/>
              </w:rPr>
              <w:t>(</w:t>
            </w:r>
            <w:proofErr w:type="gramEnd"/>
            <w:r w:rsidR="00ED192E" w:rsidRPr="00B5479C">
              <w:rPr>
                <w:rFonts w:ascii="Times New Roman" w:hAnsi="Times New Roman" w:cs="Times New Roman"/>
                <w:noProof/>
                <w:sz w:val="20"/>
                <w:szCs w:val="20"/>
                <w:vertAlign w:val="superscript"/>
              </w:rPr>
              <w:t>1</w:t>
            </w:r>
            <w:r w:rsidR="00E11441">
              <w:rPr>
                <w:rFonts w:ascii="Times New Roman" w:hAnsi="Times New Roman" w:cs="Times New Roman"/>
                <w:noProof/>
                <w:sz w:val="20"/>
                <w:szCs w:val="20"/>
                <w:vertAlign w:val="superscript"/>
              </w:rPr>
              <w:t>0</w:t>
            </w:r>
            <w:r w:rsidRPr="00B5479C">
              <w:rPr>
                <w:rFonts w:ascii="Times New Roman" w:hAnsi="Times New Roman" w:cs="Times New Roman"/>
                <w:noProof/>
                <w:sz w:val="20"/>
                <w:szCs w:val="20"/>
                <w:vertAlign w:val="superscript"/>
              </w:rPr>
              <w:t>,</w:t>
            </w:r>
            <w:r w:rsidR="00ED192E" w:rsidRPr="00B5479C">
              <w:rPr>
                <w:rFonts w:ascii="Times New Roman" w:hAnsi="Times New Roman" w:cs="Times New Roman"/>
                <w:noProof/>
                <w:sz w:val="20"/>
                <w:szCs w:val="20"/>
                <w:vertAlign w:val="superscript"/>
              </w:rPr>
              <w:t>1</w:t>
            </w:r>
            <w:r w:rsidR="00E11441">
              <w:rPr>
                <w:rFonts w:ascii="Times New Roman" w:hAnsi="Times New Roman" w:cs="Times New Roman"/>
                <w:noProof/>
                <w:sz w:val="20"/>
                <w:szCs w:val="20"/>
                <w:vertAlign w:val="superscript"/>
              </w:rPr>
              <w:t>1</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Promotes primary animal protein sources as poultry, fish, </w:t>
            </w:r>
            <w:proofErr w:type="gramStart"/>
            <w:r w:rsidRPr="00170648">
              <w:rPr>
                <w:rFonts w:ascii="Times New Roman" w:hAnsi="Times New Roman" w:cs="Times New Roman"/>
                <w:sz w:val="20"/>
                <w:szCs w:val="20"/>
              </w:rPr>
              <w:t>seafood</w:t>
            </w:r>
            <w:proofErr w:type="gramEnd"/>
            <w:r w:rsidRPr="00170648">
              <w:rPr>
                <w:rFonts w:ascii="Times New Roman" w:hAnsi="Times New Roman" w:cs="Times New Roman"/>
                <w:sz w:val="20"/>
                <w:szCs w:val="20"/>
              </w:rPr>
              <w:t xml:space="preserve"> and eggs. Processed meat excluded as significantly higher in </w:t>
            </w:r>
            <w:proofErr w:type="gramStart"/>
            <w:r w:rsidRPr="00170648">
              <w:rPr>
                <w:rFonts w:ascii="Times New Roman" w:hAnsi="Times New Roman" w:cs="Times New Roman"/>
                <w:sz w:val="20"/>
                <w:szCs w:val="20"/>
              </w:rPr>
              <w:t>sodium</w:t>
            </w:r>
            <w:r w:rsidRPr="00B5479C">
              <w:rPr>
                <w:rFonts w:ascii="Times New Roman" w:hAnsi="Times New Roman" w:cs="Times New Roman"/>
                <w:noProof/>
                <w:sz w:val="20"/>
                <w:szCs w:val="20"/>
                <w:vertAlign w:val="superscript"/>
              </w:rPr>
              <w:t>(</w:t>
            </w:r>
            <w:proofErr w:type="gramEnd"/>
            <w:r w:rsidR="00F57476" w:rsidRPr="00B5479C">
              <w:rPr>
                <w:rFonts w:ascii="Times New Roman" w:hAnsi="Times New Roman" w:cs="Times New Roman"/>
                <w:noProof/>
                <w:sz w:val="20"/>
                <w:szCs w:val="20"/>
                <w:vertAlign w:val="superscript"/>
              </w:rPr>
              <w:t>1</w:t>
            </w:r>
            <w:r w:rsidR="005E5664">
              <w:rPr>
                <w:rFonts w:ascii="Times New Roman" w:hAnsi="Times New Roman" w:cs="Times New Roman"/>
                <w:noProof/>
                <w:sz w:val="20"/>
                <w:szCs w:val="20"/>
                <w:vertAlign w:val="superscript"/>
              </w:rPr>
              <w:t>2</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than fresh meat, contributing to increased blood pressure and vascular dysfunction</w:t>
            </w:r>
            <w:r w:rsidRPr="00B5479C">
              <w:rPr>
                <w:rFonts w:ascii="Times New Roman" w:hAnsi="Times New Roman" w:cs="Times New Roman"/>
                <w:noProof/>
                <w:sz w:val="20"/>
                <w:szCs w:val="20"/>
                <w:vertAlign w:val="superscript"/>
              </w:rPr>
              <w:t>(</w:t>
            </w:r>
            <w:r w:rsidR="009F3023" w:rsidRPr="00B5479C">
              <w:rPr>
                <w:rFonts w:ascii="Times New Roman" w:hAnsi="Times New Roman" w:cs="Times New Roman"/>
                <w:noProof/>
                <w:sz w:val="20"/>
                <w:szCs w:val="20"/>
                <w:vertAlign w:val="superscript"/>
              </w:rPr>
              <w:t>1</w:t>
            </w:r>
            <w:r w:rsidR="005E5664">
              <w:rPr>
                <w:rFonts w:ascii="Times New Roman" w:hAnsi="Times New Roman" w:cs="Times New Roman"/>
                <w:noProof/>
                <w:sz w:val="20"/>
                <w:szCs w:val="20"/>
                <w:vertAlign w:val="superscript"/>
              </w:rPr>
              <w:t>3</w:t>
            </w:r>
            <w:r w:rsidRPr="00B5479C">
              <w:rPr>
                <w:rFonts w:ascii="Times New Roman" w:hAnsi="Times New Roman" w:cs="Times New Roman"/>
                <w:noProof/>
                <w:sz w:val="20"/>
                <w:szCs w:val="20"/>
                <w:vertAlign w:val="superscript"/>
              </w:rPr>
              <w:t>)</w:t>
            </w:r>
            <w:r w:rsidRPr="00170648">
              <w:rPr>
                <w:rFonts w:ascii="Times New Roman" w:hAnsi="Times New Roman" w:cs="Times New Roman"/>
                <w:noProof/>
                <w:sz w:val="20"/>
                <w:szCs w:val="20"/>
              </w:rPr>
              <w:t xml:space="preserve"> and due to conclusive evidence regarding increased risk of colorectal cancer</w:t>
            </w:r>
            <w:r w:rsidRPr="00B5479C">
              <w:rPr>
                <w:rFonts w:ascii="Times New Roman" w:hAnsi="Times New Roman" w:cs="Times New Roman"/>
                <w:noProof/>
                <w:sz w:val="20"/>
                <w:szCs w:val="20"/>
                <w:vertAlign w:val="superscript"/>
              </w:rPr>
              <w:t>(</w:t>
            </w:r>
            <w:r w:rsidR="00F57476" w:rsidRPr="00B5479C">
              <w:rPr>
                <w:rFonts w:ascii="Times New Roman" w:hAnsi="Times New Roman" w:cs="Times New Roman"/>
                <w:noProof/>
                <w:sz w:val="20"/>
                <w:szCs w:val="20"/>
                <w:vertAlign w:val="superscript"/>
              </w:rPr>
              <w:t>13</w:t>
            </w:r>
            <w:r w:rsidRPr="00B5479C">
              <w:rPr>
                <w:rFonts w:ascii="Times New Roman" w:hAnsi="Times New Roman" w:cs="Times New Roman"/>
                <w:noProof/>
                <w:sz w:val="20"/>
                <w:szCs w:val="20"/>
                <w:vertAlign w:val="superscript"/>
              </w:rPr>
              <w:t>)</w:t>
            </w:r>
            <w:r>
              <w:rPr>
                <w:rFonts w:ascii="Times New Roman" w:hAnsi="Times New Roman" w:cs="Times New Roman"/>
                <w:noProof/>
                <w:sz w:val="20"/>
                <w:szCs w:val="20"/>
              </w:rPr>
              <w:t>.</w:t>
            </w:r>
            <w:r w:rsidRPr="00170648">
              <w:rPr>
                <w:rFonts w:ascii="Times New Roman" w:hAnsi="Times New Roman" w:cs="Times New Roman"/>
                <w:sz w:val="20"/>
                <w:szCs w:val="20"/>
              </w:rPr>
              <w:t xml:space="preserve"> Exclusion discourages consumption as it will not contribute to protein score, requiring additional dietary protein to be consumed.</w:t>
            </w:r>
          </w:p>
          <w:p w14:paraId="09808670" w14:textId="77777777" w:rsidR="00CE486B" w:rsidRPr="00170648" w:rsidRDefault="00CE486B" w:rsidP="00D95F01">
            <w:pPr>
              <w:rPr>
                <w:rFonts w:ascii="Times New Roman" w:hAnsi="Times New Roman" w:cs="Times New Roman"/>
                <w:sz w:val="20"/>
                <w:szCs w:val="20"/>
              </w:rPr>
            </w:pPr>
          </w:p>
          <w:p w14:paraId="22B2206D" w14:textId="431B7440"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Portion sizes based on standard </w:t>
            </w:r>
            <w:proofErr w:type="gramStart"/>
            <w:r w:rsidRPr="00170648">
              <w:rPr>
                <w:rFonts w:ascii="Times New Roman" w:hAnsi="Times New Roman" w:cs="Times New Roman"/>
                <w:sz w:val="20"/>
                <w:szCs w:val="20"/>
              </w:rPr>
              <w:t>portions</w:t>
            </w:r>
            <w:r w:rsidRPr="00B5479C">
              <w:rPr>
                <w:rFonts w:ascii="Times New Roman" w:hAnsi="Times New Roman" w:cs="Times New Roman"/>
                <w:noProof/>
                <w:sz w:val="20"/>
                <w:szCs w:val="20"/>
                <w:vertAlign w:val="superscript"/>
              </w:rPr>
              <w:t>(</w:t>
            </w:r>
            <w:proofErr w:type="gramEnd"/>
            <w:r w:rsidR="009F3023" w:rsidRPr="00B5479C">
              <w:rPr>
                <w:rFonts w:ascii="Times New Roman" w:hAnsi="Times New Roman" w:cs="Times New Roman"/>
                <w:noProof/>
                <w:sz w:val="20"/>
                <w:szCs w:val="20"/>
                <w:vertAlign w:val="superscript"/>
              </w:rPr>
              <w:t>1</w:t>
            </w:r>
            <w:r w:rsidR="00E27F39">
              <w:rPr>
                <w:rFonts w:ascii="Times New Roman" w:hAnsi="Times New Roman" w:cs="Times New Roman"/>
                <w:noProof/>
                <w:sz w:val="20"/>
                <w:szCs w:val="20"/>
                <w:vertAlign w:val="superscript"/>
              </w:rPr>
              <w:t>4</w:t>
            </w:r>
            <w:r w:rsidRPr="00B5479C">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although milk portion size increased to aid in meeting daily protein recommendations. </w:t>
            </w:r>
          </w:p>
          <w:p w14:paraId="40762410" w14:textId="77777777" w:rsidR="00CE486B" w:rsidRPr="00170648" w:rsidRDefault="00CE486B" w:rsidP="00D95F01">
            <w:pPr>
              <w:rPr>
                <w:rFonts w:ascii="Times New Roman" w:hAnsi="Times New Roman" w:cs="Times New Roman"/>
                <w:sz w:val="20"/>
                <w:szCs w:val="20"/>
              </w:rPr>
            </w:pPr>
          </w:p>
          <w:p w14:paraId="0F524305" w14:textId="19BB9CF8" w:rsidR="00CE486B" w:rsidRPr="00170648" w:rsidRDefault="00CE486B" w:rsidP="00D95F01">
            <w:pPr>
              <w:tabs>
                <w:tab w:val="left" w:pos="0"/>
                <w:tab w:val="left" w:pos="284"/>
              </w:tabs>
              <w:rPr>
                <w:rFonts w:ascii="Times New Roman" w:hAnsi="Times New Roman" w:cs="Times New Roman"/>
                <w:sz w:val="20"/>
                <w:szCs w:val="20"/>
              </w:rPr>
            </w:pPr>
            <w:r w:rsidRPr="00170648">
              <w:rPr>
                <w:rFonts w:ascii="Times New Roman" w:hAnsi="Times New Roman" w:cs="Times New Roman"/>
                <w:sz w:val="20"/>
                <w:szCs w:val="20"/>
              </w:rPr>
              <w:t xml:space="preserve">Protein component is inconsistent with other scores. The </w:t>
            </w:r>
            <w:r>
              <w:rPr>
                <w:rFonts w:ascii="Times New Roman" w:hAnsi="Times New Roman" w:cs="Times New Roman"/>
                <w:sz w:val="20"/>
                <w:szCs w:val="20"/>
              </w:rPr>
              <w:t>E</w:t>
            </w:r>
            <w:r w:rsidRPr="00170648">
              <w:rPr>
                <w:rFonts w:ascii="Times New Roman" w:hAnsi="Times New Roman" w:cs="Times New Roman"/>
                <w:sz w:val="20"/>
                <w:szCs w:val="20"/>
              </w:rPr>
              <w:t xml:space="preserve">lderly </w:t>
            </w:r>
            <w:r>
              <w:rPr>
                <w:rFonts w:ascii="Times New Roman" w:hAnsi="Times New Roman" w:cs="Times New Roman"/>
                <w:sz w:val="20"/>
                <w:szCs w:val="20"/>
              </w:rPr>
              <w:t>D</w:t>
            </w:r>
            <w:r w:rsidRPr="00170648">
              <w:rPr>
                <w:rFonts w:ascii="Times New Roman" w:hAnsi="Times New Roman" w:cs="Times New Roman"/>
                <w:sz w:val="20"/>
                <w:szCs w:val="20"/>
              </w:rPr>
              <w:t xml:space="preserve">ietary </w:t>
            </w:r>
            <w:r>
              <w:rPr>
                <w:rFonts w:ascii="Times New Roman" w:hAnsi="Times New Roman" w:cs="Times New Roman"/>
                <w:sz w:val="20"/>
                <w:szCs w:val="20"/>
              </w:rPr>
              <w:t>I</w:t>
            </w:r>
            <w:r w:rsidRPr="00170648">
              <w:rPr>
                <w:rFonts w:ascii="Times New Roman" w:hAnsi="Times New Roman" w:cs="Times New Roman"/>
                <w:sz w:val="20"/>
                <w:szCs w:val="20"/>
              </w:rPr>
              <w:t xml:space="preserve">ndex features numerous protein components as complex </w:t>
            </w:r>
            <w:proofErr w:type="gramStart"/>
            <w:r w:rsidRPr="00170648">
              <w:rPr>
                <w:rFonts w:ascii="Times New Roman" w:hAnsi="Times New Roman" w:cs="Times New Roman"/>
                <w:sz w:val="20"/>
                <w:szCs w:val="20"/>
              </w:rPr>
              <w:t>variables</w:t>
            </w:r>
            <w:r w:rsidRPr="00B5479C">
              <w:rPr>
                <w:rFonts w:ascii="Times New Roman" w:hAnsi="Times New Roman" w:cs="Times New Roman"/>
                <w:sz w:val="20"/>
                <w:szCs w:val="20"/>
                <w:vertAlign w:val="superscript"/>
              </w:rPr>
              <w:t>(</w:t>
            </w:r>
            <w:proofErr w:type="gramEnd"/>
            <w:r w:rsidRPr="00B5479C">
              <w:rPr>
                <w:rFonts w:ascii="Times New Roman" w:hAnsi="Times New Roman" w:cs="Times New Roman"/>
                <w:sz w:val="20"/>
                <w:szCs w:val="20"/>
                <w:vertAlign w:val="superscript"/>
              </w:rPr>
              <w:t>1</w:t>
            </w:r>
            <w:r w:rsidR="00E27F39">
              <w:rPr>
                <w:rFonts w:ascii="Times New Roman" w:hAnsi="Times New Roman" w:cs="Times New Roman"/>
                <w:sz w:val="20"/>
                <w:szCs w:val="20"/>
                <w:vertAlign w:val="superscript"/>
              </w:rPr>
              <w:t>5</w:t>
            </w:r>
            <w:r w:rsidRPr="00B5479C">
              <w:rPr>
                <w:rFonts w:ascii="Times New Roman" w:hAnsi="Times New Roman" w:cs="Times New Roman"/>
                <w:sz w:val="20"/>
                <w:szCs w:val="20"/>
                <w:vertAlign w:val="superscript"/>
              </w:rPr>
              <w:t>)</w:t>
            </w:r>
            <w:r w:rsidRPr="00170648">
              <w:rPr>
                <w:rFonts w:ascii="Times New Roman" w:hAnsi="Times New Roman" w:cs="Times New Roman"/>
                <w:sz w:val="20"/>
                <w:szCs w:val="20"/>
              </w:rPr>
              <w:t>, suggesting detrimental effects of high intake. The HEI</w:t>
            </w:r>
            <w:r>
              <w:rPr>
                <w:rFonts w:ascii="Times New Roman" w:hAnsi="Times New Roman" w:cs="Times New Roman"/>
                <w:sz w:val="20"/>
                <w:szCs w:val="20"/>
              </w:rPr>
              <w:t>-201</w:t>
            </w:r>
            <w:r w:rsidR="003715D7">
              <w:rPr>
                <w:rFonts w:ascii="Times New Roman" w:hAnsi="Times New Roman" w:cs="Times New Roman"/>
                <w:sz w:val="20"/>
                <w:szCs w:val="20"/>
              </w:rPr>
              <w:t>5</w:t>
            </w:r>
            <w:r w:rsidRPr="00170648">
              <w:rPr>
                <w:rFonts w:ascii="Times New Roman" w:hAnsi="Times New Roman" w:cs="Times New Roman"/>
                <w:sz w:val="20"/>
                <w:szCs w:val="20"/>
              </w:rPr>
              <w:t xml:space="preserve"> promotes seafood and plant </w:t>
            </w:r>
            <w:proofErr w:type="gramStart"/>
            <w:r w:rsidRPr="00170648">
              <w:rPr>
                <w:rFonts w:ascii="Times New Roman" w:hAnsi="Times New Roman" w:cs="Times New Roman"/>
                <w:sz w:val="20"/>
                <w:szCs w:val="20"/>
              </w:rPr>
              <w:t>proteins</w:t>
            </w:r>
            <w:r w:rsidRPr="00B5479C">
              <w:rPr>
                <w:rFonts w:ascii="Times New Roman" w:hAnsi="Times New Roman" w:cs="Times New Roman"/>
                <w:sz w:val="20"/>
                <w:szCs w:val="20"/>
                <w:vertAlign w:val="superscript"/>
              </w:rPr>
              <w:t>(</w:t>
            </w:r>
            <w:proofErr w:type="gramEnd"/>
            <w:r w:rsidR="009F3023" w:rsidRPr="00B5479C">
              <w:rPr>
                <w:rFonts w:ascii="Times New Roman" w:hAnsi="Times New Roman" w:cs="Times New Roman"/>
                <w:sz w:val="20"/>
                <w:szCs w:val="20"/>
                <w:vertAlign w:val="superscript"/>
              </w:rPr>
              <w:t>1</w:t>
            </w:r>
            <w:r w:rsidR="00E27F39">
              <w:rPr>
                <w:rFonts w:ascii="Times New Roman" w:hAnsi="Times New Roman" w:cs="Times New Roman"/>
                <w:sz w:val="20"/>
                <w:szCs w:val="20"/>
                <w:vertAlign w:val="superscript"/>
              </w:rPr>
              <w:t>6</w:t>
            </w:r>
            <w:r w:rsidRPr="00B5479C">
              <w:rPr>
                <w:rFonts w:ascii="Times New Roman" w:hAnsi="Times New Roman" w:cs="Times New Roman"/>
                <w:sz w:val="20"/>
                <w:szCs w:val="20"/>
                <w:vertAlign w:val="superscript"/>
              </w:rPr>
              <w:t>)</w:t>
            </w:r>
            <w:r w:rsidRPr="00170648">
              <w:rPr>
                <w:rFonts w:ascii="Times New Roman" w:hAnsi="Times New Roman" w:cs="Times New Roman"/>
                <w:sz w:val="20"/>
                <w:szCs w:val="20"/>
              </w:rPr>
              <w:t xml:space="preserve">. The </w:t>
            </w:r>
            <w:r>
              <w:rPr>
                <w:rFonts w:ascii="Times New Roman" w:hAnsi="Times New Roman" w:cs="Times New Roman"/>
                <w:sz w:val="20"/>
                <w:szCs w:val="20"/>
              </w:rPr>
              <w:t>AHEI-2010</w:t>
            </w:r>
            <w:r w:rsidRPr="00170648">
              <w:rPr>
                <w:rFonts w:ascii="Times New Roman" w:hAnsi="Times New Roman" w:cs="Times New Roman"/>
                <w:sz w:val="20"/>
                <w:szCs w:val="20"/>
              </w:rPr>
              <w:t xml:space="preserve"> negatively appraises red and processed </w:t>
            </w:r>
            <w:proofErr w:type="gramStart"/>
            <w:r w:rsidRPr="00170648">
              <w:rPr>
                <w:rFonts w:ascii="Times New Roman" w:hAnsi="Times New Roman" w:cs="Times New Roman"/>
                <w:sz w:val="20"/>
                <w:szCs w:val="20"/>
              </w:rPr>
              <w:t>meat</w:t>
            </w:r>
            <w:r w:rsidRPr="00B5479C">
              <w:rPr>
                <w:rFonts w:ascii="Times New Roman" w:hAnsi="Times New Roman" w:cs="Times New Roman"/>
                <w:sz w:val="20"/>
                <w:szCs w:val="20"/>
                <w:vertAlign w:val="superscript"/>
              </w:rPr>
              <w:t>(</w:t>
            </w:r>
            <w:proofErr w:type="gramEnd"/>
            <w:r w:rsidR="009F3023" w:rsidRPr="00B5479C">
              <w:rPr>
                <w:rFonts w:ascii="Times New Roman" w:hAnsi="Times New Roman" w:cs="Times New Roman"/>
                <w:sz w:val="20"/>
                <w:szCs w:val="20"/>
                <w:vertAlign w:val="superscript"/>
              </w:rPr>
              <w:t>1</w:t>
            </w:r>
            <w:r w:rsidR="0069210B">
              <w:rPr>
                <w:rFonts w:ascii="Times New Roman" w:hAnsi="Times New Roman" w:cs="Times New Roman"/>
                <w:sz w:val="20"/>
                <w:szCs w:val="20"/>
                <w:vertAlign w:val="superscript"/>
              </w:rPr>
              <w:t>7</w:t>
            </w:r>
            <w:r w:rsidRPr="00B5479C">
              <w:rPr>
                <w:rFonts w:ascii="Times New Roman" w:hAnsi="Times New Roman" w:cs="Times New Roman"/>
                <w:sz w:val="20"/>
                <w:szCs w:val="20"/>
                <w:vertAlign w:val="superscript"/>
              </w:rPr>
              <w:t>)</w:t>
            </w:r>
            <w:r>
              <w:rPr>
                <w:rFonts w:ascii="Times New Roman" w:hAnsi="Times New Roman" w:cs="Times New Roman"/>
                <w:sz w:val="20"/>
                <w:szCs w:val="20"/>
              </w:rPr>
              <w:t xml:space="preserve">. </w:t>
            </w:r>
            <w:r w:rsidRPr="00170648">
              <w:rPr>
                <w:rFonts w:ascii="Times New Roman" w:hAnsi="Times New Roman" w:cs="Times New Roman"/>
                <w:sz w:val="20"/>
                <w:szCs w:val="20"/>
              </w:rPr>
              <w:t xml:space="preserve">Choice of positive appraisal due to role in the aetiology of sarcopenia and diminished protein accretion in older adults.    </w:t>
            </w:r>
          </w:p>
        </w:tc>
        <w:tc>
          <w:tcPr>
            <w:tcW w:w="980" w:type="dxa"/>
            <w:tcBorders>
              <w:top w:val="single" w:sz="4" w:space="0" w:color="auto"/>
              <w:left w:val="nil"/>
              <w:bottom w:val="single" w:sz="4" w:space="0" w:color="auto"/>
              <w:right w:val="nil"/>
            </w:tcBorders>
            <w:vAlign w:val="center"/>
          </w:tcPr>
          <w:p w14:paraId="61E1DC0C"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1AB0F068" w14:textId="77777777" w:rsidTr="00FC6609">
        <w:trPr>
          <w:gridAfter w:val="1"/>
          <w:wAfter w:w="6" w:type="dxa"/>
          <w:trHeight w:val="1134"/>
        </w:trPr>
        <w:tc>
          <w:tcPr>
            <w:tcW w:w="1984" w:type="dxa"/>
            <w:tcBorders>
              <w:top w:val="single" w:sz="4" w:space="0" w:color="auto"/>
              <w:left w:val="nil"/>
              <w:bottom w:val="single" w:sz="4" w:space="0" w:color="auto"/>
              <w:right w:val="nil"/>
            </w:tcBorders>
            <w:vAlign w:val="center"/>
          </w:tcPr>
          <w:p w14:paraId="5E9AC8D9"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lang w:eastAsia="en-GB"/>
              </w:rPr>
              <w:t>Oily fish</w:t>
            </w:r>
          </w:p>
        </w:tc>
        <w:tc>
          <w:tcPr>
            <w:tcW w:w="2216" w:type="dxa"/>
            <w:tcBorders>
              <w:top w:val="single" w:sz="4" w:space="0" w:color="auto"/>
              <w:left w:val="nil"/>
              <w:bottom w:val="single" w:sz="4" w:space="0" w:color="auto"/>
              <w:right w:val="nil"/>
            </w:tcBorders>
            <w:vAlign w:val="center"/>
          </w:tcPr>
          <w:p w14:paraId="7318071E"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≥1 portion/week</w:t>
            </w:r>
          </w:p>
        </w:tc>
        <w:tc>
          <w:tcPr>
            <w:tcW w:w="2744" w:type="dxa"/>
            <w:tcBorders>
              <w:top w:val="single" w:sz="4" w:space="0" w:color="auto"/>
              <w:left w:val="nil"/>
              <w:bottom w:val="single" w:sz="4" w:space="0" w:color="auto"/>
              <w:right w:val="nil"/>
            </w:tcBorders>
            <w:vAlign w:val="center"/>
          </w:tcPr>
          <w:p w14:paraId="7BD60560"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140g</w:t>
            </w:r>
            <w:r>
              <w:rPr>
                <w:rFonts w:ascii="Times New Roman" w:hAnsi="Times New Roman" w:cs="Times New Roman"/>
                <w:sz w:val="20"/>
                <w:szCs w:val="20"/>
              </w:rPr>
              <w:t xml:space="preserve"> cooked weight</w:t>
            </w:r>
          </w:p>
        </w:tc>
        <w:tc>
          <w:tcPr>
            <w:tcW w:w="904" w:type="dxa"/>
            <w:tcBorders>
              <w:top w:val="single" w:sz="4" w:space="0" w:color="auto"/>
              <w:left w:val="nil"/>
              <w:bottom w:val="single" w:sz="4" w:space="0" w:color="auto"/>
              <w:right w:val="nil"/>
            </w:tcBorders>
            <w:vAlign w:val="center"/>
          </w:tcPr>
          <w:p w14:paraId="5C994143" w14:textId="77777777" w:rsidR="00CE486B" w:rsidRPr="00170648" w:rsidRDefault="00CE486B" w:rsidP="00BB5B01">
            <w:pPr>
              <w:jc w:val="center"/>
              <w:rPr>
                <w:rFonts w:ascii="Times New Roman" w:hAnsi="Times New Roman" w:cs="Times New Roman"/>
                <w:sz w:val="20"/>
                <w:szCs w:val="20"/>
              </w:rPr>
            </w:pPr>
            <w:r>
              <w:rPr>
                <w:rFonts w:ascii="Times New Roman" w:hAnsi="Times New Roman" w:cs="Times New Roman"/>
                <w:sz w:val="20"/>
                <w:szCs w:val="20"/>
              </w:rPr>
              <w:t>g</w:t>
            </w:r>
          </w:p>
        </w:tc>
        <w:tc>
          <w:tcPr>
            <w:tcW w:w="5794" w:type="dxa"/>
            <w:tcBorders>
              <w:top w:val="single" w:sz="4" w:space="0" w:color="auto"/>
              <w:left w:val="nil"/>
              <w:bottom w:val="single" w:sz="4" w:space="0" w:color="auto"/>
              <w:right w:val="nil"/>
            </w:tcBorders>
            <w:vAlign w:val="center"/>
          </w:tcPr>
          <w:p w14:paraId="65146DB7" w14:textId="7C4A11C3"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A 140g portion per week provides the equivalent of 450</w:t>
            </w:r>
            <w:r>
              <w:rPr>
                <w:rFonts w:ascii="Times New Roman" w:hAnsi="Times New Roman" w:cs="Times New Roman"/>
                <w:sz w:val="20"/>
                <w:szCs w:val="20"/>
              </w:rPr>
              <w:t xml:space="preserve"> </w:t>
            </w:r>
            <w:r w:rsidRPr="00170648">
              <w:rPr>
                <w:rFonts w:ascii="Times New Roman" w:hAnsi="Times New Roman" w:cs="Times New Roman"/>
                <w:sz w:val="20"/>
                <w:szCs w:val="20"/>
              </w:rPr>
              <w:t xml:space="preserve">mg/day </w:t>
            </w:r>
            <w:r>
              <w:rPr>
                <w:rFonts w:ascii="Times New Roman" w:hAnsi="Times New Roman" w:cs="Times New Roman"/>
                <w:sz w:val="20"/>
                <w:szCs w:val="20"/>
              </w:rPr>
              <w:t>EPA</w:t>
            </w:r>
            <w:r w:rsidRPr="00170648">
              <w:rPr>
                <w:rFonts w:ascii="Times New Roman" w:hAnsi="Times New Roman" w:cs="Times New Roman"/>
                <w:sz w:val="20"/>
                <w:szCs w:val="20"/>
              </w:rPr>
              <w:t xml:space="preserve"> and </w:t>
            </w:r>
            <w:r>
              <w:rPr>
                <w:rFonts w:ascii="Times New Roman" w:hAnsi="Times New Roman" w:cs="Times New Roman"/>
                <w:sz w:val="20"/>
                <w:szCs w:val="20"/>
              </w:rPr>
              <w:t>DHA.</w:t>
            </w:r>
          </w:p>
          <w:p w14:paraId="5BC1FFE9" w14:textId="77777777" w:rsidR="00CE486B" w:rsidRPr="00170648" w:rsidRDefault="00CE486B" w:rsidP="00D95F01">
            <w:pPr>
              <w:rPr>
                <w:rFonts w:ascii="Times New Roman" w:hAnsi="Times New Roman" w:cs="Times New Roman"/>
                <w:sz w:val="20"/>
                <w:szCs w:val="20"/>
              </w:rPr>
            </w:pPr>
          </w:p>
          <w:p w14:paraId="3C838634" w14:textId="7F8FC04D"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Oily fish is unique to these indexes. Only the</w:t>
            </w:r>
            <w:r>
              <w:rPr>
                <w:rFonts w:ascii="Times New Roman" w:hAnsi="Times New Roman" w:cs="Times New Roman"/>
                <w:sz w:val="20"/>
                <w:szCs w:val="20"/>
              </w:rPr>
              <w:t xml:space="preserve"> A</w:t>
            </w:r>
            <w:r w:rsidRPr="00170648">
              <w:rPr>
                <w:rFonts w:ascii="Times New Roman" w:hAnsi="Times New Roman" w:cs="Times New Roman"/>
                <w:sz w:val="20"/>
                <w:szCs w:val="20"/>
              </w:rPr>
              <w:t>HEI</w:t>
            </w:r>
            <w:r>
              <w:rPr>
                <w:rFonts w:ascii="Times New Roman" w:hAnsi="Times New Roman" w:cs="Times New Roman"/>
                <w:sz w:val="20"/>
                <w:szCs w:val="20"/>
              </w:rPr>
              <w:t>-2010</w:t>
            </w:r>
            <w:r w:rsidRPr="00170648">
              <w:rPr>
                <w:rFonts w:ascii="Times New Roman" w:hAnsi="Times New Roman" w:cs="Times New Roman"/>
                <w:sz w:val="20"/>
                <w:szCs w:val="20"/>
              </w:rPr>
              <w:t xml:space="preserve"> has a comparable component, which is sum of EPA+</w:t>
            </w:r>
            <w:proofErr w:type="gramStart"/>
            <w:r w:rsidRPr="00170648">
              <w:rPr>
                <w:rFonts w:ascii="Times New Roman" w:hAnsi="Times New Roman" w:cs="Times New Roman"/>
                <w:sz w:val="20"/>
                <w:szCs w:val="20"/>
              </w:rPr>
              <w:t>DHA</w:t>
            </w:r>
            <w:r w:rsidR="002451FA" w:rsidRPr="00B55DE7">
              <w:rPr>
                <w:rFonts w:ascii="Times New Roman" w:hAnsi="Times New Roman" w:cs="Times New Roman"/>
                <w:sz w:val="20"/>
                <w:szCs w:val="20"/>
                <w:vertAlign w:val="superscript"/>
              </w:rPr>
              <w:t>(</w:t>
            </w:r>
            <w:proofErr w:type="gramEnd"/>
            <w:r w:rsidR="002451FA" w:rsidRPr="00B55DE7">
              <w:rPr>
                <w:rFonts w:ascii="Times New Roman" w:hAnsi="Times New Roman" w:cs="Times New Roman"/>
                <w:sz w:val="20"/>
                <w:szCs w:val="20"/>
                <w:vertAlign w:val="superscript"/>
              </w:rPr>
              <w:t>1</w:t>
            </w:r>
            <w:r w:rsidR="0069210B">
              <w:rPr>
                <w:rFonts w:ascii="Times New Roman" w:hAnsi="Times New Roman" w:cs="Times New Roman"/>
                <w:sz w:val="20"/>
                <w:szCs w:val="20"/>
                <w:vertAlign w:val="superscript"/>
              </w:rPr>
              <w:t>7</w:t>
            </w:r>
            <w:r w:rsidR="002451FA" w:rsidRPr="00B55DE7">
              <w:rPr>
                <w:rFonts w:ascii="Times New Roman" w:hAnsi="Times New Roman" w:cs="Times New Roman"/>
                <w:sz w:val="20"/>
                <w:szCs w:val="20"/>
                <w:vertAlign w:val="superscript"/>
              </w:rPr>
              <w:t>)</w:t>
            </w:r>
            <w:r w:rsidRPr="00170648">
              <w:rPr>
                <w:rFonts w:ascii="Times New Roman" w:hAnsi="Times New Roman" w:cs="Times New Roman"/>
                <w:sz w:val="20"/>
                <w:szCs w:val="20"/>
              </w:rPr>
              <w:t>.</w:t>
            </w:r>
          </w:p>
        </w:tc>
        <w:tc>
          <w:tcPr>
            <w:tcW w:w="980" w:type="dxa"/>
            <w:tcBorders>
              <w:top w:val="single" w:sz="4" w:space="0" w:color="auto"/>
              <w:left w:val="nil"/>
              <w:bottom w:val="single" w:sz="4" w:space="0" w:color="auto"/>
              <w:right w:val="nil"/>
            </w:tcBorders>
            <w:vAlign w:val="center"/>
          </w:tcPr>
          <w:p w14:paraId="1CC05CB3"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10B01913" w14:textId="77777777" w:rsidTr="00FC6609">
        <w:trPr>
          <w:gridAfter w:val="1"/>
          <w:wAfter w:w="6" w:type="dxa"/>
          <w:trHeight w:val="3251"/>
        </w:trPr>
        <w:tc>
          <w:tcPr>
            <w:tcW w:w="1984" w:type="dxa"/>
            <w:tcBorders>
              <w:top w:val="single" w:sz="4" w:space="0" w:color="auto"/>
              <w:left w:val="nil"/>
              <w:bottom w:val="single" w:sz="4" w:space="0" w:color="auto"/>
              <w:right w:val="nil"/>
            </w:tcBorders>
            <w:vAlign w:val="center"/>
          </w:tcPr>
          <w:p w14:paraId="11039429"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lang w:eastAsia="en-GB"/>
              </w:rPr>
              <w:lastRenderedPageBreak/>
              <w:t>Low fat dairy</w:t>
            </w:r>
          </w:p>
        </w:tc>
        <w:tc>
          <w:tcPr>
            <w:tcW w:w="2216" w:type="dxa"/>
            <w:tcBorders>
              <w:top w:val="single" w:sz="4" w:space="0" w:color="auto"/>
              <w:left w:val="nil"/>
              <w:bottom w:val="single" w:sz="4" w:space="0" w:color="auto"/>
              <w:right w:val="nil"/>
            </w:tcBorders>
            <w:vAlign w:val="center"/>
          </w:tcPr>
          <w:p w14:paraId="51579C38"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≥3 portions/day</w:t>
            </w:r>
          </w:p>
        </w:tc>
        <w:tc>
          <w:tcPr>
            <w:tcW w:w="2744" w:type="dxa"/>
            <w:tcBorders>
              <w:top w:val="single" w:sz="4" w:space="0" w:color="auto"/>
              <w:left w:val="nil"/>
              <w:bottom w:val="single" w:sz="4" w:space="0" w:color="auto"/>
              <w:right w:val="nil"/>
            </w:tcBorders>
            <w:vAlign w:val="center"/>
          </w:tcPr>
          <w:p w14:paraId="2910FA72"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To include all low-fat sources of dairy</w:t>
            </w:r>
          </w:p>
          <w:p w14:paraId="0B64A2B0" w14:textId="77777777" w:rsidR="00CE486B" w:rsidRPr="00170648" w:rsidRDefault="00CE486B" w:rsidP="00D95F01">
            <w:pPr>
              <w:rPr>
                <w:rFonts w:ascii="Times New Roman" w:hAnsi="Times New Roman" w:cs="Times New Roman"/>
                <w:sz w:val="20"/>
                <w:szCs w:val="20"/>
              </w:rPr>
            </w:pPr>
          </w:p>
          <w:p w14:paraId="2EC1E10D"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Only up to 1 portion of cheese per day</w:t>
            </w:r>
          </w:p>
          <w:p w14:paraId="5EE38284" w14:textId="77777777" w:rsidR="00CE486B" w:rsidRPr="00170648" w:rsidRDefault="00CE486B" w:rsidP="00D95F01">
            <w:pPr>
              <w:rPr>
                <w:rFonts w:ascii="Times New Roman" w:hAnsi="Times New Roman" w:cs="Times New Roman"/>
                <w:sz w:val="20"/>
                <w:szCs w:val="20"/>
              </w:rPr>
            </w:pPr>
          </w:p>
          <w:p w14:paraId="5912F724" w14:textId="24327800"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250</w:t>
            </w:r>
            <w:r>
              <w:rPr>
                <w:rFonts w:ascii="Times New Roman" w:hAnsi="Times New Roman" w:cs="Times New Roman"/>
                <w:sz w:val="20"/>
                <w:szCs w:val="20"/>
              </w:rPr>
              <w:t xml:space="preserve"> </w:t>
            </w:r>
            <w:r w:rsidRPr="00170648">
              <w:rPr>
                <w:rFonts w:ascii="Times New Roman" w:hAnsi="Times New Roman" w:cs="Times New Roman"/>
                <w:sz w:val="20"/>
                <w:szCs w:val="20"/>
              </w:rPr>
              <w:t>m</w:t>
            </w:r>
            <w:r>
              <w:rPr>
                <w:rFonts w:ascii="Times New Roman" w:hAnsi="Times New Roman" w:cs="Times New Roman"/>
                <w:sz w:val="20"/>
                <w:szCs w:val="20"/>
              </w:rPr>
              <w:t>L</w:t>
            </w:r>
            <w:r w:rsidRPr="00170648">
              <w:rPr>
                <w:rFonts w:ascii="Times New Roman" w:hAnsi="Times New Roman" w:cs="Times New Roman"/>
                <w:sz w:val="20"/>
                <w:szCs w:val="20"/>
              </w:rPr>
              <w:t xml:space="preserve"> milk, 30</w:t>
            </w:r>
            <w:r>
              <w:rPr>
                <w:rFonts w:ascii="Times New Roman" w:hAnsi="Times New Roman" w:cs="Times New Roman"/>
                <w:sz w:val="20"/>
                <w:szCs w:val="20"/>
              </w:rPr>
              <w:t xml:space="preserve"> </w:t>
            </w:r>
            <w:r w:rsidRPr="00170648">
              <w:rPr>
                <w:rFonts w:ascii="Times New Roman" w:hAnsi="Times New Roman" w:cs="Times New Roman"/>
                <w:sz w:val="20"/>
                <w:szCs w:val="20"/>
              </w:rPr>
              <w:t>g cheese, 125</w:t>
            </w:r>
            <w:r>
              <w:rPr>
                <w:rFonts w:ascii="Times New Roman" w:hAnsi="Times New Roman" w:cs="Times New Roman"/>
                <w:sz w:val="20"/>
                <w:szCs w:val="20"/>
              </w:rPr>
              <w:t xml:space="preserve"> </w:t>
            </w:r>
            <w:r w:rsidRPr="00170648">
              <w:rPr>
                <w:rFonts w:ascii="Times New Roman" w:hAnsi="Times New Roman" w:cs="Times New Roman"/>
                <w:sz w:val="20"/>
                <w:szCs w:val="20"/>
              </w:rPr>
              <w:t xml:space="preserve">g yoghurt, no other dairy </w:t>
            </w:r>
            <w:proofErr w:type="gramStart"/>
            <w:r w:rsidRPr="00170648">
              <w:rPr>
                <w:rFonts w:ascii="Times New Roman" w:hAnsi="Times New Roman" w:cs="Times New Roman"/>
                <w:sz w:val="20"/>
                <w:szCs w:val="20"/>
              </w:rPr>
              <w:t>included</w:t>
            </w:r>
            <w:proofErr w:type="gramEnd"/>
          </w:p>
          <w:p w14:paraId="479FFD37" w14:textId="77777777" w:rsidR="00CE486B" w:rsidRPr="00170648" w:rsidRDefault="00CE486B" w:rsidP="00D95F01">
            <w:pPr>
              <w:rPr>
                <w:rFonts w:ascii="Times New Roman" w:hAnsi="Times New Roman" w:cs="Times New Roman"/>
                <w:sz w:val="20"/>
                <w:szCs w:val="20"/>
              </w:rPr>
            </w:pPr>
          </w:p>
          <w:p w14:paraId="5FC1F85A" w14:textId="3F325DD5"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High fat dairy included if BMI &lt;18.5</w:t>
            </w:r>
            <w:r>
              <w:rPr>
                <w:rFonts w:ascii="Times New Roman" w:hAnsi="Times New Roman" w:cs="Times New Roman"/>
                <w:sz w:val="20"/>
                <w:szCs w:val="20"/>
              </w:rPr>
              <w:t xml:space="preserve"> </w:t>
            </w:r>
            <w:r w:rsidRPr="00170648">
              <w:rPr>
                <w:rFonts w:ascii="Times New Roman" w:hAnsi="Times New Roman" w:cs="Times New Roman"/>
                <w:sz w:val="20"/>
                <w:szCs w:val="20"/>
              </w:rPr>
              <w:t>kg/m</w:t>
            </w:r>
            <w:r w:rsidRPr="00170648">
              <w:rPr>
                <w:rFonts w:ascii="Times New Roman" w:hAnsi="Times New Roman" w:cs="Times New Roman"/>
                <w:sz w:val="20"/>
                <w:szCs w:val="20"/>
                <w:vertAlign w:val="superscript"/>
              </w:rPr>
              <w:t>2</w:t>
            </w:r>
          </w:p>
        </w:tc>
        <w:tc>
          <w:tcPr>
            <w:tcW w:w="904" w:type="dxa"/>
            <w:tcBorders>
              <w:top w:val="single" w:sz="4" w:space="0" w:color="auto"/>
              <w:left w:val="nil"/>
              <w:bottom w:val="single" w:sz="4" w:space="0" w:color="auto"/>
              <w:right w:val="nil"/>
            </w:tcBorders>
            <w:vAlign w:val="center"/>
          </w:tcPr>
          <w:p w14:paraId="2F617893"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g or m</w:t>
            </w:r>
            <w:r>
              <w:rPr>
                <w:rFonts w:ascii="Times New Roman" w:hAnsi="Times New Roman" w:cs="Times New Roman"/>
                <w:sz w:val="20"/>
                <w:szCs w:val="20"/>
              </w:rPr>
              <w:t>L</w:t>
            </w:r>
          </w:p>
        </w:tc>
        <w:tc>
          <w:tcPr>
            <w:tcW w:w="5794" w:type="dxa"/>
            <w:tcBorders>
              <w:top w:val="single" w:sz="4" w:space="0" w:color="auto"/>
              <w:left w:val="nil"/>
              <w:bottom w:val="single" w:sz="4" w:space="0" w:color="auto"/>
              <w:right w:val="nil"/>
            </w:tcBorders>
            <w:vAlign w:val="center"/>
          </w:tcPr>
          <w:p w14:paraId="224C6773" w14:textId="29E954AB"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Dairy should be low fat as low-fat dairy is inversely associated with </w:t>
            </w:r>
            <w:r>
              <w:rPr>
                <w:rFonts w:ascii="Times New Roman" w:hAnsi="Times New Roman" w:cs="Times New Roman"/>
                <w:sz w:val="20"/>
                <w:szCs w:val="20"/>
              </w:rPr>
              <w:t xml:space="preserve">systolic blood </w:t>
            </w:r>
            <w:proofErr w:type="gramStart"/>
            <w:r>
              <w:rPr>
                <w:rFonts w:ascii="Times New Roman" w:hAnsi="Times New Roman" w:cs="Times New Roman"/>
                <w:sz w:val="20"/>
                <w:szCs w:val="20"/>
              </w:rPr>
              <w:t>pressure</w:t>
            </w:r>
            <w:r w:rsidRPr="00B55DE7">
              <w:rPr>
                <w:rFonts w:ascii="Times New Roman" w:hAnsi="Times New Roman" w:cs="Times New Roman"/>
                <w:noProof/>
                <w:sz w:val="20"/>
                <w:szCs w:val="20"/>
                <w:vertAlign w:val="superscript"/>
              </w:rPr>
              <w:t>(</w:t>
            </w:r>
            <w:proofErr w:type="gramEnd"/>
            <w:r w:rsidR="00C75C54">
              <w:rPr>
                <w:rFonts w:ascii="Times New Roman" w:hAnsi="Times New Roman" w:cs="Times New Roman"/>
                <w:noProof/>
                <w:sz w:val="20"/>
                <w:szCs w:val="20"/>
                <w:vertAlign w:val="superscript"/>
              </w:rPr>
              <w:t>18</w:t>
            </w:r>
            <w:r w:rsidRPr="00B55DE7">
              <w:rPr>
                <w:rFonts w:ascii="Times New Roman" w:hAnsi="Times New Roman" w:cs="Times New Roman"/>
                <w:noProof/>
                <w:sz w:val="20"/>
                <w:szCs w:val="20"/>
                <w:vertAlign w:val="superscript"/>
              </w:rPr>
              <w:t>,</w:t>
            </w:r>
            <w:r w:rsidR="00C75C54">
              <w:rPr>
                <w:rFonts w:ascii="Times New Roman" w:hAnsi="Times New Roman" w:cs="Times New Roman"/>
                <w:noProof/>
                <w:sz w:val="20"/>
                <w:szCs w:val="20"/>
                <w:vertAlign w:val="superscript"/>
              </w:rPr>
              <w:t>19</w:t>
            </w:r>
            <w:r w:rsidRPr="00B55DE7">
              <w:rPr>
                <w:rFonts w:ascii="Times New Roman" w:hAnsi="Times New Roman" w:cs="Times New Roman"/>
                <w:noProof/>
                <w:sz w:val="20"/>
                <w:szCs w:val="20"/>
                <w:vertAlign w:val="superscript"/>
              </w:rPr>
              <w:t>)</w:t>
            </w:r>
            <w:r w:rsidRPr="00170648">
              <w:rPr>
                <w:rFonts w:ascii="Times New Roman" w:hAnsi="Times New Roman" w:cs="Times New Roman"/>
                <w:sz w:val="20"/>
                <w:szCs w:val="20"/>
              </w:rPr>
              <w:t>. Limitation on portions of cheese as even low-fat cheese contributes significant amount of SFA</w:t>
            </w:r>
            <w:r>
              <w:rPr>
                <w:rFonts w:ascii="Times New Roman" w:hAnsi="Times New Roman" w:cs="Times New Roman"/>
                <w:sz w:val="20"/>
                <w:szCs w:val="20"/>
              </w:rPr>
              <w:t xml:space="preserve">, </w:t>
            </w:r>
            <w:r w:rsidRPr="00170648">
              <w:rPr>
                <w:rFonts w:ascii="Times New Roman" w:hAnsi="Times New Roman" w:cs="Times New Roman"/>
                <w:noProof/>
                <w:sz w:val="20"/>
                <w:szCs w:val="20"/>
              </w:rPr>
              <w:t>although fermented dairy has been associated with reduce risk of CVD in general population</w:t>
            </w:r>
            <w:r w:rsidRPr="00B55DE7">
              <w:rPr>
                <w:rFonts w:ascii="Times New Roman" w:hAnsi="Times New Roman" w:cs="Times New Roman"/>
                <w:noProof/>
                <w:sz w:val="20"/>
                <w:szCs w:val="20"/>
                <w:vertAlign w:val="superscript"/>
              </w:rPr>
              <w:t>(</w:t>
            </w:r>
            <w:r w:rsidR="009F3023" w:rsidRPr="00B55DE7">
              <w:rPr>
                <w:rFonts w:ascii="Times New Roman" w:hAnsi="Times New Roman" w:cs="Times New Roman"/>
                <w:noProof/>
                <w:sz w:val="20"/>
                <w:szCs w:val="20"/>
                <w:vertAlign w:val="superscript"/>
              </w:rPr>
              <w:t>2</w:t>
            </w:r>
            <w:r w:rsidR="008B109F">
              <w:rPr>
                <w:rFonts w:ascii="Times New Roman" w:hAnsi="Times New Roman" w:cs="Times New Roman"/>
                <w:noProof/>
                <w:sz w:val="20"/>
                <w:szCs w:val="20"/>
                <w:vertAlign w:val="superscript"/>
              </w:rPr>
              <w:t>0</w:t>
            </w:r>
            <w:r w:rsidRPr="00B55DE7">
              <w:rPr>
                <w:rFonts w:ascii="Times New Roman" w:hAnsi="Times New Roman" w:cs="Times New Roman"/>
                <w:noProof/>
                <w:sz w:val="20"/>
                <w:szCs w:val="20"/>
                <w:vertAlign w:val="superscript"/>
              </w:rPr>
              <w:t>)</w:t>
            </w:r>
            <w:r w:rsidRPr="00170648">
              <w:rPr>
                <w:rFonts w:ascii="Times New Roman" w:hAnsi="Times New Roman" w:cs="Times New Roman"/>
                <w:noProof/>
                <w:sz w:val="20"/>
                <w:szCs w:val="20"/>
              </w:rPr>
              <w:t xml:space="preserve"> so</w:t>
            </w:r>
            <w:r>
              <w:rPr>
                <w:rFonts w:ascii="Times New Roman" w:hAnsi="Times New Roman" w:cs="Times New Roman"/>
                <w:noProof/>
                <w:sz w:val="20"/>
                <w:szCs w:val="20"/>
              </w:rPr>
              <w:t xml:space="preserve"> </w:t>
            </w:r>
            <w:r w:rsidRPr="00170648">
              <w:rPr>
                <w:rFonts w:ascii="Times New Roman" w:hAnsi="Times New Roman" w:cs="Times New Roman"/>
                <w:noProof/>
                <w:sz w:val="20"/>
                <w:szCs w:val="20"/>
              </w:rPr>
              <w:t>not excluded from the score</w:t>
            </w:r>
            <w:r>
              <w:rPr>
                <w:rFonts w:ascii="Times New Roman" w:hAnsi="Times New Roman" w:cs="Times New Roman"/>
                <w:noProof/>
                <w:sz w:val="20"/>
                <w:szCs w:val="20"/>
              </w:rPr>
              <w:t xml:space="preserve"> and may require further investigation</w:t>
            </w:r>
            <w:r w:rsidRPr="00170648">
              <w:rPr>
                <w:rFonts w:ascii="Times New Roman" w:hAnsi="Times New Roman" w:cs="Times New Roman"/>
                <w:sz w:val="20"/>
                <w:szCs w:val="20"/>
              </w:rPr>
              <w:t xml:space="preserve">. </w:t>
            </w:r>
          </w:p>
          <w:p w14:paraId="682966FD" w14:textId="77777777" w:rsidR="00CE486B" w:rsidRPr="00170648" w:rsidRDefault="00CE486B" w:rsidP="00D95F01">
            <w:pPr>
              <w:rPr>
                <w:rFonts w:ascii="Times New Roman" w:hAnsi="Times New Roman" w:cs="Times New Roman"/>
                <w:sz w:val="20"/>
                <w:szCs w:val="20"/>
              </w:rPr>
            </w:pPr>
          </w:p>
          <w:p w14:paraId="4DBF0957" w14:textId="36D80383"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Separate advice specified for individuals with low BMI and malnourished where higher fat diet is appropriate for meeting energy </w:t>
            </w:r>
            <w:proofErr w:type="gramStart"/>
            <w:r w:rsidRPr="00170648">
              <w:rPr>
                <w:rFonts w:ascii="Times New Roman" w:hAnsi="Times New Roman" w:cs="Times New Roman"/>
                <w:sz w:val="20"/>
                <w:szCs w:val="20"/>
              </w:rPr>
              <w:t>requirements</w:t>
            </w:r>
            <w:r w:rsidRPr="00B55DE7">
              <w:rPr>
                <w:rFonts w:ascii="Times New Roman" w:hAnsi="Times New Roman" w:cs="Times New Roman"/>
                <w:sz w:val="20"/>
                <w:szCs w:val="20"/>
                <w:vertAlign w:val="superscript"/>
              </w:rPr>
              <w:t>(</w:t>
            </w:r>
            <w:proofErr w:type="gramEnd"/>
            <w:r w:rsidR="009F3023" w:rsidRPr="00B55DE7">
              <w:rPr>
                <w:rFonts w:ascii="Times New Roman" w:hAnsi="Times New Roman" w:cs="Times New Roman"/>
                <w:sz w:val="20"/>
                <w:szCs w:val="20"/>
                <w:vertAlign w:val="superscript"/>
              </w:rPr>
              <w:t>2</w:t>
            </w:r>
            <w:r w:rsidR="00AA347D">
              <w:rPr>
                <w:rFonts w:ascii="Times New Roman" w:hAnsi="Times New Roman" w:cs="Times New Roman"/>
                <w:sz w:val="20"/>
                <w:szCs w:val="20"/>
                <w:vertAlign w:val="superscript"/>
              </w:rPr>
              <w:t>1</w:t>
            </w:r>
            <w:r w:rsidRPr="00B55DE7">
              <w:rPr>
                <w:rFonts w:ascii="Times New Roman" w:hAnsi="Times New Roman" w:cs="Times New Roman"/>
                <w:sz w:val="20"/>
                <w:szCs w:val="20"/>
                <w:vertAlign w:val="superscript"/>
              </w:rPr>
              <w:t>)</w:t>
            </w:r>
            <w:r w:rsidRPr="00170648">
              <w:rPr>
                <w:rFonts w:ascii="Times New Roman" w:hAnsi="Times New Roman" w:cs="Times New Roman"/>
                <w:sz w:val="20"/>
                <w:szCs w:val="20"/>
              </w:rPr>
              <w:t xml:space="preserve">. Included due to 14% of elderly being </w:t>
            </w:r>
            <w:proofErr w:type="gramStart"/>
            <w:r w:rsidRPr="00170648">
              <w:rPr>
                <w:rFonts w:ascii="Times New Roman" w:hAnsi="Times New Roman" w:cs="Times New Roman"/>
                <w:sz w:val="20"/>
                <w:szCs w:val="20"/>
              </w:rPr>
              <w:t>malnourished</w:t>
            </w:r>
            <w:r w:rsidRPr="00ED55A2">
              <w:rPr>
                <w:rFonts w:ascii="Times New Roman" w:hAnsi="Times New Roman" w:cs="Times New Roman"/>
                <w:noProof/>
                <w:sz w:val="20"/>
                <w:szCs w:val="20"/>
                <w:vertAlign w:val="superscript"/>
              </w:rPr>
              <w:t>(</w:t>
            </w:r>
            <w:proofErr w:type="gramEnd"/>
            <w:r w:rsidR="009F3023" w:rsidRPr="00ED55A2">
              <w:rPr>
                <w:rFonts w:ascii="Times New Roman" w:hAnsi="Times New Roman" w:cs="Times New Roman"/>
                <w:noProof/>
                <w:sz w:val="20"/>
                <w:szCs w:val="20"/>
                <w:vertAlign w:val="superscript"/>
              </w:rPr>
              <w:t>2</w:t>
            </w:r>
            <w:r w:rsidR="00AA347D">
              <w:rPr>
                <w:rFonts w:ascii="Times New Roman" w:hAnsi="Times New Roman" w:cs="Times New Roman"/>
                <w:noProof/>
                <w:sz w:val="20"/>
                <w:szCs w:val="20"/>
                <w:vertAlign w:val="superscript"/>
              </w:rPr>
              <w:t>2</w:t>
            </w:r>
            <w:r w:rsidRPr="00ED55A2">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and the detrimental effects of this on physical and psychological function</w:t>
            </w:r>
            <w:r w:rsidRPr="00ED55A2">
              <w:rPr>
                <w:rFonts w:ascii="Times New Roman" w:hAnsi="Times New Roman" w:cs="Times New Roman"/>
                <w:noProof/>
                <w:sz w:val="20"/>
                <w:szCs w:val="20"/>
                <w:vertAlign w:val="superscript"/>
              </w:rPr>
              <w:t>(</w:t>
            </w:r>
            <w:r w:rsidR="00AA347D">
              <w:rPr>
                <w:rFonts w:ascii="Times New Roman" w:hAnsi="Times New Roman" w:cs="Times New Roman"/>
                <w:noProof/>
                <w:sz w:val="20"/>
                <w:szCs w:val="20"/>
                <w:vertAlign w:val="superscript"/>
              </w:rPr>
              <w:t>2</w:t>
            </w:r>
            <w:r w:rsidR="00F4617D" w:rsidRPr="00ED55A2">
              <w:rPr>
                <w:rFonts w:ascii="Times New Roman" w:hAnsi="Times New Roman" w:cs="Times New Roman"/>
                <w:noProof/>
                <w:sz w:val="20"/>
                <w:szCs w:val="20"/>
                <w:vertAlign w:val="superscript"/>
              </w:rPr>
              <w:t>3</w:t>
            </w:r>
            <w:r w:rsidRPr="00ED55A2">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w:t>
            </w:r>
          </w:p>
          <w:p w14:paraId="34D629A5" w14:textId="77777777" w:rsidR="00CE486B" w:rsidRPr="00170648" w:rsidRDefault="00CE486B" w:rsidP="00D95F01">
            <w:pPr>
              <w:rPr>
                <w:rFonts w:ascii="Times New Roman" w:hAnsi="Times New Roman" w:cs="Times New Roman"/>
                <w:sz w:val="20"/>
                <w:szCs w:val="20"/>
              </w:rPr>
            </w:pPr>
          </w:p>
          <w:p w14:paraId="17086D05" w14:textId="6B6C6526"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Low fat dairy component dissimilar to other scores. </w:t>
            </w:r>
            <w:r>
              <w:rPr>
                <w:rFonts w:ascii="Times New Roman" w:hAnsi="Times New Roman" w:cs="Times New Roman"/>
                <w:sz w:val="20"/>
                <w:szCs w:val="20"/>
              </w:rPr>
              <w:t>Diet Quality Index</w:t>
            </w:r>
            <w:r w:rsidRPr="00170648">
              <w:rPr>
                <w:rFonts w:ascii="Times New Roman" w:hAnsi="Times New Roman" w:cs="Times New Roman"/>
                <w:sz w:val="20"/>
                <w:szCs w:val="20"/>
              </w:rPr>
              <w:t xml:space="preserve"> appraises calcium intake as a </w:t>
            </w:r>
            <w:proofErr w:type="gramStart"/>
            <w:r w:rsidRPr="00170648">
              <w:rPr>
                <w:rFonts w:ascii="Times New Roman" w:hAnsi="Times New Roman" w:cs="Times New Roman"/>
                <w:sz w:val="20"/>
                <w:szCs w:val="20"/>
              </w:rPr>
              <w:t>nutrient</w:t>
            </w:r>
            <w:r w:rsidRPr="00ED55A2">
              <w:rPr>
                <w:rFonts w:ascii="Times New Roman" w:hAnsi="Times New Roman" w:cs="Times New Roman"/>
                <w:sz w:val="20"/>
                <w:szCs w:val="20"/>
                <w:vertAlign w:val="superscript"/>
              </w:rPr>
              <w:t>(</w:t>
            </w:r>
            <w:proofErr w:type="gramEnd"/>
            <w:r w:rsidR="00D64047">
              <w:rPr>
                <w:rFonts w:ascii="Times New Roman" w:hAnsi="Times New Roman" w:cs="Times New Roman"/>
                <w:sz w:val="20"/>
                <w:szCs w:val="20"/>
                <w:vertAlign w:val="superscript"/>
              </w:rPr>
              <w:t>24</w:t>
            </w:r>
            <w:r w:rsidRPr="00ED55A2">
              <w:rPr>
                <w:rFonts w:ascii="Times New Roman" w:hAnsi="Times New Roman" w:cs="Times New Roman"/>
                <w:sz w:val="20"/>
                <w:szCs w:val="20"/>
                <w:vertAlign w:val="superscript"/>
              </w:rPr>
              <w:t>)</w:t>
            </w:r>
            <w:r w:rsidRPr="006920CF">
              <w:rPr>
                <w:rStyle w:val="CommentReference"/>
                <w:rFonts w:ascii="Times New Roman" w:hAnsi="Times New Roman" w:cs="Times New Roman"/>
                <w:sz w:val="20"/>
                <w:szCs w:val="20"/>
              </w:rPr>
              <w:t xml:space="preserve">. </w:t>
            </w:r>
            <w:r>
              <w:rPr>
                <w:rFonts w:ascii="Times New Roman" w:hAnsi="Times New Roman" w:cs="Times New Roman"/>
                <w:sz w:val="20"/>
                <w:szCs w:val="20"/>
              </w:rPr>
              <w:t xml:space="preserve">DHD15-Index </w:t>
            </w:r>
            <w:r w:rsidRPr="00170648">
              <w:rPr>
                <w:rFonts w:ascii="Times New Roman" w:hAnsi="Times New Roman" w:cs="Times New Roman"/>
                <w:sz w:val="20"/>
                <w:szCs w:val="20"/>
              </w:rPr>
              <w:t xml:space="preserve">includes dairy as a complex </w:t>
            </w:r>
            <w:proofErr w:type="gramStart"/>
            <w:r w:rsidRPr="00170648">
              <w:rPr>
                <w:rFonts w:ascii="Times New Roman" w:hAnsi="Times New Roman" w:cs="Times New Roman"/>
                <w:sz w:val="20"/>
                <w:szCs w:val="20"/>
              </w:rPr>
              <w:t>variable</w:t>
            </w:r>
            <w:r w:rsidRPr="00ED55A2">
              <w:rPr>
                <w:rFonts w:ascii="Times New Roman" w:hAnsi="Times New Roman" w:cs="Times New Roman"/>
                <w:sz w:val="20"/>
                <w:szCs w:val="20"/>
                <w:vertAlign w:val="superscript"/>
              </w:rPr>
              <w:t>(</w:t>
            </w:r>
            <w:proofErr w:type="gramEnd"/>
            <w:r w:rsidR="00417B2E">
              <w:rPr>
                <w:rFonts w:ascii="Times New Roman" w:hAnsi="Times New Roman" w:cs="Times New Roman"/>
                <w:sz w:val="20"/>
                <w:szCs w:val="20"/>
                <w:vertAlign w:val="superscript"/>
              </w:rPr>
              <w:t>25</w:t>
            </w:r>
            <w:r w:rsidRPr="00ED55A2">
              <w:rPr>
                <w:rFonts w:ascii="Times New Roman" w:hAnsi="Times New Roman" w:cs="Times New Roman"/>
                <w:sz w:val="20"/>
                <w:szCs w:val="20"/>
                <w:vertAlign w:val="superscript"/>
              </w:rPr>
              <w:t>)</w:t>
            </w:r>
            <w:r w:rsidRPr="00170648">
              <w:rPr>
                <w:rFonts w:ascii="Times New Roman" w:hAnsi="Times New Roman" w:cs="Times New Roman"/>
                <w:sz w:val="20"/>
                <w:szCs w:val="20"/>
              </w:rPr>
              <w:t xml:space="preserve">, suggesting detrimental effects for high intake. MDS negatively appraises dairy </w:t>
            </w:r>
            <w:proofErr w:type="gramStart"/>
            <w:r w:rsidRPr="00170648">
              <w:rPr>
                <w:rFonts w:ascii="Times New Roman" w:hAnsi="Times New Roman" w:cs="Times New Roman"/>
                <w:sz w:val="20"/>
                <w:szCs w:val="20"/>
              </w:rPr>
              <w:t>consumption</w:t>
            </w:r>
            <w:r w:rsidR="009F3023" w:rsidRPr="00ED55A2">
              <w:rPr>
                <w:rFonts w:ascii="Times New Roman" w:hAnsi="Times New Roman" w:cs="Times New Roman"/>
                <w:sz w:val="20"/>
                <w:szCs w:val="20"/>
                <w:vertAlign w:val="superscript"/>
              </w:rPr>
              <w:t>(</w:t>
            </w:r>
            <w:proofErr w:type="gramEnd"/>
            <w:r w:rsidR="00417B2E">
              <w:rPr>
                <w:rFonts w:ascii="Times New Roman" w:hAnsi="Times New Roman" w:cs="Times New Roman"/>
                <w:sz w:val="20"/>
                <w:szCs w:val="20"/>
                <w:vertAlign w:val="superscript"/>
              </w:rPr>
              <w:t>26</w:t>
            </w:r>
            <w:r w:rsidRPr="00ED55A2">
              <w:rPr>
                <w:rFonts w:ascii="Times New Roman" w:hAnsi="Times New Roman" w:cs="Times New Roman"/>
                <w:sz w:val="20"/>
                <w:szCs w:val="20"/>
                <w:vertAlign w:val="superscript"/>
              </w:rPr>
              <w:t>)</w:t>
            </w:r>
            <w:r w:rsidRPr="00170648">
              <w:rPr>
                <w:rFonts w:ascii="Times New Roman" w:hAnsi="Times New Roman" w:cs="Times New Roman"/>
                <w:sz w:val="20"/>
                <w:szCs w:val="20"/>
              </w:rPr>
              <w:t xml:space="preserve">. Role of dairy in preserving </w:t>
            </w:r>
            <w:r>
              <w:rPr>
                <w:rFonts w:ascii="Times New Roman" w:hAnsi="Times New Roman" w:cs="Times New Roman"/>
                <w:sz w:val="20"/>
                <w:szCs w:val="20"/>
              </w:rPr>
              <w:t>bone mineral density</w:t>
            </w:r>
            <w:r w:rsidRPr="00170648">
              <w:rPr>
                <w:rFonts w:ascii="Times New Roman" w:hAnsi="Times New Roman" w:cs="Times New Roman"/>
                <w:sz w:val="20"/>
                <w:szCs w:val="20"/>
              </w:rPr>
              <w:t xml:space="preserve"> important for older adults.  </w:t>
            </w:r>
          </w:p>
        </w:tc>
        <w:tc>
          <w:tcPr>
            <w:tcW w:w="980" w:type="dxa"/>
            <w:tcBorders>
              <w:top w:val="single" w:sz="4" w:space="0" w:color="auto"/>
              <w:left w:val="nil"/>
              <w:bottom w:val="single" w:sz="4" w:space="0" w:color="auto"/>
              <w:right w:val="nil"/>
            </w:tcBorders>
            <w:vAlign w:val="center"/>
          </w:tcPr>
          <w:p w14:paraId="394B16A2"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26EBAB6D" w14:textId="77777777" w:rsidTr="00CE486B">
        <w:trPr>
          <w:gridAfter w:val="1"/>
          <w:wAfter w:w="6" w:type="dxa"/>
          <w:trHeight w:val="2543"/>
        </w:trPr>
        <w:tc>
          <w:tcPr>
            <w:tcW w:w="1984" w:type="dxa"/>
            <w:tcBorders>
              <w:top w:val="single" w:sz="4" w:space="0" w:color="auto"/>
              <w:left w:val="nil"/>
              <w:bottom w:val="single" w:sz="4" w:space="0" w:color="auto"/>
              <w:right w:val="nil"/>
            </w:tcBorders>
            <w:vAlign w:val="center"/>
          </w:tcPr>
          <w:p w14:paraId="4EBEA7AC"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Wholegrain carbohydrates</w:t>
            </w:r>
          </w:p>
        </w:tc>
        <w:tc>
          <w:tcPr>
            <w:tcW w:w="2216" w:type="dxa"/>
            <w:tcBorders>
              <w:top w:val="single" w:sz="4" w:space="0" w:color="auto"/>
              <w:left w:val="nil"/>
              <w:bottom w:val="single" w:sz="4" w:space="0" w:color="auto"/>
              <w:right w:val="nil"/>
            </w:tcBorders>
            <w:vAlign w:val="center"/>
          </w:tcPr>
          <w:p w14:paraId="03334D0D"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≥3 portions/day</w:t>
            </w:r>
          </w:p>
        </w:tc>
        <w:tc>
          <w:tcPr>
            <w:tcW w:w="2744" w:type="dxa"/>
            <w:tcBorders>
              <w:top w:val="single" w:sz="4" w:space="0" w:color="auto"/>
              <w:left w:val="nil"/>
              <w:bottom w:val="single" w:sz="4" w:space="0" w:color="auto"/>
              <w:right w:val="nil"/>
            </w:tcBorders>
            <w:vAlign w:val="center"/>
          </w:tcPr>
          <w:p w14:paraId="621F9DD9"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To include all wholegrain carbohydrate sources such as wholewheat pasta, brown rice, quinoa, wholemeal bread or crackerbreads, and oat or high fibre cereals</w:t>
            </w:r>
          </w:p>
          <w:p w14:paraId="71F77B87" w14:textId="77777777" w:rsidR="00CE486B" w:rsidRPr="00170648" w:rsidRDefault="00CE486B" w:rsidP="00D95F01">
            <w:pPr>
              <w:rPr>
                <w:rFonts w:ascii="Times New Roman" w:hAnsi="Times New Roman" w:cs="Times New Roman"/>
                <w:sz w:val="20"/>
                <w:szCs w:val="20"/>
              </w:rPr>
            </w:pPr>
          </w:p>
          <w:p w14:paraId="3E4AD7E3" w14:textId="32BC5C84"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190</w:t>
            </w:r>
            <w:r>
              <w:rPr>
                <w:rFonts w:ascii="Times New Roman" w:hAnsi="Times New Roman" w:cs="Times New Roman"/>
                <w:sz w:val="20"/>
                <w:szCs w:val="20"/>
              </w:rPr>
              <w:t xml:space="preserve"> </w:t>
            </w:r>
            <w:r w:rsidRPr="00170648">
              <w:rPr>
                <w:rFonts w:ascii="Times New Roman" w:hAnsi="Times New Roman" w:cs="Times New Roman"/>
                <w:sz w:val="20"/>
                <w:szCs w:val="20"/>
              </w:rPr>
              <w:t>g cooked pasta, rice or grains, 80</w:t>
            </w:r>
            <w:r>
              <w:rPr>
                <w:rFonts w:ascii="Times New Roman" w:hAnsi="Times New Roman" w:cs="Times New Roman"/>
                <w:sz w:val="20"/>
                <w:szCs w:val="20"/>
              </w:rPr>
              <w:t xml:space="preserve"> </w:t>
            </w:r>
            <w:r w:rsidRPr="00170648">
              <w:rPr>
                <w:rFonts w:ascii="Times New Roman" w:hAnsi="Times New Roman" w:cs="Times New Roman"/>
                <w:sz w:val="20"/>
                <w:szCs w:val="20"/>
              </w:rPr>
              <w:t>g bread or crackerbreads, 30</w:t>
            </w:r>
            <w:r>
              <w:rPr>
                <w:rFonts w:ascii="Times New Roman" w:hAnsi="Times New Roman" w:cs="Times New Roman"/>
                <w:sz w:val="20"/>
                <w:szCs w:val="20"/>
              </w:rPr>
              <w:t xml:space="preserve"> </w:t>
            </w:r>
            <w:r w:rsidRPr="00170648">
              <w:rPr>
                <w:rFonts w:ascii="Times New Roman" w:hAnsi="Times New Roman" w:cs="Times New Roman"/>
                <w:sz w:val="20"/>
                <w:szCs w:val="20"/>
              </w:rPr>
              <w:t>g breakfast cereals or flour</w:t>
            </w:r>
          </w:p>
        </w:tc>
        <w:tc>
          <w:tcPr>
            <w:tcW w:w="904" w:type="dxa"/>
            <w:tcBorders>
              <w:top w:val="single" w:sz="4" w:space="0" w:color="auto"/>
              <w:left w:val="nil"/>
              <w:bottom w:val="single" w:sz="4" w:space="0" w:color="auto"/>
              <w:right w:val="nil"/>
            </w:tcBorders>
            <w:vAlign w:val="center"/>
          </w:tcPr>
          <w:p w14:paraId="58490464" w14:textId="77777777" w:rsidR="00CE486B" w:rsidRPr="00170648" w:rsidRDefault="00CE486B" w:rsidP="00BB5B01">
            <w:pPr>
              <w:jc w:val="center"/>
              <w:rPr>
                <w:rFonts w:ascii="Times New Roman" w:hAnsi="Times New Roman" w:cs="Times New Roman"/>
                <w:sz w:val="20"/>
                <w:szCs w:val="20"/>
              </w:rPr>
            </w:pPr>
            <w:r>
              <w:rPr>
                <w:rFonts w:ascii="Times New Roman" w:hAnsi="Times New Roman" w:cs="Times New Roman"/>
                <w:sz w:val="20"/>
                <w:szCs w:val="20"/>
              </w:rPr>
              <w:t>g</w:t>
            </w:r>
          </w:p>
        </w:tc>
        <w:tc>
          <w:tcPr>
            <w:tcW w:w="5794" w:type="dxa"/>
            <w:tcBorders>
              <w:top w:val="single" w:sz="4" w:space="0" w:color="auto"/>
              <w:left w:val="nil"/>
              <w:bottom w:val="single" w:sz="4" w:space="0" w:color="auto"/>
              <w:right w:val="nil"/>
            </w:tcBorders>
            <w:vAlign w:val="center"/>
          </w:tcPr>
          <w:p w14:paraId="1DC76823" w14:textId="52BA5E85" w:rsidR="00CE486B" w:rsidRPr="00170648" w:rsidRDefault="004814B3" w:rsidP="00D95F01">
            <w:pPr>
              <w:rPr>
                <w:rFonts w:ascii="Times New Roman" w:hAnsi="Times New Roman" w:cs="Times New Roman"/>
                <w:sz w:val="20"/>
                <w:szCs w:val="20"/>
              </w:rPr>
            </w:pPr>
            <w:r>
              <w:rPr>
                <w:rFonts w:ascii="Times New Roman" w:hAnsi="Times New Roman" w:cs="Times New Roman"/>
                <w:sz w:val="20"/>
                <w:szCs w:val="20"/>
              </w:rPr>
              <w:t xml:space="preserve"> Wholegrain carbohydrates included to represent </w:t>
            </w:r>
            <w:proofErr w:type="spellStart"/>
            <w:r>
              <w:rPr>
                <w:rFonts w:ascii="Times New Roman" w:hAnsi="Times New Roman" w:cs="Times New Roman"/>
                <w:sz w:val="20"/>
                <w:szCs w:val="20"/>
              </w:rPr>
              <w:t>macronnutrient</w:t>
            </w:r>
            <w:proofErr w:type="spellEnd"/>
            <w:r>
              <w:rPr>
                <w:rFonts w:ascii="Times New Roman" w:hAnsi="Times New Roman" w:cs="Times New Roman"/>
                <w:sz w:val="20"/>
                <w:szCs w:val="20"/>
              </w:rPr>
              <w:t xml:space="preserve"> for overall dietary balance but is </w:t>
            </w:r>
            <w:r w:rsidR="00CE486B" w:rsidRPr="00170648">
              <w:rPr>
                <w:rFonts w:ascii="Times New Roman" w:hAnsi="Times New Roman" w:cs="Times New Roman"/>
                <w:sz w:val="20"/>
                <w:szCs w:val="20"/>
              </w:rPr>
              <w:t xml:space="preserve">more relevant </w:t>
            </w:r>
            <w:r>
              <w:rPr>
                <w:rFonts w:ascii="Times New Roman" w:hAnsi="Times New Roman" w:cs="Times New Roman"/>
                <w:sz w:val="20"/>
                <w:szCs w:val="20"/>
              </w:rPr>
              <w:t>to health</w:t>
            </w:r>
            <w:r w:rsidR="00632147">
              <w:rPr>
                <w:rFonts w:ascii="Times New Roman" w:hAnsi="Times New Roman" w:cs="Times New Roman"/>
                <w:sz w:val="20"/>
                <w:szCs w:val="20"/>
              </w:rPr>
              <w:t xml:space="preserve"> outcomes </w:t>
            </w:r>
            <w:r w:rsidR="00CE486B" w:rsidRPr="00170648">
              <w:rPr>
                <w:rFonts w:ascii="Times New Roman" w:hAnsi="Times New Roman" w:cs="Times New Roman"/>
                <w:sz w:val="20"/>
                <w:szCs w:val="20"/>
              </w:rPr>
              <w:t>than overall carbohydrate intake</w:t>
            </w:r>
            <w:r w:rsidR="00374CAC">
              <w:rPr>
                <w:rFonts w:ascii="Times New Roman" w:hAnsi="Times New Roman" w:cs="Times New Roman"/>
                <w:sz w:val="20"/>
                <w:szCs w:val="20"/>
              </w:rPr>
              <w:t xml:space="preserve"> which is considered neither beneficial nor detrimental to </w:t>
            </w:r>
            <w:proofErr w:type="gramStart"/>
            <w:r w:rsidR="00374CAC">
              <w:rPr>
                <w:rFonts w:ascii="Times New Roman" w:hAnsi="Times New Roman" w:cs="Times New Roman"/>
                <w:sz w:val="20"/>
                <w:szCs w:val="20"/>
              </w:rPr>
              <w:t>health</w:t>
            </w:r>
            <w:r w:rsidR="006C0D87" w:rsidRPr="00270A54">
              <w:rPr>
                <w:rFonts w:ascii="Times New Roman" w:hAnsi="Times New Roman" w:cs="Times New Roman"/>
                <w:sz w:val="20"/>
                <w:szCs w:val="20"/>
                <w:vertAlign w:val="superscript"/>
              </w:rPr>
              <w:t>(</w:t>
            </w:r>
            <w:proofErr w:type="gramEnd"/>
            <w:r w:rsidR="008E709C">
              <w:rPr>
                <w:rFonts w:ascii="Times New Roman" w:hAnsi="Times New Roman" w:cs="Times New Roman"/>
                <w:sz w:val="20"/>
                <w:szCs w:val="20"/>
                <w:vertAlign w:val="superscript"/>
              </w:rPr>
              <w:t>6</w:t>
            </w:r>
            <w:r w:rsidR="006C0D87" w:rsidRPr="00270A54">
              <w:rPr>
                <w:rFonts w:ascii="Times New Roman" w:hAnsi="Times New Roman" w:cs="Times New Roman"/>
                <w:sz w:val="20"/>
                <w:szCs w:val="20"/>
                <w:vertAlign w:val="superscript"/>
              </w:rPr>
              <w:t>)</w:t>
            </w:r>
            <w:r w:rsidR="00CE486B" w:rsidRPr="00170648">
              <w:rPr>
                <w:rFonts w:ascii="Times New Roman" w:hAnsi="Times New Roman" w:cs="Times New Roman"/>
                <w:sz w:val="20"/>
                <w:szCs w:val="20"/>
              </w:rPr>
              <w:t>.</w:t>
            </w:r>
          </w:p>
          <w:p w14:paraId="05F2BBFE" w14:textId="77777777" w:rsidR="00CE486B" w:rsidRPr="00170648" w:rsidRDefault="00CE486B" w:rsidP="00D95F01">
            <w:pPr>
              <w:rPr>
                <w:rFonts w:ascii="Times New Roman" w:hAnsi="Times New Roman" w:cs="Times New Roman"/>
                <w:sz w:val="20"/>
                <w:szCs w:val="20"/>
              </w:rPr>
            </w:pPr>
          </w:p>
          <w:p w14:paraId="4C22B85E" w14:textId="56F0BDF1"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Portion sizes as per standard </w:t>
            </w:r>
            <w:proofErr w:type="gramStart"/>
            <w:r w:rsidRPr="00170648">
              <w:rPr>
                <w:rFonts w:ascii="Times New Roman" w:hAnsi="Times New Roman" w:cs="Times New Roman"/>
                <w:sz w:val="20"/>
                <w:szCs w:val="20"/>
              </w:rPr>
              <w:t>recommendations</w:t>
            </w:r>
            <w:r w:rsidRPr="00ED55A2">
              <w:rPr>
                <w:rFonts w:ascii="Times New Roman" w:hAnsi="Times New Roman" w:cs="Times New Roman"/>
                <w:noProof/>
                <w:sz w:val="20"/>
                <w:szCs w:val="20"/>
                <w:vertAlign w:val="superscript"/>
              </w:rPr>
              <w:t>(</w:t>
            </w:r>
            <w:proofErr w:type="gramEnd"/>
            <w:r w:rsidR="005A7C7A" w:rsidRPr="00ED55A2">
              <w:rPr>
                <w:rFonts w:ascii="Times New Roman" w:hAnsi="Times New Roman" w:cs="Times New Roman"/>
                <w:noProof/>
                <w:sz w:val="20"/>
                <w:szCs w:val="20"/>
                <w:vertAlign w:val="superscript"/>
              </w:rPr>
              <w:t>1</w:t>
            </w:r>
            <w:r w:rsidR="008E709C">
              <w:rPr>
                <w:rFonts w:ascii="Times New Roman" w:hAnsi="Times New Roman" w:cs="Times New Roman"/>
                <w:noProof/>
                <w:sz w:val="20"/>
                <w:szCs w:val="20"/>
                <w:vertAlign w:val="superscript"/>
              </w:rPr>
              <w:t>4</w:t>
            </w:r>
            <w:r w:rsidRPr="00ED55A2">
              <w:rPr>
                <w:rFonts w:ascii="Times New Roman" w:hAnsi="Times New Roman" w:cs="Times New Roman"/>
                <w:noProof/>
                <w:sz w:val="20"/>
                <w:szCs w:val="20"/>
                <w:vertAlign w:val="superscript"/>
              </w:rPr>
              <w:t>)</w:t>
            </w:r>
            <w:r w:rsidRPr="00170648">
              <w:rPr>
                <w:rFonts w:ascii="Times New Roman" w:hAnsi="Times New Roman" w:cs="Times New Roman"/>
                <w:sz w:val="20"/>
                <w:szCs w:val="20"/>
              </w:rPr>
              <w:t>.</w:t>
            </w:r>
          </w:p>
        </w:tc>
        <w:tc>
          <w:tcPr>
            <w:tcW w:w="980" w:type="dxa"/>
            <w:tcBorders>
              <w:top w:val="single" w:sz="4" w:space="0" w:color="auto"/>
              <w:left w:val="nil"/>
              <w:bottom w:val="single" w:sz="4" w:space="0" w:color="auto"/>
              <w:right w:val="nil"/>
            </w:tcBorders>
            <w:vAlign w:val="center"/>
          </w:tcPr>
          <w:p w14:paraId="6B07D7B8"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2EA59FB1" w14:textId="77777777" w:rsidTr="00CE486B">
        <w:trPr>
          <w:gridAfter w:val="1"/>
          <w:wAfter w:w="6" w:type="dxa"/>
          <w:trHeight w:val="2390"/>
        </w:trPr>
        <w:tc>
          <w:tcPr>
            <w:tcW w:w="1984" w:type="dxa"/>
            <w:tcBorders>
              <w:top w:val="single" w:sz="4" w:space="0" w:color="auto"/>
              <w:left w:val="nil"/>
              <w:bottom w:val="single" w:sz="4" w:space="0" w:color="auto"/>
              <w:right w:val="nil"/>
            </w:tcBorders>
            <w:vAlign w:val="center"/>
          </w:tcPr>
          <w:p w14:paraId="3A1C388F" w14:textId="77777777" w:rsidR="00CE486B" w:rsidRPr="00170648" w:rsidRDefault="00CE486B" w:rsidP="00BB5B01">
            <w:pPr>
              <w:pStyle w:val="NoSpacing"/>
              <w:rPr>
                <w:rFonts w:ascii="Times New Roman" w:hAnsi="Times New Roman" w:cs="Times New Roman"/>
                <w:sz w:val="20"/>
                <w:szCs w:val="20"/>
              </w:rPr>
            </w:pPr>
            <w:r w:rsidRPr="00170648">
              <w:rPr>
                <w:rFonts w:ascii="Times New Roman" w:hAnsi="Times New Roman" w:cs="Times New Roman"/>
                <w:sz w:val="20"/>
                <w:szCs w:val="20"/>
                <w:lang w:eastAsia="en-GB"/>
              </w:rPr>
              <w:t>Fluid</w:t>
            </w:r>
          </w:p>
        </w:tc>
        <w:tc>
          <w:tcPr>
            <w:tcW w:w="2216" w:type="dxa"/>
            <w:tcBorders>
              <w:top w:val="single" w:sz="4" w:space="0" w:color="auto"/>
              <w:left w:val="nil"/>
              <w:bottom w:val="single" w:sz="4" w:space="0" w:color="auto"/>
              <w:right w:val="nil"/>
            </w:tcBorders>
            <w:vAlign w:val="center"/>
          </w:tcPr>
          <w:p w14:paraId="67B2961F"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≥6 portions/day</w:t>
            </w:r>
          </w:p>
        </w:tc>
        <w:tc>
          <w:tcPr>
            <w:tcW w:w="2744" w:type="dxa"/>
            <w:tcBorders>
              <w:top w:val="single" w:sz="4" w:space="0" w:color="auto"/>
              <w:left w:val="nil"/>
              <w:bottom w:val="single" w:sz="4" w:space="0" w:color="auto"/>
              <w:right w:val="nil"/>
            </w:tcBorders>
            <w:vAlign w:val="center"/>
          </w:tcPr>
          <w:p w14:paraId="49360ABD"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To include all sources of fluid such as water, tea, </w:t>
            </w:r>
            <w:proofErr w:type="gramStart"/>
            <w:r w:rsidRPr="00170648">
              <w:rPr>
                <w:rFonts w:ascii="Times New Roman" w:hAnsi="Times New Roman" w:cs="Times New Roman"/>
                <w:sz w:val="20"/>
                <w:szCs w:val="20"/>
              </w:rPr>
              <w:t>coffee</w:t>
            </w:r>
            <w:proofErr w:type="gramEnd"/>
            <w:r w:rsidRPr="00170648">
              <w:rPr>
                <w:rFonts w:ascii="Times New Roman" w:hAnsi="Times New Roman" w:cs="Times New Roman"/>
                <w:sz w:val="20"/>
                <w:szCs w:val="20"/>
              </w:rPr>
              <w:t xml:space="preserve"> and milk</w:t>
            </w:r>
          </w:p>
          <w:p w14:paraId="3946C895" w14:textId="77777777" w:rsidR="00CE486B" w:rsidRPr="00170648" w:rsidRDefault="00CE486B" w:rsidP="00D95F01">
            <w:pPr>
              <w:rPr>
                <w:rFonts w:ascii="Times New Roman" w:hAnsi="Times New Roman" w:cs="Times New Roman"/>
                <w:sz w:val="20"/>
                <w:szCs w:val="20"/>
              </w:rPr>
            </w:pPr>
          </w:p>
          <w:p w14:paraId="6B89C063"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Only up to 1 portion of fruit or vegetable juice and not including alcohol or sugar sweetened </w:t>
            </w:r>
            <w:proofErr w:type="gramStart"/>
            <w:r w:rsidRPr="00170648">
              <w:rPr>
                <w:rFonts w:ascii="Times New Roman" w:hAnsi="Times New Roman" w:cs="Times New Roman"/>
                <w:sz w:val="20"/>
                <w:szCs w:val="20"/>
              </w:rPr>
              <w:t>beverages</w:t>
            </w:r>
            <w:proofErr w:type="gramEnd"/>
          </w:p>
          <w:p w14:paraId="1EA68204" w14:textId="77777777" w:rsidR="00CE486B" w:rsidRPr="00170648" w:rsidRDefault="00CE486B" w:rsidP="00D95F01">
            <w:pPr>
              <w:rPr>
                <w:rFonts w:ascii="Times New Roman" w:hAnsi="Times New Roman" w:cs="Times New Roman"/>
                <w:sz w:val="20"/>
                <w:szCs w:val="20"/>
              </w:rPr>
            </w:pPr>
          </w:p>
          <w:p w14:paraId="74D6843B" w14:textId="6901451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Portion size 250</w:t>
            </w:r>
            <w:r>
              <w:rPr>
                <w:rFonts w:ascii="Times New Roman" w:hAnsi="Times New Roman" w:cs="Times New Roman"/>
                <w:sz w:val="20"/>
                <w:szCs w:val="20"/>
              </w:rPr>
              <w:t xml:space="preserve"> </w:t>
            </w:r>
            <w:r w:rsidRPr="00170648">
              <w:rPr>
                <w:rFonts w:ascii="Times New Roman" w:hAnsi="Times New Roman" w:cs="Times New Roman"/>
                <w:sz w:val="20"/>
                <w:szCs w:val="20"/>
              </w:rPr>
              <w:t>m</w:t>
            </w:r>
            <w:r>
              <w:rPr>
                <w:rFonts w:ascii="Times New Roman" w:hAnsi="Times New Roman" w:cs="Times New Roman"/>
                <w:sz w:val="20"/>
                <w:szCs w:val="20"/>
              </w:rPr>
              <w:t>L</w:t>
            </w:r>
          </w:p>
        </w:tc>
        <w:tc>
          <w:tcPr>
            <w:tcW w:w="904" w:type="dxa"/>
            <w:tcBorders>
              <w:top w:val="single" w:sz="4" w:space="0" w:color="auto"/>
              <w:left w:val="nil"/>
              <w:bottom w:val="single" w:sz="4" w:space="0" w:color="auto"/>
              <w:right w:val="nil"/>
            </w:tcBorders>
            <w:vAlign w:val="center"/>
          </w:tcPr>
          <w:p w14:paraId="649BAEC9" w14:textId="77777777" w:rsidR="00CE486B" w:rsidRPr="00170648" w:rsidRDefault="00CE486B" w:rsidP="00BB5B01">
            <w:pPr>
              <w:jc w:val="center"/>
              <w:rPr>
                <w:rFonts w:ascii="Times New Roman" w:hAnsi="Times New Roman" w:cs="Times New Roman"/>
                <w:sz w:val="20"/>
                <w:szCs w:val="20"/>
              </w:rPr>
            </w:pPr>
            <w:r>
              <w:rPr>
                <w:rFonts w:ascii="Times New Roman" w:hAnsi="Times New Roman" w:cs="Times New Roman"/>
                <w:sz w:val="20"/>
                <w:szCs w:val="20"/>
              </w:rPr>
              <w:t>mL</w:t>
            </w:r>
          </w:p>
        </w:tc>
        <w:tc>
          <w:tcPr>
            <w:tcW w:w="5794" w:type="dxa"/>
            <w:tcBorders>
              <w:top w:val="single" w:sz="4" w:space="0" w:color="auto"/>
              <w:left w:val="nil"/>
              <w:bottom w:val="single" w:sz="4" w:space="0" w:color="auto"/>
              <w:right w:val="nil"/>
            </w:tcBorders>
            <w:vAlign w:val="center"/>
          </w:tcPr>
          <w:p w14:paraId="6670C37F" w14:textId="7C69393E" w:rsidR="00CE486B" w:rsidRPr="00D63DF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Fruit juice, alcohol and sugar sweetened beverages limited due to adverse health effects from high sugar </w:t>
            </w:r>
            <w:proofErr w:type="gramStart"/>
            <w:r w:rsidRPr="00170648">
              <w:rPr>
                <w:rFonts w:ascii="Times New Roman" w:hAnsi="Times New Roman" w:cs="Times New Roman"/>
                <w:sz w:val="20"/>
                <w:szCs w:val="20"/>
              </w:rPr>
              <w:t>consumption</w:t>
            </w:r>
            <w:r w:rsidRPr="00ED55A2">
              <w:rPr>
                <w:rFonts w:ascii="Times New Roman" w:hAnsi="Times New Roman" w:cs="Times New Roman"/>
                <w:noProof/>
                <w:sz w:val="20"/>
                <w:szCs w:val="20"/>
                <w:vertAlign w:val="superscript"/>
              </w:rPr>
              <w:t>(</w:t>
            </w:r>
            <w:proofErr w:type="gramEnd"/>
            <w:r w:rsidR="008E709C">
              <w:rPr>
                <w:rFonts w:ascii="Times New Roman" w:hAnsi="Times New Roman" w:cs="Times New Roman"/>
                <w:sz w:val="20"/>
                <w:szCs w:val="20"/>
                <w:vertAlign w:val="superscript"/>
              </w:rPr>
              <w:t>6</w:t>
            </w:r>
            <w:r w:rsidRPr="00ED55A2">
              <w:rPr>
                <w:rFonts w:ascii="Times New Roman" w:hAnsi="Times New Roman" w:cs="Times New Roman"/>
                <w:noProof/>
                <w:sz w:val="20"/>
                <w:szCs w:val="20"/>
                <w:vertAlign w:val="superscript"/>
              </w:rPr>
              <w:t>)</w:t>
            </w:r>
            <w:r w:rsidR="009F3023">
              <w:rPr>
                <w:rFonts w:ascii="Times New Roman" w:hAnsi="Times New Roman" w:cs="Times New Roman"/>
                <w:noProof/>
                <w:sz w:val="20"/>
                <w:szCs w:val="20"/>
              </w:rPr>
              <w:t xml:space="preserve"> </w:t>
            </w:r>
            <w:r w:rsidRPr="00170648">
              <w:rPr>
                <w:rFonts w:ascii="Times New Roman" w:hAnsi="Times New Roman" w:cs="Times New Roman"/>
                <w:sz w:val="20"/>
                <w:szCs w:val="20"/>
              </w:rPr>
              <w:t>and excess alcohol intake. Not including fluid from foods</w:t>
            </w:r>
            <w:r w:rsidR="00C610B3">
              <w:rPr>
                <w:rFonts w:ascii="Times New Roman" w:hAnsi="Times New Roman" w:cs="Times New Roman"/>
                <w:sz w:val="20"/>
                <w:szCs w:val="20"/>
              </w:rPr>
              <w:t>, although additional fluid from foods will help</w:t>
            </w:r>
            <w:r w:rsidR="00EE4295">
              <w:rPr>
                <w:rFonts w:ascii="Times New Roman" w:hAnsi="Times New Roman" w:cs="Times New Roman"/>
                <w:sz w:val="20"/>
                <w:szCs w:val="20"/>
              </w:rPr>
              <w:t xml:space="preserve"> contribute to meeting fluid recommendations</w:t>
            </w:r>
            <w:r w:rsidRPr="00170648">
              <w:rPr>
                <w:rFonts w:ascii="Times New Roman" w:hAnsi="Times New Roman" w:cs="Times New Roman"/>
                <w:sz w:val="20"/>
                <w:szCs w:val="20"/>
              </w:rPr>
              <w:t>.</w:t>
            </w:r>
            <w:r w:rsidR="00675B80">
              <w:rPr>
                <w:rFonts w:ascii="Times New Roman" w:hAnsi="Times New Roman" w:cs="Times New Roman"/>
                <w:sz w:val="20"/>
                <w:szCs w:val="20"/>
              </w:rPr>
              <w:t xml:space="preserve"> All other sources of fluid included are those promoted in the UK </w:t>
            </w:r>
            <w:r w:rsidR="00675B80">
              <w:rPr>
                <w:rFonts w:ascii="Times New Roman" w:hAnsi="Times New Roman" w:cs="Times New Roman"/>
                <w:i/>
                <w:iCs/>
                <w:sz w:val="20"/>
                <w:szCs w:val="20"/>
              </w:rPr>
              <w:t xml:space="preserve">Eatwell </w:t>
            </w:r>
            <w:proofErr w:type="gramStart"/>
            <w:r w:rsidR="00675B80">
              <w:rPr>
                <w:rFonts w:ascii="Times New Roman" w:hAnsi="Times New Roman" w:cs="Times New Roman"/>
                <w:i/>
                <w:iCs/>
                <w:sz w:val="20"/>
                <w:szCs w:val="20"/>
              </w:rPr>
              <w:t>guide</w:t>
            </w:r>
            <w:r w:rsidR="0094306A" w:rsidRPr="00ED55A2">
              <w:rPr>
                <w:rFonts w:ascii="Times New Roman" w:hAnsi="Times New Roman" w:cs="Times New Roman"/>
                <w:sz w:val="20"/>
                <w:szCs w:val="20"/>
                <w:vertAlign w:val="superscript"/>
              </w:rPr>
              <w:t>(</w:t>
            </w:r>
            <w:proofErr w:type="gramEnd"/>
            <w:r w:rsidR="00951527">
              <w:rPr>
                <w:rFonts w:ascii="Times New Roman" w:hAnsi="Times New Roman" w:cs="Times New Roman"/>
                <w:sz w:val="20"/>
                <w:szCs w:val="20"/>
                <w:vertAlign w:val="superscript"/>
              </w:rPr>
              <w:t>5</w:t>
            </w:r>
            <w:r w:rsidR="0094306A" w:rsidRPr="00ED55A2">
              <w:rPr>
                <w:rFonts w:ascii="Times New Roman" w:hAnsi="Times New Roman" w:cs="Times New Roman"/>
                <w:sz w:val="20"/>
                <w:szCs w:val="20"/>
                <w:vertAlign w:val="superscript"/>
              </w:rPr>
              <w:t>)</w:t>
            </w:r>
            <w:r w:rsidR="00D63DF8">
              <w:rPr>
                <w:rFonts w:ascii="Times New Roman" w:hAnsi="Times New Roman" w:cs="Times New Roman"/>
                <w:i/>
                <w:iCs/>
                <w:sz w:val="20"/>
                <w:szCs w:val="20"/>
              </w:rPr>
              <w:t xml:space="preserve">. </w:t>
            </w:r>
            <w:r w:rsidR="00D63DF8">
              <w:rPr>
                <w:rFonts w:ascii="Times New Roman" w:hAnsi="Times New Roman" w:cs="Times New Roman"/>
                <w:sz w:val="20"/>
                <w:szCs w:val="20"/>
              </w:rPr>
              <w:t xml:space="preserve">Associations with health may potentially differ but component aimed at recognising fluid intake rather than accounting for </w:t>
            </w:r>
            <w:r w:rsidR="0094306A">
              <w:rPr>
                <w:rFonts w:ascii="Times New Roman" w:hAnsi="Times New Roman" w:cs="Times New Roman"/>
                <w:sz w:val="20"/>
                <w:szCs w:val="20"/>
              </w:rPr>
              <w:t xml:space="preserve">health effects of </w:t>
            </w:r>
            <w:r w:rsidR="00D63DF8">
              <w:rPr>
                <w:rFonts w:ascii="Times New Roman" w:hAnsi="Times New Roman" w:cs="Times New Roman"/>
                <w:sz w:val="20"/>
                <w:szCs w:val="20"/>
              </w:rPr>
              <w:t xml:space="preserve">caffeine or dairy. </w:t>
            </w:r>
          </w:p>
          <w:p w14:paraId="0F08DF1E" w14:textId="77777777" w:rsidR="00CE486B" w:rsidRPr="00170648" w:rsidRDefault="00CE486B" w:rsidP="00D95F01">
            <w:pPr>
              <w:rPr>
                <w:rFonts w:ascii="Times New Roman" w:hAnsi="Times New Roman" w:cs="Times New Roman"/>
                <w:sz w:val="20"/>
                <w:szCs w:val="20"/>
              </w:rPr>
            </w:pPr>
          </w:p>
          <w:p w14:paraId="62643EAA" w14:textId="40C0C40A"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This component is unique to these indexes</w:t>
            </w:r>
            <w:r w:rsidR="002451FA">
              <w:rPr>
                <w:rFonts w:ascii="Times New Roman" w:hAnsi="Times New Roman" w:cs="Times New Roman"/>
                <w:sz w:val="20"/>
                <w:szCs w:val="20"/>
              </w:rPr>
              <w:t xml:space="preserve">, included as our previous review concluded sufficient fluid intake should be emphasised in this age </w:t>
            </w:r>
            <w:proofErr w:type="gramStart"/>
            <w:r w:rsidR="002451FA">
              <w:rPr>
                <w:rFonts w:ascii="Times New Roman" w:hAnsi="Times New Roman" w:cs="Times New Roman"/>
                <w:sz w:val="20"/>
                <w:szCs w:val="20"/>
              </w:rPr>
              <w:t>group</w:t>
            </w:r>
            <w:r w:rsidR="002451FA" w:rsidRPr="00ED55A2">
              <w:rPr>
                <w:rFonts w:ascii="Times New Roman" w:hAnsi="Times New Roman" w:cs="Times New Roman"/>
                <w:sz w:val="20"/>
                <w:szCs w:val="20"/>
                <w:vertAlign w:val="superscript"/>
              </w:rPr>
              <w:t>(</w:t>
            </w:r>
            <w:proofErr w:type="gramEnd"/>
            <w:r w:rsidR="00951527">
              <w:rPr>
                <w:rFonts w:ascii="Times New Roman" w:hAnsi="Times New Roman" w:cs="Times New Roman"/>
                <w:sz w:val="20"/>
                <w:szCs w:val="20"/>
                <w:vertAlign w:val="superscript"/>
              </w:rPr>
              <w:t>27</w:t>
            </w:r>
            <w:r w:rsidR="002451FA" w:rsidRPr="00ED55A2">
              <w:rPr>
                <w:rFonts w:ascii="Times New Roman" w:hAnsi="Times New Roman" w:cs="Times New Roman"/>
                <w:sz w:val="20"/>
                <w:szCs w:val="20"/>
                <w:vertAlign w:val="superscript"/>
              </w:rPr>
              <w:t>)</w:t>
            </w:r>
            <w:r w:rsidR="002451FA">
              <w:rPr>
                <w:rFonts w:ascii="Times New Roman" w:hAnsi="Times New Roman" w:cs="Times New Roman"/>
                <w:sz w:val="20"/>
                <w:szCs w:val="20"/>
              </w:rPr>
              <w:t xml:space="preserve">. </w:t>
            </w:r>
          </w:p>
        </w:tc>
        <w:tc>
          <w:tcPr>
            <w:tcW w:w="980" w:type="dxa"/>
            <w:tcBorders>
              <w:top w:val="single" w:sz="4" w:space="0" w:color="auto"/>
              <w:left w:val="nil"/>
              <w:bottom w:val="single" w:sz="4" w:space="0" w:color="auto"/>
              <w:right w:val="nil"/>
            </w:tcBorders>
            <w:vAlign w:val="center"/>
          </w:tcPr>
          <w:p w14:paraId="3AC4E583"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D93DE5" w:rsidRPr="00170648" w14:paraId="6CB1DDCF" w14:textId="77777777" w:rsidTr="00D93DE5">
        <w:trPr>
          <w:gridAfter w:val="1"/>
          <w:wAfter w:w="6" w:type="dxa"/>
          <w:trHeight w:val="454"/>
        </w:trPr>
        <w:tc>
          <w:tcPr>
            <w:tcW w:w="14622" w:type="dxa"/>
            <w:gridSpan w:val="6"/>
            <w:tcBorders>
              <w:top w:val="single" w:sz="4" w:space="0" w:color="auto"/>
              <w:left w:val="nil"/>
              <w:bottom w:val="single" w:sz="4" w:space="0" w:color="auto"/>
              <w:right w:val="nil"/>
            </w:tcBorders>
            <w:vAlign w:val="center"/>
          </w:tcPr>
          <w:p w14:paraId="372A4BFC" w14:textId="0382468F" w:rsidR="00D93DE5" w:rsidRPr="00170648" w:rsidRDefault="00D93DE5" w:rsidP="00D95F01">
            <w:pPr>
              <w:rPr>
                <w:rFonts w:ascii="Times New Roman" w:hAnsi="Times New Roman" w:cs="Times New Roman"/>
                <w:sz w:val="20"/>
                <w:szCs w:val="20"/>
                <w:lang w:eastAsia="en-GB"/>
              </w:rPr>
            </w:pPr>
            <w:r w:rsidRPr="00170648">
              <w:rPr>
                <w:rFonts w:ascii="Times New Roman" w:hAnsi="Times New Roman" w:cs="Times New Roman"/>
                <w:b/>
                <w:sz w:val="20"/>
                <w:szCs w:val="20"/>
                <w:lang w:eastAsia="en-GB"/>
              </w:rPr>
              <w:lastRenderedPageBreak/>
              <w:t xml:space="preserve">Components only in </w:t>
            </w:r>
            <w:r w:rsidR="00BF6C28">
              <w:rPr>
                <w:rFonts w:ascii="Times New Roman" w:hAnsi="Times New Roman" w:cs="Times New Roman"/>
                <w:b/>
                <w:sz w:val="20"/>
                <w:szCs w:val="20"/>
                <w:lang w:eastAsia="en-GB"/>
              </w:rPr>
              <w:t>FDQI</w:t>
            </w:r>
            <w:r w:rsidRPr="00170648">
              <w:rPr>
                <w:rFonts w:ascii="Times New Roman" w:hAnsi="Times New Roman" w:cs="Times New Roman"/>
                <w:b/>
                <w:sz w:val="20"/>
                <w:szCs w:val="20"/>
                <w:lang w:eastAsia="en-GB"/>
              </w:rPr>
              <w:t>-65+</w:t>
            </w:r>
            <w:r>
              <w:rPr>
                <w:rFonts w:ascii="Times New Roman" w:hAnsi="Times New Roman" w:cs="Times New Roman"/>
                <w:b/>
                <w:sz w:val="20"/>
                <w:szCs w:val="20"/>
                <w:lang w:eastAsia="en-GB"/>
              </w:rPr>
              <w:t>PA and N</w:t>
            </w:r>
            <w:r w:rsidR="00BF6C28">
              <w:rPr>
                <w:rFonts w:ascii="Times New Roman" w:hAnsi="Times New Roman" w:cs="Times New Roman"/>
                <w:b/>
                <w:sz w:val="20"/>
                <w:szCs w:val="20"/>
                <w:lang w:eastAsia="en-GB"/>
              </w:rPr>
              <w:t>FDQI</w:t>
            </w:r>
            <w:r>
              <w:rPr>
                <w:rFonts w:ascii="Times New Roman" w:hAnsi="Times New Roman" w:cs="Times New Roman"/>
                <w:b/>
                <w:sz w:val="20"/>
                <w:szCs w:val="20"/>
                <w:lang w:eastAsia="en-GB"/>
              </w:rPr>
              <w:t>-65+PA</w:t>
            </w:r>
          </w:p>
        </w:tc>
      </w:tr>
      <w:tr w:rsidR="00CE486B" w:rsidRPr="00170648" w14:paraId="12626DC8" w14:textId="77777777" w:rsidTr="00CE486B">
        <w:trPr>
          <w:gridAfter w:val="1"/>
          <w:wAfter w:w="6" w:type="dxa"/>
          <w:trHeight w:val="274"/>
        </w:trPr>
        <w:tc>
          <w:tcPr>
            <w:tcW w:w="1984" w:type="dxa"/>
            <w:tcBorders>
              <w:top w:val="single" w:sz="4" w:space="0" w:color="auto"/>
              <w:left w:val="nil"/>
              <w:bottom w:val="single" w:sz="4" w:space="0" w:color="auto"/>
              <w:right w:val="nil"/>
            </w:tcBorders>
            <w:vAlign w:val="center"/>
          </w:tcPr>
          <w:p w14:paraId="22EC1F9F"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Physical activity</w:t>
            </w:r>
          </w:p>
        </w:tc>
        <w:tc>
          <w:tcPr>
            <w:tcW w:w="2216" w:type="dxa"/>
            <w:tcBorders>
              <w:top w:val="single" w:sz="4" w:space="0" w:color="auto"/>
              <w:left w:val="nil"/>
              <w:bottom w:val="single" w:sz="4" w:space="0" w:color="auto"/>
              <w:right w:val="nil"/>
            </w:tcBorders>
            <w:vAlign w:val="center"/>
          </w:tcPr>
          <w:p w14:paraId="5785D3D4"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≥20 minutes/day moderate activity</w:t>
            </w:r>
          </w:p>
        </w:tc>
        <w:tc>
          <w:tcPr>
            <w:tcW w:w="2744" w:type="dxa"/>
            <w:tcBorders>
              <w:top w:val="single" w:sz="4" w:space="0" w:color="auto"/>
              <w:left w:val="nil"/>
              <w:bottom w:val="single" w:sz="4" w:space="0" w:color="auto"/>
              <w:right w:val="nil"/>
            </w:tcBorders>
            <w:vAlign w:val="center"/>
          </w:tcPr>
          <w:p w14:paraId="441C4747"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Includes walking, cycling, swimming, dancing, gardening, and other active leisure</w:t>
            </w:r>
            <w:r w:rsidRPr="00170648">
              <w:rPr>
                <w:rFonts w:ascii="Times New Roman" w:hAnsi="Times New Roman" w:cs="Times New Roman"/>
                <w:sz w:val="20"/>
                <w:szCs w:val="20"/>
                <w:lang w:eastAsia="en-GB"/>
              </w:rPr>
              <w:t xml:space="preserve"> pursuits</w:t>
            </w:r>
          </w:p>
        </w:tc>
        <w:tc>
          <w:tcPr>
            <w:tcW w:w="904" w:type="dxa"/>
            <w:tcBorders>
              <w:top w:val="single" w:sz="4" w:space="0" w:color="auto"/>
              <w:left w:val="nil"/>
              <w:bottom w:val="single" w:sz="4" w:space="0" w:color="auto"/>
              <w:right w:val="nil"/>
            </w:tcBorders>
            <w:vAlign w:val="center"/>
          </w:tcPr>
          <w:p w14:paraId="0BE751C7"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minutes</w:t>
            </w:r>
          </w:p>
        </w:tc>
        <w:tc>
          <w:tcPr>
            <w:tcW w:w="5794" w:type="dxa"/>
            <w:tcBorders>
              <w:top w:val="single" w:sz="4" w:space="0" w:color="auto"/>
              <w:left w:val="nil"/>
              <w:bottom w:val="single" w:sz="4" w:space="0" w:color="auto"/>
              <w:right w:val="nil"/>
            </w:tcBorders>
            <w:vAlign w:val="center"/>
          </w:tcPr>
          <w:p w14:paraId="4A546F80" w14:textId="0CF3EF2A" w:rsidR="00CE486B" w:rsidRPr="00636314" w:rsidRDefault="00CE486B" w:rsidP="00D95F01">
            <w:pPr>
              <w:rPr>
                <w:rFonts w:ascii="Times New Roman" w:hAnsi="Times New Roman" w:cs="Times New Roman"/>
                <w:sz w:val="20"/>
                <w:szCs w:val="20"/>
              </w:rPr>
            </w:pPr>
            <w:r w:rsidRPr="00636314">
              <w:rPr>
                <w:rFonts w:ascii="Times New Roman" w:hAnsi="Times New Roman" w:cs="Times New Roman"/>
                <w:sz w:val="20"/>
                <w:szCs w:val="20"/>
              </w:rPr>
              <w:t xml:space="preserve">Recommendation as per current UK advice of 150 minutes of moderate intensity physical activity each </w:t>
            </w:r>
            <w:proofErr w:type="gramStart"/>
            <w:r w:rsidRPr="00636314">
              <w:rPr>
                <w:rFonts w:ascii="Times New Roman" w:hAnsi="Times New Roman" w:cs="Times New Roman"/>
                <w:sz w:val="20"/>
                <w:szCs w:val="20"/>
              </w:rPr>
              <w:t>week</w:t>
            </w:r>
            <w:r w:rsidRPr="00ED55A2">
              <w:rPr>
                <w:rFonts w:ascii="Times New Roman" w:hAnsi="Times New Roman" w:cs="Times New Roman"/>
                <w:noProof/>
                <w:sz w:val="20"/>
                <w:szCs w:val="20"/>
                <w:vertAlign w:val="superscript"/>
              </w:rPr>
              <w:t>(</w:t>
            </w:r>
            <w:proofErr w:type="gramEnd"/>
            <w:r w:rsidR="006A3128">
              <w:rPr>
                <w:rFonts w:ascii="Times New Roman" w:hAnsi="Times New Roman" w:cs="Times New Roman"/>
                <w:noProof/>
                <w:sz w:val="20"/>
                <w:szCs w:val="20"/>
                <w:vertAlign w:val="superscript"/>
              </w:rPr>
              <w:t>28</w:t>
            </w:r>
            <w:r w:rsidRPr="00ED55A2">
              <w:rPr>
                <w:rFonts w:ascii="Times New Roman" w:hAnsi="Times New Roman" w:cs="Times New Roman"/>
                <w:noProof/>
                <w:sz w:val="20"/>
                <w:szCs w:val="20"/>
                <w:vertAlign w:val="superscript"/>
              </w:rPr>
              <w:t>)</w:t>
            </w:r>
            <w:r w:rsidRPr="00636314">
              <w:rPr>
                <w:rFonts w:ascii="Times New Roman" w:hAnsi="Times New Roman" w:cs="Times New Roman"/>
                <w:sz w:val="20"/>
                <w:szCs w:val="20"/>
              </w:rPr>
              <w:t>, with inclusion of a</w:t>
            </w:r>
            <w:r w:rsidR="007377ED">
              <w:rPr>
                <w:rFonts w:ascii="Times New Roman" w:hAnsi="Times New Roman" w:cs="Times New Roman"/>
                <w:sz w:val="20"/>
                <w:szCs w:val="20"/>
              </w:rPr>
              <w:t xml:space="preserve">ge-associated </w:t>
            </w:r>
            <w:r w:rsidRPr="00636314">
              <w:rPr>
                <w:rFonts w:ascii="Times New Roman" w:hAnsi="Times New Roman" w:cs="Times New Roman"/>
                <w:sz w:val="20"/>
                <w:szCs w:val="20"/>
              </w:rPr>
              <w:t>activ</w:t>
            </w:r>
            <w:r w:rsidR="007377ED">
              <w:rPr>
                <w:rFonts w:ascii="Times New Roman" w:hAnsi="Times New Roman" w:cs="Times New Roman"/>
                <w:sz w:val="20"/>
                <w:szCs w:val="20"/>
              </w:rPr>
              <w:t xml:space="preserve">ities </w:t>
            </w:r>
            <w:r w:rsidRPr="00636314">
              <w:rPr>
                <w:rFonts w:ascii="Times New Roman" w:hAnsi="Times New Roman" w:cs="Times New Roman"/>
                <w:sz w:val="20"/>
                <w:szCs w:val="20"/>
              </w:rPr>
              <w:t xml:space="preserve">to </w:t>
            </w:r>
            <w:r w:rsidR="007377ED">
              <w:rPr>
                <w:rFonts w:ascii="Times New Roman" w:hAnsi="Times New Roman" w:cs="Times New Roman"/>
                <w:sz w:val="20"/>
                <w:szCs w:val="20"/>
              </w:rPr>
              <w:t>account for likely reduced mobility with age and to appraise engagement by individuals of diverse levels of functional capacity</w:t>
            </w:r>
            <w:r w:rsidRPr="00636314">
              <w:rPr>
                <w:rFonts w:ascii="Times New Roman" w:hAnsi="Times New Roman" w:cs="Times New Roman"/>
                <w:sz w:val="20"/>
                <w:szCs w:val="20"/>
              </w:rPr>
              <w:t xml:space="preserve">. Aerobic training measured as it is associated with reduced body mass and waist circumference and an increase in functional fitness and </w:t>
            </w:r>
            <w:proofErr w:type="gramStart"/>
            <w:r w:rsidRPr="00636314">
              <w:rPr>
                <w:rFonts w:ascii="Times New Roman" w:hAnsi="Times New Roman" w:cs="Times New Roman"/>
                <w:sz w:val="20"/>
                <w:szCs w:val="20"/>
              </w:rPr>
              <w:t>endurance</w:t>
            </w:r>
            <w:r w:rsidRPr="00ED55A2">
              <w:rPr>
                <w:rFonts w:ascii="Times New Roman" w:hAnsi="Times New Roman" w:cs="Times New Roman"/>
                <w:noProof/>
                <w:sz w:val="20"/>
                <w:szCs w:val="20"/>
                <w:vertAlign w:val="superscript"/>
              </w:rPr>
              <w:t>(</w:t>
            </w:r>
            <w:proofErr w:type="gramEnd"/>
            <w:r w:rsidR="006A3128">
              <w:rPr>
                <w:rFonts w:ascii="Times New Roman" w:hAnsi="Times New Roman" w:cs="Times New Roman"/>
                <w:noProof/>
                <w:sz w:val="20"/>
                <w:szCs w:val="20"/>
                <w:vertAlign w:val="superscript"/>
              </w:rPr>
              <w:t>29</w:t>
            </w:r>
            <w:r w:rsidRPr="00ED55A2">
              <w:rPr>
                <w:rFonts w:ascii="Times New Roman" w:hAnsi="Times New Roman" w:cs="Times New Roman"/>
                <w:noProof/>
                <w:sz w:val="20"/>
                <w:szCs w:val="20"/>
                <w:vertAlign w:val="superscript"/>
              </w:rPr>
              <w:t>)</w:t>
            </w:r>
            <w:r w:rsidRPr="00636314">
              <w:rPr>
                <w:rFonts w:ascii="Times New Roman" w:hAnsi="Times New Roman" w:cs="Times New Roman"/>
                <w:sz w:val="20"/>
                <w:szCs w:val="20"/>
              </w:rPr>
              <w:t xml:space="preserve">. </w:t>
            </w:r>
          </w:p>
          <w:p w14:paraId="24466BFA" w14:textId="77777777" w:rsidR="00CE486B" w:rsidRPr="00636314" w:rsidRDefault="00CE486B" w:rsidP="00D95F01">
            <w:pPr>
              <w:rPr>
                <w:rFonts w:ascii="Times New Roman" w:hAnsi="Times New Roman" w:cs="Times New Roman"/>
                <w:sz w:val="20"/>
                <w:szCs w:val="20"/>
              </w:rPr>
            </w:pPr>
          </w:p>
          <w:p w14:paraId="3CA90D91" w14:textId="5D6743BB" w:rsidR="00CE486B" w:rsidRPr="00170648" w:rsidRDefault="00CE486B" w:rsidP="00D95F01">
            <w:pPr>
              <w:rPr>
                <w:rFonts w:ascii="Times New Roman" w:hAnsi="Times New Roman" w:cs="Times New Roman"/>
                <w:sz w:val="20"/>
                <w:szCs w:val="20"/>
              </w:rPr>
            </w:pPr>
            <w:r w:rsidRPr="00636314">
              <w:rPr>
                <w:rFonts w:ascii="Times New Roman" w:hAnsi="Times New Roman" w:cs="Times New Roman"/>
                <w:sz w:val="20"/>
                <w:szCs w:val="20"/>
              </w:rPr>
              <w:t xml:space="preserve">Guideline set per day to prevent a compensatory decline in physical activity after intense training, muscle wastage from prolonged sedentary behaviour and to ensure maximum benefit from acute effects of physical activity including alterations in glucose metabolism and reduced blood </w:t>
            </w:r>
            <w:proofErr w:type="gramStart"/>
            <w:r w:rsidRPr="00636314">
              <w:rPr>
                <w:rFonts w:ascii="Times New Roman" w:hAnsi="Times New Roman" w:cs="Times New Roman"/>
                <w:sz w:val="20"/>
                <w:szCs w:val="20"/>
              </w:rPr>
              <w:t>pressure</w:t>
            </w:r>
            <w:r w:rsidRPr="00ED55A2">
              <w:rPr>
                <w:rFonts w:ascii="Times New Roman" w:hAnsi="Times New Roman" w:cs="Times New Roman"/>
                <w:noProof/>
                <w:sz w:val="20"/>
                <w:szCs w:val="20"/>
                <w:vertAlign w:val="superscript"/>
              </w:rPr>
              <w:t>(</w:t>
            </w:r>
            <w:proofErr w:type="gramEnd"/>
            <w:r w:rsidR="009F3023" w:rsidRPr="00ED55A2">
              <w:rPr>
                <w:rFonts w:ascii="Times New Roman" w:hAnsi="Times New Roman" w:cs="Times New Roman"/>
                <w:noProof/>
                <w:sz w:val="20"/>
                <w:szCs w:val="20"/>
                <w:vertAlign w:val="superscript"/>
              </w:rPr>
              <w:t>3</w:t>
            </w:r>
            <w:r w:rsidR="00CC2D8A">
              <w:rPr>
                <w:rFonts w:ascii="Times New Roman" w:hAnsi="Times New Roman" w:cs="Times New Roman"/>
                <w:noProof/>
                <w:sz w:val="20"/>
                <w:szCs w:val="20"/>
                <w:vertAlign w:val="superscript"/>
              </w:rPr>
              <w:t>0</w:t>
            </w:r>
            <w:r w:rsidRPr="00ED55A2">
              <w:rPr>
                <w:rFonts w:ascii="Times New Roman" w:hAnsi="Times New Roman" w:cs="Times New Roman"/>
                <w:noProof/>
                <w:sz w:val="20"/>
                <w:szCs w:val="20"/>
                <w:vertAlign w:val="superscript"/>
              </w:rPr>
              <w:t>)</w:t>
            </w:r>
            <w:r w:rsidRPr="00636314">
              <w:rPr>
                <w:rFonts w:ascii="Times New Roman" w:hAnsi="Times New Roman" w:cs="Times New Roman"/>
                <w:sz w:val="20"/>
                <w:szCs w:val="20"/>
              </w:rPr>
              <w:t>.</w:t>
            </w:r>
            <w:r w:rsidRPr="00170648">
              <w:rPr>
                <w:rFonts w:ascii="Times New Roman" w:hAnsi="Times New Roman" w:cs="Times New Roman"/>
                <w:sz w:val="20"/>
                <w:szCs w:val="20"/>
              </w:rPr>
              <w:t xml:space="preserve"> </w:t>
            </w:r>
          </w:p>
          <w:p w14:paraId="3C7A52E9" w14:textId="77777777" w:rsidR="00CE486B" w:rsidRPr="00170648" w:rsidRDefault="00CE486B" w:rsidP="00D95F01">
            <w:pPr>
              <w:rPr>
                <w:rFonts w:ascii="Times New Roman" w:hAnsi="Times New Roman" w:cs="Times New Roman"/>
                <w:sz w:val="20"/>
                <w:szCs w:val="20"/>
              </w:rPr>
            </w:pPr>
          </w:p>
          <w:p w14:paraId="3BCB8950" w14:textId="531130F0"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This component is unique to these indexes.</w:t>
            </w:r>
            <w:r w:rsidR="002451FA">
              <w:rPr>
                <w:rFonts w:ascii="Times New Roman" w:hAnsi="Times New Roman" w:cs="Times New Roman"/>
                <w:sz w:val="20"/>
                <w:szCs w:val="20"/>
              </w:rPr>
              <w:t xml:space="preserve"> </w:t>
            </w:r>
          </w:p>
        </w:tc>
        <w:tc>
          <w:tcPr>
            <w:tcW w:w="980" w:type="dxa"/>
            <w:tcBorders>
              <w:top w:val="single" w:sz="4" w:space="0" w:color="auto"/>
              <w:left w:val="nil"/>
              <w:bottom w:val="single" w:sz="4" w:space="0" w:color="auto"/>
              <w:right w:val="nil"/>
            </w:tcBorders>
            <w:vAlign w:val="center"/>
          </w:tcPr>
          <w:p w14:paraId="0A5FA5A5"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Positive appraisal</w:t>
            </w:r>
          </w:p>
        </w:tc>
      </w:tr>
      <w:tr w:rsidR="00CE486B" w:rsidRPr="00170648" w14:paraId="3BFD7979" w14:textId="77777777" w:rsidTr="00CE486B">
        <w:trPr>
          <w:trHeight w:val="454"/>
        </w:trPr>
        <w:tc>
          <w:tcPr>
            <w:tcW w:w="14628" w:type="dxa"/>
            <w:gridSpan w:val="7"/>
            <w:tcBorders>
              <w:top w:val="single" w:sz="4" w:space="0" w:color="auto"/>
              <w:left w:val="nil"/>
              <w:bottom w:val="single" w:sz="4" w:space="0" w:color="auto"/>
              <w:right w:val="nil"/>
            </w:tcBorders>
            <w:vAlign w:val="center"/>
          </w:tcPr>
          <w:p w14:paraId="651A4607" w14:textId="3131F0D4" w:rsidR="00CE486B" w:rsidRPr="00170648" w:rsidRDefault="00CE486B" w:rsidP="00D95F01">
            <w:pPr>
              <w:rPr>
                <w:rFonts w:ascii="Times New Roman" w:hAnsi="Times New Roman" w:cs="Times New Roman"/>
                <w:b/>
                <w:sz w:val="20"/>
                <w:szCs w:val="20"/>
                <w:lang w:eastAsia="en-GB"/>
              </w:rPr>
            </w:pPr>
            <w:r w:rsidRPr="00170648">
              <w:rPr>
                <w:rFonts w:ascii="Times New Roman" w:hAnsi="Times New Roman" w:cs="Times New Roman"/>
                <w:b/>
                <w:sz w:val="20"/>
                <w:szCs w:val="20"/>
                <w:lang w:eastAsia="en-GB"/>
              </w:rPr>
              <w:t xml:space="preserve">Components </w:t>
            </w:r>
            <w:r w:rsidR="00F97CFF">
              <w:rPr>
                <w:rFonts w:ascii="Times New Roman" w:hAnsi="Times New Roman" w:cs="Times New Roman"/>
                <w:b/>
                <w:sz w:val="20"/>
                <w:szCs w:val="20"/>
                <w:lang w:eastAsia="en-GB"/>
              </w:rPr>
              <w:t xml:space="preserve">only </w:t>
            </w:r>
            <w:r w:rsidRPr="00170648">
              <w:rPr>
                <w:rFonts w:ascii="Times New Roman" w:hAnsi="Times New Roman" w:cs="Times New Roman"/>
                <w:b/>
                <w:sz w:val="20"/>
                <w:szCs w:val="20"/>
                <w:lang w:eastAsia="en-GB"/>
              </w:rPr>
              <w:t xml:space="preserve">in </w:t>
            </w:r>
            <w:r w:rsidR="00BF6C28">
              <w:rPr>
                <w:rFonts w:ascii="Times New Roman" w:hAnsi="Times New Roman" w:cs="Times New Roman"/>
                <w:b/>
                <w:sz w:val="20"/>
                <w:szCs w:val="20"/>
                <w:lang w:eastAsia="en-GB"/>
              </w:rPr>
              <w:t>FDQI</w:t>
            </w:r>
            <w:r w:rsidRPr="00170648">
              <w:rPr>
                <w:rFonts w:ascii="Times New Roman" w:hAnsi="Times New Roman" w:cs="Times New Roman"/>
                <w:b/>
                <w:sz w:val="20"/>
                <w:szCs w:val="20"/>
                <w:lang w:eastAsia="en-GB"/>
              </w:rPr>
              <w:t>-65+</w:t>
            </w:r>
          </w:p>
        </w:tc>
      </w:tr>
      <w:tr w:rsidR="00CE486B" w:rsidRPr="00170648" w14:paraId="52AB214F" w14:textId="77777777" w:rsidTr="003206D3">
        <w:trPr>
          <w:gridAfter w:val="1"/>
          <w:wAfter w:w="6" w:type="dxa"/>
          <w:trHeight w:val="2835"/>
        </w:trPr>
        <w:tc>
          <w:tcPr>
            <w:tcW w:w="1984" w:type="dxa"/>
            <w:tcBorders>
              <w:top w:val="single" w:sz="4" w:space="0" w:color="auto"/>
              <w:left w:val="nil"/>
              <w:bottom w:val="single" w:sz="4" w:space="0" w:color="auto"/>
              <w:right w:val="nil"/>
            </w:tcBorders>
            <w:vAlign w:val="center"/>
          </w:tcPr>
          <w:p w14:paraId="45B97C72" w14:textId="77777777" w:rsidR="00CE486B" w:rsidRDefault="00D93DE5" w:rsidP="00BB5B01">
            <w:pPr>
              <w:rPr>
                <w:rFonts w:ascii="Times New Roman" w:hAnsi="Times New Roman" w:cs="Times New Roman"/>
                <w:sz w:val="20"/>
                <w:szCs w:val="20"/>
              </w:rPr>
            </w:pPr>
            <w:r>
              <w:rPr>
                <w:rFonts w:ascii="Times New Roman" w:hAnsi="Times New Roman" w:cs="Times New Roman"/>
                <w:sz w:val="20"/>
                <w:szCs w:val="20"/>
              </w:rPr>
              <w:t>Free sugars</w:t>
            </w:r>
          </w:p>
          <w:p w14:paraId="0629E543" w14:textId="2EAA6445" w:rsidR="00F97CFF" w:rsidRPr="00170648" w:rsidRDefault="00F97CFF" w:rsidP="00BB5B01">
            <w:pPr>
              <w:rPr>
                <w:rFonts w:ascii="Times New Roman" w:hAnsi="Times New Roman" w:cs="Times New Roman"/>
                <w:sz w:val="20"/>
                <w:szCs w:val="20"/>
                <w:lang w:eastAsia="en-GB"/>
              </w:rPr>
            </w:pPr>
            <w:r>
              <w:rPr>
                <w:rFonts w:ascii="Times New Roman" w:hAnsi="Times New Roman" w:cs="Times New Roman"/>
                <w:sz w:val="20"/>
                <w:szCs w:val="20"/>
                <w:lang w:eastAsia="en-GB"/>
              </w:rPr>
              <w:t>(</w:t>
            </w:r>
            <w:proofErr w:type="gramStart"/>
            <w:r>
              <w:rPr>
                <w:rFonts w:ascii="Times New Roman" w:hAnsi="Times New Roman" w:cs="Times New Roman"/>
                <w:sz w:val="20"/>
                <w:szCs w:val="20"/>
                <w:lang w:eastAsia="en-GB"/>
              </w:rPr>
              <w:t>sugary</w:t>
            </w:r>
            <w:proofErr w:type="gramEnd"/>
            <w:r>
              <w:rPr>
                <w:rFonts w:ascii="Times New Roman" w:hAnsi="Times New Roman" w:cs="Times New Roman"/>
                <w:sz w:val="20"/>
                <w:szCs w:val="20"/>
                <w:lang w:eastAsia="en-GB"/>
              </w:rPr>
              <w:t xml:space="preserve"> foods)</w:t>
            </w:r>
          </w:p>
        </w:tc>
        <w:tc>
          <w:tcPr>
            <w:tcW w:w="2216" w:type="dxa"/>
            <w:tcBorders>
              <w:top w:val="single" w:sz="4" w:space="0" w:color="auto"/>
              <w:left w:val="nil"/>
              <w:bottom w:val="single" w:sz="4" w:space="0" w:color="auto"/>
              <w:right w:val="nil"/>
            </w:tcBorders>
            <w:vAlign w:val="center"/>
          </w:tcPr>
          <w:p w14:paraId="104CE7B3"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≤1 portion/day</w:t>
            </w:r>
          </w:p>
        </w:tc>
        <w:tc>
          <w:tcPr>
            <w:tcW w:w="2744" w:type="dxa"/>
            <w:tcBorders>
              <w:top w:val="single" w:sz="4" w:space="0" w:color="auto"/>
              <w:left w:val="nil"/>
              <w:bottom w:val="single" w:sz="4" w:space="0" w:color="auto"/>
              <w:right w:val="nil"/>
            </w:tcBorders>
            <w:vAlign w:val="center"/>
          </w:tcPr>
          <w:p w14:paraId="716185E2"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rPr>
              <w:t>To include main dietary sources of free sugars</w:t>
            </w:r>
          </w:p>
          <w:p w14:paraId="455A105C" w14:textId="77777777" w:rsidR="00CE486B" w:rsidRPr="00170648" w:rsidRDefault="00CE486B" w:rsidP="00BB5B01">
            <w:pPr>
              <w:rPr>
                <w:rFonts w:ascii="Times New Roman" w:hAnsi="Times New Roman" w:cs="Times New Roman"/>
                <w:sz w:val="20"/>
                <w:szCs w:val="20"/>
              </w:rPr>
            </w:pPr>
          </w:p>
          <w:p w14:paraId="2B326A92" w14:textId="63D422DD" w:rsidR="00CE486B" w:rsidRPr="00170648" w:rsidRDefault="00CE486B" w:rsidP="00BB5B01">
            <w:pPr>
              <w:pStyle w:val="FootnoteText"/>
              <w:rPr>
                <w:rFonts w:ascii="Times New Roman" w:hAnsi="Times New Roman" w:cs="Times New Roman"/>
              </w:rPr>
            </w:pPr>
            <w:r w:rsidRPr="00170648">
              <w:rPr>
                <w:rFonts w:ascii="Times New Roman" w:hAnsi="Times New Roman" w:cs="Times New Roman"/>
              </w:rPr>
              <w:t>Portion size 40</w:t>
            </w:r>
            <w:r>
              <w:rPr>
                <w:rFonts w:ascii="Times New Roman" w:hAnsi="Times New Roman" w:cs="Times New Roman"/>
              </w:rPr>
              <w:t xml:space="preserve"> </w:t>
            </w:r>
            <w:r w:rsidRPr="00170648">
              <w:rPr>
                <w:rFonts w:ascii="Times New Roman" w:hAnsi="Times New Roman" w:cs="Times New Roman"/>
              </w:rPr>
              <w:t>g cakes, biscuits or cereal bars, 100</w:t>
            </w:r>
            <w:r>
              <w:rPr>
                <w:rFonts w:ascii="Times New Roman" w:hAnsi="Times New Roman" w:cs="Times New Roman"/>
              </w:rPr>
              <w:t xml:space="preserve"> </w:t>
            </w:r>
            <w:r w:rsidRPr="00170648">
              <w:rPr>
                <w:rFonts w:ascii="Times New Roman" w:hAnsi="Times New Roman" w:cs="Times New Roman"/>
              </w:rPr>
              <w:t>g buns, pastries, pancakes, dairy desserts and sponge puddings, 20</w:t>
            </w:r>
            <w:r>
              <w:rPr>
                <w:rFonts w:ascii="Times New Roman" w:hAnsi="Times New Roman" w:cs="Times New Roman"/>
              </w:rPr>
              <w:t xml:space="preserve"> </w:t>
            </w:r>
            <w:r w:rsidRPr="00170648">
              <w:rPr>
                <w:rFonts w:ascii="Times New Roman" w:hAnsi="Times New Roman" w:cs="Times New Roman"/>
              </w:rPr>
              <w:t>g confectionery or sweet preserves, 330</w:t>
            </w:r>
            <w:r>
              <w:rPr>
                <w:rFonts w:ascii="Times New Roman" w:hAnsi="Times New Roman" w:cs="Times New Roman"/>
              </w:rPr>
              <w:t xml:space="preserve"> </w:t>
            </w:r>
            <w:r w:rsidRPr="00170648">
              <w:rPr>
                <w:rFonts w:ascii="Times New Roman" w:hAnsi="Times New Roman" w:cs="Times New Roman"/>
              </w:rPr>
              <w:t>m</w:t>
            </w:r>
            <w:r>
              <w:rPr>
                <w:rFonts w:ascii="Times New Roman" w:hAnsi="Times New Roman" w:cs="Times New Roman"/>
              </w:rPr>
              <w:t>L</w:t>
            </w:r>
            <w:r w:rsidRPr="00170648">
              <w:rPr>
                <w:rFonts w:ascii="Times New Roman" w:hAnsi="Times New Roman" w:cs="Times New Roman"/>
              </w:rPr>
              <w:t xml:space="preserve"> sugar sweetened beverages, 15</w:t>
            </w:r>
            <w:r>
              <w:rPr>
                <w:rFonts w:ascii="Times New Roman" w:hAnsi="Times New Roman" w:cs="Times New Roman"/>
              </w:rPr>
              <w:t xml:space="preserve"> </w:t>
            </w:r>
            <w:r w:rsidRPr="00170648">
              <w:rPr>
                <w:rFonts w:ascii="Times New Roman" w:hAnsi="Times New Roman" w:cs="Times New Roman"/>
              </w:rPr>
              <w:t>g sugar</w:t>
            </w:r>
          </w:p>
        </w:tc>
        <w:tc>
          <w:tcPr>
            <w:tcW w:w="904" w:type="dxa"/>
            <w:tcBorders>
              <w:top w:val="single" w:sz="4" w:space="0" w:color="auto"/>
              <w:left w:val="nil"/>
              <w:bottom w:val="single" w:sz="4" w:space="0" w:color="auto"/>
              <w:right w:val="nil"/>
            </w:tcBorders>
            <w:vAlign w:val="center"/>
          </w:tcPr>
          <w:p w14:paraId="482F3203" w14:textId="77777777" w:rsidR="00CE486B" w:rsidRPr="00170648" w:rsidRDefault="00CE486B" w:rsidP="00BB5B01">
            <w:pPr>
              <w:jc w:val="center"/>
              <w:rPr>
                <w:rFonts w:ascii="Times New Roman" w:hAnsi="Times New Roman" w:cs="Times New Roman"/>
                <w:sz w:val="20"/>
                <w:szCs w:val="20"/>
              </w:rPr>
            </w:pPr>
            <w:r>
              <w:rPr>
                <w:rFonts w:ascii="Times New Roman" w:hAnsi="Times New Roman" w:cs="Times New Roman"/>
                <w:sz w:val="20"/>
                <w:szCs w:val="20"/>
              </w:rPr>
              <w:t>g</w:t>
            </w:r>
          </w:p>
        </w:tc>
        <w:tc>
          <w:tcPr>
            <w:tcW w:w="5794" w:type="dxa"/>
            <w:tcBorders>
              <w:top w:val="single" w:sz="4" w:space="0" w:color="auto"/>
              <w:left w:val="nil"/>
              <w:bottom w:val="single" w:sz="4" w:space="0" w:color="auto"/>
              <w:right w:val="nil"/>
            </w:tcBorders>
            <w:vAlign w:val="center"/>
          </w:tcPr>
          <w:p w14:paraId="01E2C699" w14:textId="09D5D67A" w:rsidR="00CE486B" w:rsidRPr="00170648" w:rsidRDefault="00CE486B" w:rsidP="005D5F0E">
            <w:pPr>
              <w:rPr>
                <w:rFonts w:ascii="Times New Roman" w:hAnsi="Times New Roman" w:cs="Times New Roman"/>
                <w:sz w:val="20"/>
                <w:szCs w:val="20"/>
              </w:rPr>
            </w:pPr>
            <w:r w:rsidRPr="00170648">
              <w:rPr>
                <w:rFonts w:ascii="Times New Roman" w:hAnsi="Times New Roman" w:cs="Times New Roman"/>
                <w:sz w:val="20"/>
                <w:szCs w:val="20"/>
              </w:rPr>
              <w:t>Sugary foods such as cakes and biscuits and confectionery provide free sugars</w:t>
            </w:r>
            <w:r w:rsidR="005D5F0E">
              <w:rPr>
                <w:rFonts w:ascii="Times New Roman" w:hAnsi="Times New Roman" w:cs="Times New Roman"/>
                <w:sz w:val="20"/>
                <w:szCs w:val="20"/>
              </w:rPr>
              <w:t>, as do s</w:t>
            </w:r>
            <w:r w:rsidRPr="00170648">
              <w:rPr>
                <w:rFonts w:ascii="Times New Roman" w:hAnsi="Times New Roman" w:cs="Times New Roman"/>
                <w:sz w:val="20"/>
                <w:szCs w:val="20"/>
              </w:rPr>
              <w:t xml:space="preserve">ugar sweetened beverages </w:t>
            </w:r>
            <w:r w:rsidR="005D5F0E">
              <w:rPr>
                <w:rFonts w:ascii="Times New Roman" w:hAnsi="Times New Roman" w:cs="Times New Roman"/>
                <w:sz w:val="20"/>
                <w:szCs w:val="20"/>
              </w:rPr>
              <w:t xml:space="preserve">which </w:t>
            </w:r>
            <w:r w:rsidRPr="00170648">
              <w:rPr>
                <w:rFonts w:ascii="Times New Roman" w:hAnsi="Times New Roman" w:cs="Times New Roman"/>
                <w:sz w:val="20"/>
                <w:szCs w:val="20"/>
              </w:rPr>
              <w:t xml:space="preserve">can contribute in excess of daily recommended sugar intake and have been associated with poor dental </w:t>
            </w:r>
            <w:proofErr w:type="gramStart"/>
            <w:r w:rsidRPr="00170648">
              <w:rPr>
                <w:rFonts w:ascii="Times New Roman" w:hAnsi="Times New Roman" w:cs="Times New Roman"/>
                <w:sz w:val="20"/>
                <w:szCs w:val="20"/>
              </w:rPr>
              <w:t>health</w:t>
            </w:r>
            <w:r w:rsidRPr="00ED55A2">
              <w:rPr>
                <w:rFonts w:ascii="Times New Roman" w:hAnsi="Times New Roman" w:cs="Times New Roman"/>
                <w:noProof/>
                <w:sz w:val="20"/>
                <w:szCs w:val="20"/>
                <w:vertAlign w:val="superscript"/>
              </w:rPr>
              <w:t>(</w:t>
            </w:r>
            <w:proofErr w:type="gramEnd"/>
            <w:r w:rsidR="00CC2D8A">
              <w:rPr>
                <w:rFonts w:ascii="Times New Roman" w:hAnsi="Times New Roman" w:cs="Times New Roman"/>
                <w:noProof/>
                <w:sz w:val="20"/>
                <w:szCs w:val="20"/>
                <w:vertAlign w:val="superscript"/>
              </w:rPr>
              <w:t>6</w:t>
            </w:r>
            <w:r w:rsidRPr="00ED55A2">
              <w:rPr>
                <w:rFonts w:ascii="Times New Roman" w:hAnsi="Times New Roman" w:cs="Times New Roman"/>
                <w:noProof/>
                <w:sz w:val="20"/>
                <w:szCs w:val="20"/>
                <w:vertAlign w:val="superscript"/>
              </w:rPr>
              <w:t>)</w:t>
            </w:r>
            <w:r w:rsidRPr="00170648">
              <w:rPr>
                <w:rFonts w:ascii="Times New Roman" w:hAnsi="Times New Roman" w:cs="Times New Roman"/>
                <w:sz w:val="20"/>
                <w:szCs w:val="20"/>
              </w:rPr>
              <w:t xml:space="preserve"> and increased risk of type 2 diabetes independent of BMI</w:t>
            </w:r>
            <w:r w:rsidRPr="00ED55A2">
              <w:rPr>
                <w:rFonts w:ascii="Times New Roman" w:hAnsi="Times New Roman" w:cs="Times New Roman"/>
                <w:noProof/>
                <w:sz w:val="20"/>
                <w:szCs w:val="20"/>
                <w:vertAlign w:val="superscript"/>
              </w:rPr>
              <w:t>(</w:t>
            </w:r>
            <w:r w:rsidR="00683A9A">
              <w:rPr>
                <w:rFonts w:ascii="Times New Roman" w:hAnsi="Times New Roman" w:cs="Times New Roman"/>
                <w:noProof/>
                <w:sz w:val="20"/>
                <w:szCs w:val="20"/>
                <w:vertAlign w:val="superscript"/>
              </w:rPr>
              <w:t>3</w:t>
            </w:r>
            <w:r w:rsidR="004C729A" w:rsidRPr="00ED55A2">
              <w:rPr>
                <w:rFonts w:ascii="Times New Roman" w:hAnsi="Times New Roman" w:cs="Times New Roman"/>
                <w:noProof/>
                <w:sz w:val="20"/>
                <w:szCs w:val="20"/>
                <w:vertAlign w:val="superscript"/>
              </w:rPr>
              <w:t>1</w:t>
            </w:r>
            <w:r w:rsidRPr="00ED55A2">
              <w:rPr>
                <w:rFonts w:ascii="Times New Roman" w:hAnsi="Times New Roman" w:cs="Times New Roman"/>
                <w:noProof/>
                <w:sz w:val="20"/>
                <w:szCs w:val="20"/>
                <w:vertAlign w:val="superscript"/>
              </w:rPr>
              <w:t>)</w:t>
            </w:r>
            <w:r w:rsidRPr="00170648">
              <w:rPr>
                <w:rFonts w:ascii="Times New Roman" w:hAnsi="Times New Roman" w:cs="Times New Roman"/>
                <w:sz w:val="20"/>
                <w:szCs w:val="20"/>
              </w:rPr>
              <w:t>.</w:t>
            </w:r>
          </w:p>
          <w:p w14:paraId="73E98CE2" w14:textId="77777777" w:rsidR="00CE486B" w:rsidRPr="00170648" w:rsidRDefault="00CE486B" w:rsidP="00D95F01">
            <w:pPr>
              <w:rPr>
                <w:rFonts w:ascii="Times New Roman" w:hAnsi="Times New Roman" w:cs="Times New Roman"/>
                <w:sz w:val="20"/>
                <w:szCs w:val="20"/>
              </w:rPr>
            </w:pPr>
          </w:p>
          <w:p w14:paraId="61CEA7DF" w14:textId="4F2F16E2"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Portion sizes based on standard portions for biscuits, </w:t>
            </w:r>
            <w:proofErr w:type="gramStart"/>
            <w:r w:rsidRPr="00170648">
              <w:rPr>
                <w:rFonts w:ascii="Times New Roman" w:hAnsi="Times New Roman" w:cs="Times New Roman"/>
                <w:sz w:val="20"/>
                <w:szCs w:val="20"/>
              </w:rPr>
              <w:t>confectionery</w:t>
            </w:r>
            <w:proofErr w:type="gramEnd"/>
            <w:r w:rsidRPr="00170648">
              <w:rPr>
                <w:rFonts w:ascii="Times New Roman" w:hAnsi="Times New Roman" w:cs="Times New Roman"/>
                <w:sz w:val="20"/>
                <w:szCs w:val="20"/>
              </w:rPr>
              <w:t xml:space="preserve"> and sugar sweetened beverages. Cakes and puddings vary considerably in size and composition. </w:t>
            </w:r>
            <w:r w:rsidRPr="00CE486B">
              <w:rPr>
                <w:rFonts w:ascii="Times New Roman" w:hAnsi="Times New Roman" w:cs="Times New Roman"/>
                <w:sz w:val="20"/>
                <w:szCs w:val="20"/>
              </w:rPr>
              <w:t>UK</w:t>
            </w:r>
            <w:r w:rsidRPr="00170648">
              <w:rPr>
                <w:rFonts w:ascii="Times New Roman" w:hAnsi="Times New Roman" w:cs="Times New Roman"/>
                <w:i/>
                <w:sz w:val="20"/>
                <w:szCs w:val="20"/>
              </w:rPr>
              <w:t xml:space="preserve"> Eat</w:t>
            </w:r>
            <w:r w:rsidR="00546542">
              <w:rPr>
                <w:rFonts w:ascii="Times New Roman" w:hAnsi="Times New Roman" w:cs="Times New Roman"/>
                <w:i/>
                <w:sz w:val="20"/>
                <w:szCs w:val="20"/>
              </w:rPr>
              <w:t>w</w:t>
            </w:r>
            <w:r w:rsidRPr="00170648">
              <w:rPr>
                <w:rFonts w:ascii="Times New Roman" w:hAnsi="Times New Roman" w:cs="Times New Roman"/>
                <w:i/>
                <w:sz w:val="20"/>
                <w:szCs w:val="20"/>
              </w:rPr>
              <w:t>ell guide</w:t>
            </w:r>
            <w:r w:rsidRPr="00170648">
              <w:rPr>
                <w:rFonts w:ascii="Times New Roman" w:hAnsi="Times New Roman" w:cs="Times New Roman"/>
                <w:sz w:val="20"/>
                <w:szCs w:val="20"/>
              </w:rPr>
              <w:t xml:space="preserve"> recommendation of sugary foods not being consumed </w:t>
            </w:r>
            <w:proofErr w:type="gramStart"/>
            <w:r w:rsidRPr="00170648">
              <w:rPr>
                <w:rFonts w:ascii="Times New Roman" w:hAnsi="Times New Roman" w:cs="Times New Roman"/>
                <w:sz w:val="20"/>
                <w:szCs w:val="20"/>
              </w:rPr>
              <w:t>daily</w:t>
            </w:r>
            <w:r w:rsidR="006E702F" w:rsidRPr="00ED55A2">
              <w:rPr>
                <w:rFonts w:ascii="Times New Roman" w:hAnsi="Times New Roman" w:cs="Times New Roman"/>
                <w:noProof/>
                <w:sz w:val="20"/>
                <w:szCs w:val="20"/>
                <w:vertAlign w:val="superscript"/>
              </w:rPr>
              <w:t>(</w:t>
            </w:r>
            <w:proofErr w:type="gramEnd"/>
            <w:r w:rsidR="00683A9A">
              <w:rPr>
                <w:rFonts w:ascii="Times New Roman" w:hAnsi="Times New Roman" w:cs="Times New Roman"/>
                <w:noProof/>
                <w:sz w:val="20"/>
                <w:szCs w:val="20"/>
                <w:vertAlign w:val="superscript"/>
              </w:rPr>
              <w:t>5</w:t>
            </w:r>
            <w:r w:rsidR="006E702F" w:rsidRPr="00ED55A2">
              <w:rPr>
                <w:rFonts w:ascii="Times New Roman" w:hAnsi="Times New Roman" w:cs="Times New Roman"/>
                <w:noProof/>
                <w:sz w:val="20"/>
                <w:szCs w:val="20"/>
                <w:vertAlign w:val="superscript"/>
              </w:rPr>
              <w:t>)</w:t>
            </w:r>
            <w:r w:rsidR="006E702F">
              <w:rPr>
                <w:rFonts w:ascii="Times New Roman" w:hAnsi="Times New Roman" w:cs="Times New Roman"/>
                <w:sz w:val="20"/>
                <w:szCs w:val="20"/>
              </w:rPr>
              <w:t xml:space="preserve"> and aim for &lt;5% of total energy intake being from free sugars</w:t>
            </w:r>
            <w:r w:rsidR="009E54A3" w:rsidRPr="00FC6609">
              <w:rPr>
                <w:rFonts w:ascii="Times New Roman" w:hAnsi="Times New Roman" w:cs="Times New Roman"/>
                <w:sz w:val="20"/>
                <w:szCs w:val="20"/>
                <w:vertAlign w:val="superscript"/>
              </w:rPr>
              <w:t>(</w:t>
            </w:r>
            <w:r w:rsidR="00683A9A">
              <w:rPr>
                <w:rFonts w:ascii="Times New Roman" w:hAnsi="Times New Roman" w:cs="Times New Roman"/>
                <w:sz w:val="20"/>
                <w:szCs w:val="20"/>
                <w:vertAlign w:val="superscript"/>
              </w:rPr>
              <w:t>27</w:t>
            </w:r>
            <w:r w:rsidR="009E54A3" w:rsidRPr="00FC6609">
              <w:rPr>
                <w:rFonts w:ascii="Times New Roman" w:hAnsi="Times New Roman" w:cs="Times New Roman"/>
                <w:sz w:val="20"/>
                <w:szCs w:val="20"/>
                <w:vertAlign w:val="superscript"/>
              </w:rPr>
              <w:t>)</w:t>
            </w:r>
            <w:r w:rsidR="009E54A3">
              <w:rPr>
                <w:rFonts w:ascii="Times New Roman" w:hAnsi="Times New Roman" w:cs="Times New Roman"/>
                <w:noProof/>
                <w:sz w:val="20"/>
                <w:szCs w:val="20"/>
                <w:vertAlign w:val="superscript"/>
              </w:rPr>
              <w:t xml:space="preserve"> </w:t>
            </w:r>
            <w:r w:rsidR="009E54A3">
              <w:rPr>
                <w:rFonts w:ascii="Times New Roman" w:hAnsi="Times New Roman" w:cs="Times New Roman"/>
                <w:noProof/>
                <w:sz w:val="20"/>
                <w:szCs w:val="20"/>
              </w:rPr>
              <w:t xml:space="preserve">means </w:t>
            </w:r>
            <w:r w:rsidR="009E54A3">
              <w:rPr>
                <w:rFonts w:ascii="Times New Roman" w:hAnsi="Times New Roman" w:cs="Times New Roman"/>
                <w:sz w:val="20"/>
                <w:szCs w:val="20"/>
              </w:rPr>
              <w:t>m</w:t>
            </w:r>
            <w:r w:rsidRPr="00170648">
              <w:rPr>
                <w:rFonts w:ascii="Times New Roman" w:hAnsi="Times New Roman" w:cs="Times New Roman"/>
                <w:sz w:val="20"/>
                <w:szCs w:val="20"/>
              </w:rPr>
              <w:t>aximum 1 portion/day to promote limited and infrequent consumption.</w:t>
            </w:r>
          </w:p>
        </w:tc>
        <w:tc>
          <w:tcPr>
            <w:tcW w:w="980" w:type="dxa"/>
            <w:tcBorders>
              <w:top w:val="single" w:sz="4" w:space="0" w:color="auto"/>
              <w:left w:val="nil"/>
              <w:bottom w:val="single" w:sz="4" w:space="0" w:color="auto"/>
              <w:right w:val="nil"/>
            </w:tcBorders>
            <w:vAlign w:val="center"/>
          </w:tcPr>
          <w:p w14:paraId="500B0AD3"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Negative appraisal</w:t>
            </w:r>
          </w:p>
        </w:tc>
      </w:tr>
      <w:tr w:rsidR="00CE486B" w:rsidRPr="00170648" w14:paraId="571CC9BF" w14:textId="77777777" w:rsidTr="00EE782C">
        <w:trPr>
          <w:gridAfter w:val="1"/>
          <w:wAfter w:w="6" w:type="dxa"/>
          <w:trHeight w:val="841"/>
        </w:trPr>
        <w:tc>
          <w:tcPr>
            <w:tcW w:w="1984" w:type="dxa"/>
            <w:tcBorders>
              <w:top w:val="single" w:sz="4" w:space="0" w:color="auto"/>
              <w:left w:val="nil"/>
              <w:bottom w:val="single" w:sz="4" w:space="0" w:color="auto"/>
              <w:right w:val="nil"/>
            </w:tcBorders>
            <w:vAlign w:val="center"/>
          </w:tcPr>
          <w:p w14:paraId="65763DE3" w14:textId="77777777" w:rsidR="00F97CFF" w:rsidRDefault="00F97CFF" w:rsidP="00BB5B01">
            <w:pPr>
              <w:rPr>
                <w:rFonts w:ascii="Times New Roman" w:hAnsi="Times New Roman" w:cs="Times New Roman"/>
                <w:sz w:val="20"/>
                <w:szCs w:val="20"/>
              </w:rPr>
            </w:pPr>
            <w:r>
              <w:rPr>
                <w:rFonts w:ascii="Times New Roman" w:hAnsi="Times New Roman" w:cs="Times New Roman"/>
                <w:sz w:val="20"/>
                <w:szCs w:val="20"/>
              </w:rPr>
              <w:t>Sodium</w:t>
            </w:r>
          </w:p>
          <w:p w14:paraId="0A29B9AE" w14:textId="59D572B2" w:rsidR="00CE486B" w:rsidRPr="00170648" w:rsidRDefault="00F97CFF" w:rsidP="00BB5B01">
            <w:pPr>
              <w:rPr>
                <w:rFonts w:ascii="Times New Roman" w:hAnsi="Times New Roman" w:cs="Times New Roman"/>
                <w:sz w:val="20"/>
                <w:szCs w:val="20"/>
                <w:lang w:eastAsia="en-GB"/>
              </w:rPr>
            </w:pPr>
            <w:r>
              <w:rPr>
                <w:rFonts w:ascii="Times New Roman" w:hAnsi="Times New Roman" w:cs="Times New Roman"/>
                <w:sz w:val="20"/>
                <w:szCs w:val="20"/>
              </w:rPr>
              <w:t>(</w:t>
            </w:r>
            <w:proofErr w:type="gramStart"/>
            <w:r>
              <w:rPr>
                <w:rFonts w:ascii="Times New Roman" w:hAnsi="Times New Roman" w:cs="Times New Roman"/>
                <w:sz w:val="20"/>
                <w:szCs w:val="20"/>
              </w:rPr>
              <w:t>salty</w:t>
            </w:r>
            <w:proofErr w:type="gramEnd"/>
            <w:r>
              <w:rPr>
                <w:rFonts w:ascii="Times New Roman" w:hAnsi="Times New Roman" w:cs="Times New Roman"/>
                <w:sz w:val="20"/>
                <w:szCs w:val="20"/>
              </w:rPr>
              <w:t xml:space="preserve"> foods) </w:t>
            </w:r>
          </w:p>
        </w:tc>
        <w:tc>
          <w:tcPr>
            <w:tcW w:w="2216" w:type="dxa"/>
            <w:tcBorders>
              <w:top w:val="single" w:sz="4" w:space="0" w:color="auto"/>
              <w:left w:val="nil"/>
              <w:bottom w:val="single" w:sz="4" w:space="0" w:color="auto"/>
              <w:right w:val="nil"/>
            </w:tcBorders>
            <w:vAlign w:val="center"/>
          </w:tcPr>
          <w:p w14:paraId="7DC503DA"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≤1 portion/day</w:t>
            </w:r>
          </w:p>
        </w:tc>
        <w:tc>
          <w:tcPr>
            <w:tcW w:w="2744" w:type="dxa"/>
            <w:tcBorders>
              <w:top w:val="single" w:sz="4" w:space="0" w:color="auto"/>
              <w:left w:val="nil"/>
              <w:bottom w:val="single" w:sz="4" w:space="0" w:color="auto"/>
              <w:right w:val="nil"/>
            </w:tcBorders>
            <w:vAlign w:val="center"/>
          </w:tcPr>
          <w:p w14:paraId="0A31B284"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To include processed meat and salty savoury snacks such as crisps</w:t>
            </w:r>
          </w:p>
          <w:p w14:paraId="2F9A3038" w14:textId="77777777" w:rsidR="00CE486B" w:rsidRPr="00170648" w:rsidRDefault="00CE486B" w:rsidP="00BB5B01">
            <w:pPr>
              <w:rPr>
                <w:rFonts w:ascii="Times New Roman" w:hAnsi="Times New Roman" w:cs="Times New Roman"/>
                <w:sz w:val="20"/>
                <w:szCs w:val="20"/>
                <w:lang w:eastAsia="en-GB"/>
              </w:rPr>
            </w:pPr>
          </w:p>
          <w:p w14:paraId="4938AC02" w14:textId="2C00B2FF"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rPr>
              <w:t>Portion size 25</w:t>
            </w:r>
            <w:r>
              <w:rPr>
                <w:rFonts w:ascii="Times New Roman" w:hAnsi="Times New Roman" w:cs="Times New Roman"/>
                <w:sz w:val="20"/>
                <w:szCs w:val="20"/>
              </w:rPr>
              <w:t xml:space="preserve"> </w:t>
            </w:r>
            <w:r w:rsidRPr="00170648">
              <w:rPr>
                <w:rFonts w:ascii="Times New Roman" w:hAnsi="Times New Roman" w:cs="Times New Roman"/>
                <w:sz w:val="20"/>
                <w:szCs w:val="20"/>
              </w:rPr>
              <w:t>g crisps or salty snacks, 70</w:t>
            </w:r>
            <w:r>
              <w:rPr>
                <w:rFonts w:ascii="Times New Roman" w:hAnsi="Times New Roman" w:cs="Times New Roman"/>
                <w:sz w:val="20"/>
                <w:szCs w:val="20"/>
              </w:rPr>
              <w:t xml:space="preserve"> </w:t>
            </w:r>
            <w:r w:rsidRPr="00170648">
              <w:rPr>
                <w:rFonts w:ascii="Times New Roman" w:hAnsi="Times New Roman" w:cs="Times New Roman"/>
                <w:sz w:val="20"/>
                <w:szCs w:val="20"/>
              </w:rPr>
              <w:t>g processed meat</w:t>
            </w:r>
          </w:p>
        </w:tc>
        <w:tc>
          <w:tcPr>
            <w:tcW w:w="904" w:type="dxa"/>
            <w:tcBorders>
              <w:top w:val="single" w:sz="4" w:space="0" w:color="auto"/>
              <w:left w:val="nil"/>
              <w:bottom w:val="single" w:sz="4" w:space="0" w:color="auto"/>
              <w:right w:val="nil"/>
            </w:tcBorders>
            <w:vAlign w:val="center"/>
          </w:tcPr>
          <w:p w14:paraId="1E2BB680" w14:textId="77777777" w:rsidR="00CE486B" w:rsidRPr="00170648" w:rsidRDefault="00CE486B" w:rsidP="00BB5B01">
            <w:pPr>
              <w:jc w:val="center"/>
              <w:rPr>
                <w:rFonts w:ascii="Times New Roman" w:hAnsi="Times New Roman" w:cs="Times New Roman"/>
                <w:sz w:val="20"/>
                <w:szCs w:val="20"/>
                <w:lang w:eastAsia="en-GB"/>
              </w:rPr>
            </w:pPr>
            <w:r>
              <w:rPr>
                <w:rFonts w:ascii="Times New Roman" w:hAnsi="Times New Roman" w:cs="Times New Roman"/>
                <w:sz w:val="20"/>
                <w:szCs w:val="20"/>
                <w:lang w:eastAsia="en-GB"/>
              </w:rPr>
              <w:t>mg</w:t>
            </w:r>
          </w:p>
        </w:tc>
        <w:tc>
          <w:tcPr>
            <w:tcW w:w="5794" w:type="dxa"/>
            <w:tcBorders>
              <w:top w:val="single" w:sz="4" w:space="0" w:color="auto"/>
              <w:left w:val="nil"/>
              <w:bottom w:val="single" w:sz="4" w:space="0" w:color="auto"/>
              <w:right w:val="nil"/>
            </w:tcBorders>
            <w:vAlign w:val="center"/>
          </w:tcPr>
          <w:p w14:paraId="3AD7065E" w14:textId="223630FB"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 xml:space="preserve">Difficult to capture salt intake in population due to discretionary use in cooking and at the table. </w:t>
            </w:r>
            <w:proofErr w:type="gramStart"/>
            <w:r w:rsidR="00E71A04">
              <w:rPr>
                <w:rFonts w:ascii="Times New Roman" w:hAnsi="Times New Roman" w:cs="Times New Roman"/>
                <w:sz w:val="20"/>
                <w:szCs w:val="20"/>
                <w:lang w:eastAsia="en-GB"/>
              </w:rPr>
              <w:t>Therefore</w:t>
            </w:r>
            <w:proofErr w:type="gramEnd"/>
            <w:r w:rsidR="00E71A04">
              <w:rPr>
                <w:rFonts w:ascii="Times New Roman" w:hAnsi="Times New Roman" w:cs="Times New Roman"/>
                <w:sz w:val="20"/>
                <w:szCs w:val="20"/>
                <w:lang w:eastAsia="en-GB"/>
              </w:rPr>
              <w:t xml:space="preserve"> m</w:t>
            </w:r>
            <w:r w:rsidRPr="00170648">
              <w:rPr>
                <w:rFonts w:ascii="Times New Roman" w:hAnsi="Times New Roman" w:cs="Times New Roman"/>
                <w:sz w:val="20"/>
                <w:szCs w:val="20"/>
                <w:lang w:eastAsia="en-GB"/>
              </w:rPr>
              <w:t>ain sources of salt from NDNS Years 1-6 in ≥65</w:t>
            </w:r>
            <w:r>
              <w:rPr>
                <w:rFonts w:ascii="Times New Roman" w:hAnsi="Times New Roman" w:cs="Times New Roman"/>
                <w:sz w:val="20"/>
                <w:szCs w:val="20"/>
                <w:lang w:eastAsia="en-GB"/>
              </w:rPr>
              <w:t>y</w:t>
            </w:r>
            <w:r w:rsidR="00E71A04">
              <w:rPr>
                <w:rFonts w:ascii="Times New Roman" w:hAnsi="Times New Roman" w:cs="Times New Roman"/>
                <w:sz w:val="20"/>
                <w:szCs w:val="20"/>
                <w:lang w:eastAsia="en-GB"/>
              </w:rPr>
              <w:t xml:space="preserve"> assessed, which</w:t>
            </w:r>
            <w:r w:rsidRPr="00170648">
              <w:rPr>
                <w:rFonts w:ascii="Times New Roman" w:hAnsi="Times New Roman" w:cs="Times New Roman"/>
                <w:sz w:val="20"/>
                <w:szCs w:val="20"/>
                <w:lang w:eastAsia="en-GB"/>
              </w:rPr>
              <w:t xml:space="preserve"> include</w:t>
            </w:r>
            <w:r w:rsidR="00E71A04">
              <w:rPr>
                <w:rFonts w:ascii="Times New Roman" w:hAnsi="Times New Roman" w:cs="Times New Roman"/>
                <w:sz w:val="20"/>
                <w:szCs w:val="20"/>
                <w:lang w:eastAsia="en-GB"/>
              </w:rPr>
              <w:t>d</w:t>
            </w:r>
            <w:r w:rsidRPr="00170648">
              <w:rPr>
                <w:rFonts w:ascii="Times New Roman" w:hAnsi="Times New Roman" w:cs="Times New Roman"/>
                <w:sz w:val="20"/>
                <w:szCs w:val="20"/>
                <w:lang w:eastAsia="en-GB"/>
              </w:rPr>
              <w:t xml:space="preserve"> processed meat, bread, smoked fish, ready meals and sauces, and crisps and salty snacks. Not justified to discourage bread consumption nor fish intake. Difficult to estimate salt content of ready meals and sauces. Limited to 1 portion/day due to challenge of setting food</w:t>
            </w:r>
            <w:r w:rsidR="003E1AD4">
              <w:rPr>
                <w:rFonts w:ascii="Times New Roman" w:hAnsi="Times New Roman" w:cs="Times New Roman"/>
                <w:sz w:val="20"/>
                <w:szCs w:val="20"/>
                <w:lang w:eastAsia="en-GB"/>
              </w:rPr>
              <w:t>-</w:t>
            </w:r>
            <w:r w:rsidRPr="00170648">
              <w:rPr>
                <w:rFonts w:ascii="Times New Roman" w:hAnsi="Times New Roman" w:cs="Times New Roman"/>
                <w:sz w:val="20"/>
                <w:szCs w:val="20"/>
                <w:lang w:eastAsia="en-GB"/>
              </w:rPr>
              <w:t>based recommendations.</w:t>
            </w:r>
          </w:p>
          <w:p w14:paraId="661C2661" w14:textId="77777777" w:rsidR="00CE486B" w:rsidRPr="00170648" w:rsidRDefault="00CE486B" w:rsidP="00D95F01">
            <w:pPr>
              <w:rPr>
                <w:rFonts w:ascii="Times New Roman" w:hAnsi="Times New Roman" w:cs="Times New Roman"/>
                <w:sz w:val="20"/>
                <w:szCs w:val="20"/>
                <w:lang w:eastAsia="en-GB"/>
              </w:rPr>
            </w:pPr>
          </w:p>
          <w:p w14:paraId="60F93619" w14:textId="01A8EAD0"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lastRenderedPageBreak/>
              <w:t xml:space="preserve">Salty snacks may contribute to SFA intake and processed meat limitations advised due to the increased risk of colorectal </w:t>
            </w:r>
            <w:proofErr w:type="gramStart"/>
            <w:r w:rsidRPr="00170648">
              <w:rPr>
                <w:rFonts w:ascii="Times New Roman" w:hAnsi="Times New Roman" w:cs="Times New Roman"/>
                <w:sz w:val="20"/>
                <w:szCs w:val="20"/>
                <w:lang w:eastAsia="en-GB"/>
              </w:rPr>
              <w:t>cancer</w:t>
            </w:r>
            <w:r w:rsidRPr="00ED55A2">
              <w:rPr>
                <w:rFonts w:ascii="Times New Roman" w:hAnsi="Times New Roman" w:cs="Times New Roman"/>
                <w:noProof/>
                <w:sz w:val="20"/>
                <w:szCs w:val="20"/>
                <w:vertAlign w:val="superscript"/>
                <w:lang w:eastAsia="en-GB"/>
              </w:rPr>
              <w:t>(</w:t>
            </w:r>
            <w:proofErr w:type="gramEnd"/>
            <w:r w:rsidR="00695A85" w:rsidRPr="00ED55A2">
              <w:rPr>
                <w:rFonts w:ascii="Times New Roman" w:hAnsi="Times New Roman" w:cs="Times New Roman"/>
                <w:noProof/>
                <w:sz w:val="20"/>
                <w:szCs w:val="20"/>
                <w:vertAlign w:val="superscript"/>
                <w:lang w:eastAsia="en-GB"/>
              </w:rPr>
              <w:t>1</w:t>
            </w:r>
            <w:r w:rsidR="004821F6">
              <w:rPr>
                <w:rFonts w:ascii="Times New Roman" w:hAnsi="Times New Roman" w:cs="Times New Roman"/>
                <w:noProof/>
                <w:sz w:val="20"/>
                <w:szCs w:val="20"/>
                <w:vertAlign w:val="superscript"/>
                <w:lang w:eastAsia="en-GB"/>
              </w:rPr>
              <w:t>1</w:t>
            </w:r>
            <w:r w:rsidRPr="00ED55A2">
              <w:rPr>
                <w:rFonts w:ascii="Times New Roman" w:hAnsi="Times New Roman" w:cs="Times New Roman"/>
                <w:noProof/>
                <w:sz w:val="20"/>
                <w:szCs w:val="20"/>
                <w:vertAlign w:val="superscript"/>
                <w:lang w:eastAsia="en-GB"/>
              </w:rPr>
              <w:t>)</w:t>
            </w:r>
            <w:r w:rsidRPr="00170648">
              <w:rPr>
                <w:rFonts w:ascii="Times New Roman" w:hAnsi="Times New Roman" w:cs="Times New Roman"/>
                <w:sz w:val="20"/>
                <w:szCs w:val="20"/>
                <w:lang w:eastAsia="en-GB"/>
              </w:rPr>
              <w:t xml:space="preserve">. </w:t>
            </w:r>
          </w:p>
          <w:p w14:paraId="539D3546" w14:textId="77777777" w:rsidR="00CE486B" w:rsidRPr="00170648" w:rsidRDefault="00CE486B" w:rsidP="00D95F01">
            <w:pPr>
              <w:rPr>
                <w:rFonts w:ascii="Times New Roman" w:hAnsi="Times New Roman" w:cs="Times New Roman"/>
                <w:sz w:val="20"/>
                <w:szCs w:val="20"/>
                <w:lang w:eastAsia="en-GB"/>
              </w:rPr>
            </w:pPr>
          </w:p>
          <w:p w14:paraId="51119040" w14:textId="15D60A2C"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 xml:space="preserve">Portions for snacks based on standard crisp portion size. Processed meat based on standard processed meat </w:t>
            </w:r>
            <w:proofErr w:type="gramStart"/>
            <w:r w:rsidRPr="00170648">
              <w:rPr>
                <w:rFonts w:ascii="Times New Roman" w:hAnsi="Times New Roman" w:cs="Times New Roman"/>
                <w:sz w:val="20"/>
                <w:szCs w:val="20"/>
                <w:lang w:eastAsia="en-GB"/>
              </w:rPr>
              <w:t>portion</w:t>
            </w:r>
            <w:r w:rsidRPr="00ED55A2">
              <w:rPr>
                <w:rFonts w:ascii="Times New Roman" w:hAnsi="Times New Roman" w:cs="Times New Roman"/>
                <w:noProof/>
                <w:sz w:val="20"/>
                <w:szCs w:val="20"/>
                <w:vertAlign w:val="superscript"/>
              </w:rPr>
              <w:t>(</w:t>
            </w:r>
            <w:proofErr w:type="gramEnd"/>
            <w:r w:rsidR="00EE782C" w:rsidRPr="00ED55A2">
              <w:rPr>
                <w:rFonts w:ascii="Times New Roman" w:hAnsi="Times New Roman" w:cs="Times New Roman"/>
                <w:noProof/>
                <w:sz w:val="20"/>
                <w:szCs w:val="20"/>
                <w:vertAlign w:val="superscript"/>
              </w:rPr>
              <w:t>1</w:t>
            </w:r>
            <w:r w:rsidR="004821F6">
              <w:rPr>
                <w:rFonts w:ascii="Times New Roman" w:hAnsi="Times New Roman" w:cs="Times New Roman"/>
                <w:noProof/>
                <w:sz w:val="20"/>
                <w:szCs w:val="20"/>
                <w:vertAlign w:val="superscript"/>
              </w:rPr>
              <w:t>0</w:t>
            </w:r>
            <w:r w:rsidRPr="00ED55A2">
              <w:rPr>
                <w:rFonts w:ascii="Times New Roman" w:hAnsi="Times New Roman" w:cs="Times New Roman"/>
                <w:noProof/>
                <w:sz w:val="20"/>
                <w:szCs w:val="20"/>
                <w:vertAlign w:val="superscript"/>
              </w:rPr>
              <w:t>)</w:t>
            </w:r>
            <w:r w:rsidRPr="00170648">
              <w:rPr>
                <w:rFonts w:ascii="Times New Roman" w:hAnsi="Times New Roman" w:cs="Times New Roman"/>
                <w:sz w:val="20"/>
                <w:szCs w:val="20"/>
                <w:lang w:eastAsia="en-GB"/>
              </w:rPr>
              <w:t>. Maximum 1 portion/day of all salty snack and foods combined to promote limited and infrequent consumption.</w:t>
            </w:r>
          </w:p>
        </w:tc>
        <w:tc>
          <w:tcPr>
            <w:tcW w:w="980" w:type="dxa"/>
            <w:tcBorders>
              <w:top w:val="single" w:sz="4" w:space="0" w:color="auto"/>
              <w:left w:val="nil"/>
              <w:bottom w:val="single" w:sz="4" w:space="0" w:color="auto"/>
              <w:right w:val="nil"/>
            </w:tcBorders>
            <w:vAlign w:val="center"/>
          </w:tcPr>
          <w:p w14:paraId="29D7CE94"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lastRenderedPageBreak/>
              <w:t>Negative appraisal</w:t>
            </w:r>
          </w:p>
        </w:tc>
      </w:tr>
      <w:tr w:rsidR="00CE486B" w:rsidRPr="00170648" w14:paraId="6DF948D8" w14:textId="77777777" w:rsidTr="00FC6609">
        <w:trPr>
          <w:gridAfter w:val="1"/>
          <w:wAfter w:w="6" w:type="dxa"/>
          <w:trHeight w:val="2480"/>
        </w:trPr>
        <w:tc>
          <w:tcPr>
            <w:tcW w:w="1984" w:type="dxa"/>
            <w:tcBorders>
              <w:top w:val="single" w:sz="4" w:space="0" w:color="auto"/>
              <w:left w:val="nil"/>
              <w:bottom w:val="single" w:sz="4" w:space="0" w:color="auto"/>
              <w:right w:val="nil"/>
            </w:tcBorders>
            <w:vAlign w:val="center"/>
          </w:tcPr>
          <w:p w14:paraId="1A95C0EA" w14:textId="77777777" w:rsidR="00F97CFF" w:rsidRDefault="00F97CFF" w:rsidP="00BB5B01">
            <w:pPr>
              <w:rPr>
                <w:rFonts w:ascii="Times New Roman" w:hAnsi="Times New Roman" w:cs="Times New Roman"/>
                <w:sz w:val="20"/>
                <w:szCs w:val="20"/>
              </w:rPr>
            </w:pPr>
            <w:r>
              <w:rPr>
                <w:rFonts w:ascii="Times New Roman" w:hAnsi="Times New Roman" w:cs="Times New Roman"/>
                <w:sz w:val="20"/>
                <w:szCs w:val="20"/>
              </w:rPr>
              <w:t>Fat and fatty acids</w:t>
            </w:r>
          </w:p>
          <w:p w14:paraId="06749741" w14:textId="6C9E0960" w:rsidR="00CE486B" w:rsidRPr="00170648" w:rsidRDefault="00F97CFF" w:rsidP="00BB5B01">
            <w:pPr>
              <w:rPr>
                <w:rFonts w:ascii="Times New Roman" w:hAnsi="Times New Roman" w:cs="Times New Roman"/>
                <w:sz w:val="20"/>
                <w:szCs w:val="20"/>
                <w:lang w:eastAsia="en-GB"/>
              </w:rPr>
            </w:pPr>
            <w:r>
              <w:rPr>
                <w:rFonts w:ascii="Times New Roman" w:hAnsi="Times New Roman" w:cs="Times New Roman"/>
                <w:sz w:val="20"/>
                <w:szCs w:val="20"/>
              </w:rPr>
              <w:t>(</w:t>
            </w:r>
            <w:proofErr w:type="gramStart"/>
            <w:r>
              <w:rPr>
                <w:rFonts w:ascii="Times New Roman" w:hAnsi="Times New Roman" w:cs="Times New Roman"/>
                <w:sz w:val="20"/>
                <w:szCs w:val="20"/>
              </w:rPr>
              <w:t>c</w:t>
            </w:r>
            <w:r w:rsidR="00CE486B" w:rsidRPr="00170648">
              <w:rPr>
                <w:rFonts w:ascii="Times New Roman" w:hAnsi="Times New Roman" w:cs="Times New Roman"/>
                <w:sz w:val="20"/>
                <w:szCs w:val="20"/>
              </w:rPr>
              <w:t>ooking</w:t>
            </w:r>
            <w:proofErr w:type="gramEnd"/>
            <w:r w:rsidR="00CE486B" w:rsidRPr="00170648">
              <w:rPr>
                <w:rFonts w:ascii="Times New Roman" w:hAnsi="Times New Roman" w:cs="Times New Roman"/>
                <w:sz w:val="20"/>
                <w:szCs w:val="20"/>
              </w:rPr>
              <w:t xml:space="preserve"> oil and spreads</w:t>
            </w:r>
            <w:r>
              <w:rPr>
                <w:rFonts w:ascii="Times New Roman" w:hAnsi="Times New Roman" w:cs="Times New Roman"/>
                <w:sz w:val="20"/>
                <w:szCs w:val="20"/>
              </w:rPr>
              <w:t>)</w:t>
            </w:r>
          </w:p>
        </w:tc>
        <w:tc>
          <w:tcPr>
            <w:tcW w:w="2216" w:type="dxa"/>
            <w:tcBorders>
              <w:top w:val="single" w:sz="4" w:space="0" w:color="auto"/>
              <w:left w:val="nil"/>
              <w:bottom w:val="single" w:sz="4" w:space="0" w:color="auto"/>
              <w:right w:val="nil"/>
            </w:tcBorders>
            <w:vAlign w:val="center"/>
          </w:tcPr>
          <w:p w14:paraId="41DB5D8C"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100% MUFA and PUFA</w:t>
            </w:r>
          </w:p>
        </w:tc>
        <w:tc>
          <w:tcPr>
            <w:tcW w:w="2744" w:type="dxa"/>
            <w:tcBorders>
              <w:top w:val="single" w:sz="4" w:space="0" w:color="auto"/>
              <w:left w:val="nil"/>
              <w:bottom w:val="single" w:sz="4" w:space="0" w:color="auto"/>
              <w:right w:val="nil"/>
            </w:tcBorders>
            <w:vAlign w:val="center"/>
          </w:tcPr>
          <w:p w14:paraId="17A0A1E6"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rPr>
              <w:t xml:space="preserve">Percentage of spreads and oils predominantly comprised of MUFA and </w:t>
            </w:r>
            <w:proofErr w:type="gramStart"/>
            <w:r w:rsidRPr="00170648">
              <w:rPr>
                <w:rFonts w:ascii="Times New Roman" w:hAnsi="Times New Roman" w:cs="Times New Roman"/>
                <w:sz w:val="20"/>
                <w:szCs w:val="20"/>
              </w:rPr>
              <w:t>PUFA</w:t>
            </w:r>
            <w:proofErr w:type="gramEnd"/>
          </w:p>
          <w:p w14:paraId="086FA676" w14:textId="77777777" w:rsidR="00CE486B" w:rsidRPr="00170648" w:rsidRDefault="00CE486B" w:rsidP="00BB5B01">
            <w:pPr>
              <w:rPr>
                <w:rFonts w:ascii="Times New Roman" w:hAnsi="Times New Roman" w:cs="Times New Roman"/>
                <w:sz w:val="20"/>
                <w:szCs w:val="20"/>
              </w:rPr>
            </w:pPr>
          </w:p>
          <w:p w14:paraId="3E51AF4B" w14:textId="77777777" w:rsidR="00CE486B" w:rsidRPr="00170648" w:rsidRDefault="00CE486B" w:rsidP="00BB5B01">
            <w:pPr>
              <w:pStyle w:val="FootnoteText"/>
              <w:rPr>
                <w:rFonts w:ascii="Times New Roman" w:hAnsi="Times New Roman" w:cs="Times New Roman"/>
              </w:rPr>
            </w:pPr>
            <w:r w:rsidRPr="00170648">
              <w:rPr>
                <w:rFonts w:ascii="Times New Roman" w:hAnsi="Times New Roman" w:cs="Times New Roman"/>
              </w:rPr>
              <w:t>Fat composition of MUFA/PUFA oils and spreads (MUFA+PUFA</w:t>
            </w:r>
            <w:proofErr w:type="gramStart"/>
            <w:r w:rsidRPr="00170648">
              <w:rPr>
                <w:rFonts w:ascii="Times New Roman" w:hAnsi="Times New Roman" w:cs="Times New Roman"/>
              </w:rPr>
              <w:t>):SFA</w:t>
            </w:r>
            <w:proofErr w:type="gramEnd"/>
            <w:r w:rsidRPr="00170648">
              <w:rPr>
                <w:rFonts w:ascii="Times New Roman" w:hAnsi="Times New Roman" w:cs="Times New Roman"/>
              </w:rPr>
              <w:t>≥2</w:t>
            </w:r>
          </w:p>
          <w:p w14:paraId="5EBEB373" w14:textId="77777777" w:rsidR="00CE486B" w:rsidRPr="00170648" w:rsidRDefault="00CE486B" w:rsidP="00BB5B01">
            <w:pPr>
              <w:pStyle w:val="FootnoteText"/>
              <w:rPr>
                <w:rFonts w:ascii="Times New Roman" w:hAnsi="Times New Roman" w:cs="Times New Roman"/>
              </w:rPr>
            </w:pPr>
          </w:p>
          <w:p w14:paraId="54F72F7F" w14:textId="77777777" w:rsidR="00CE486B" w:rsidRPr="00170648" w:rsidRDefault="00CE486B" w:rsidP="00BB5B01">
            <w:pPr>
              <w:pStyle w:val="FootnoteText"/>
              <w:rPr>
                <w:rFonts w:ascii="Times New Roman" w:hAnsi="Times New Roman" w:cs="Times New Roman"/>
              </w:rPr>
            </w:pPr>
            <w:r w:rsidRPr="00170648">
              <w:rPr>
                <w:rFonts w:ascii="Times New Roman" w:hAnsi="Times New Roman" w:cs="Times New Roman"/>
              </w:rPr>
              <w:t>Percentage calculated as proportion of MUFA/PUFA oils and spreads out of total oils and spreads</w:t>
            </w:r>
          </w:p>
        </w:tc>
        <w:tc>
          <w:tcPr>
            <w:tcW w:w="904" w:type="dxa"/>
            <w:tcBorders>
              <w:top w:val="single" w:sz="4" w:space="0" w:color="auto"/>
              <w:left w:val="nil"/>
              <w:bottom w:val="single" w:sz="4" w:space="0" w:color="auto"/>
              <w:right w:val="nil"/>
            </w:tcBorders>
            <w:vAlign w:val="center"/>
          </w:tcPr>
          <w:p w14:paraId="29E60A7B"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w:t>
            </w:r>
          </w:p>
        </w:tc>
        <w:tc>
          <w:tcPr>
            <w:tcW w:w="5794" w:type="dxa"/>
            <w:tcBorders>
              <w:top w:val="single" w:sz="4" w:space="0" w:color="auto"/>
              <w:left w:val="nil"/>
              <w:bottom w:val="single" w:sz="4" w:space="0" w:color="auto"/>
              <w:right w:val="nil"/>
            </w:tcBorders>
            <w:vAlign w:val="center"/>
          </w:tcPr>
          <w:p w14:paraId="792CE75F" w14:textId="460A3698"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Fat spreads high contributor to total fat and SFA intake in UK. Also provide vitamin A and E</w:t>
            </w:r>
            <w:r w:rsidR="00BF65B7">
              <w:rPr>
                <w:rFonts w:ascii="Times New Roman" w:hAnsi="Times New Roman" w:cs="Times New Roman"/>
                <w:sz w:val="20"/>
                <w:szCs w:val="20"/>
              </w:rPr>
              <w:t>, whereas oils such as rapeseed, olive and sunflower oil provide MUFA and PUFA</w:t>
            </w:r>
            <w:r w:rsidRPr="00170648">
              <w:rPr>
                <w:rFonts w:ascii="Times New Roman" w:hAnsi="Times New Roman" w:cs="Times New Roman"/>
                <w:sz w:val="20"/>
                <w:szCs w:val="20"/>
              </w:rPr>
              <w:t xml:space="preserve">. </w:t>
            </w:r>
          </w:p>
          <w:p w14:paraId="4AB52DC8" w14:textId="77777777" w:rsidR="00CE486B" w:rsidRPr="00170648" w:rsidRDefault="00CE486B" w:rsidP="00D95F01">
            <w:pPr>
              <w:rPr>
                <w:rFonts w:ascii="Times New Roman" w:hAnsi="Times New Roman" w:cs="Times New Roman"/>
                <w:sz w:val="20"/>
                <w:szCs w:val="20"/>
              </w:rPr>
            </w:pPr>
          </w:p>
          <w:p w14:paraId="2DB85A9A"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Measurement as percentage of MUFA or PUFA fats or oils compared to SFA to promote dietary replacement. </w:t>
            </w:r>
          </w:p>
        </w:tc>
        <w:tc>
          <w:tcPr>
            <w:tcW w:w="980" w:type="dxa"/>
            <w:tcBorders>
              <w:top w:val="single" w:sz="4" w:space="0" w:color="auto"/>
              <w:left w:val="nil"/>
              <w:bottom w:val="single" w:sz="4" w:space="0" w:color="auto"/>
              <w:right w:val="nil"/>
            </w:tcBorders>
            <w:vAlign w:val="center"/>
          </w:tcPr>
          <w:p w14:paraId="147880FE"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Positive appraisal</w:t>
            </w:r>
          </w:p>
        </w:tc>
      </w:tr>
      <w:tr w:rsidR="00CE486B" w:rsidRPr="00170648" w14:paraId="24D5C482" w14:textId="77777777" w:rsidTr="00CE486B">
        <w:trPr>
          <w:gridAfter w:val="1"/>
          <w:wAfter w:w="6" w:type="dxa"/>
          <w:trHeight w:val="2100"/>
        </w:trPr>
        <w:tc>
          <w:tcPr>
            <w:tcW w:w="1984" w:type="dxa"/>
            <w:tcBorders>
              <w:top w:val="single" w:sz="4" w:space="0" w:color="auto"/>
              <w:left w:val="nil"/>
              <w:bottom w:val="single" w:sz="4" w:space="0" w:color="auto"/>
              <w:right w:val="nil"/>
            </w:tcBorders>
            <w:vAlign w:val="center"/>
          </w:tcPr>
          <w:p w14:paraId="4C8CE29C" w14:textId="77777777" w:rsidR="00CE486B"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Alcohol</w:t>
            </w:r>
          </w:p>
          <w:p w14:paraId="0F6C65A2" w14:textId="05DAAB9A" w:rsidR="00F97CFF" w:rsidRPr="00170648" w:rsidRDefault="00F97CFF" w:rsidP="00BB5B01">
            <w:pPr>
              <w:rPr>
                <w:rFonts w:ascii="Times New Roman" w:hAnsi="Times New Roman" w:cs="Times New Roman"/>
                <w:sz w:val="20"/>
                <w:szCs w:val="20"/>
                <w:lang w:eastAsia="en-GB"/>
              </w:rPr>
            </w:pPr>
            <w:r>
              <w:rPr>
                <w:rFonts w:ascii="Times New Roman" w:hAnsi="Times New Roman" w:cs="Times New Roman"/>
                <w:sz w:val="20"/>
                <w:szCs w:val="20"/>
                <w:lang w:eastAsia="en-GB"/>
              </w:rPr>
              <w:t>(</w:t>
            </w:r>
            <w:proofErr w:type="gramStart"/>
            <w:r>
              <w:rPr>
                <w:rFonts w:ascii="Times New Roman" w:hAnsi="Times New Roman" w:cs="Times New Roman"/>
                <w:sz w:val="20"/>
                <w:szCs w:val="20"/>
                <w:lang w:eastAsia="en-GB"/>
              </w:rPr>
              <w:t>alcoholic</w:t>
            </w:r>
            <w:proofErr w:type="gramEnd"/>
            <w:r>
              <w:rPr>
                <w:rFonts w:ascii="Times New Roman" w:hAnsi="Times New Roman" w:cs="Times New Roman"/>
                <w:sz w:val="20"/>
                <w:szCs w:val="20"/>
                <w:lang w:eastAsia="en-GB"/>
              </w:rPr>
              <w:t xml:space="preserve"> drinks)</w:t>
            </w:r>
          </w:p>
        </w:tc>
        <w:tc>
          <w:tcPr>
            <w:tcW w:w="2216" w:type="dxa"/>
            <w:tcBorders>
              <w:top w:val="single" w:sz="4" w:space="0" w:color="auto"/>
              <w:left w:val="nil"/>
              <w:bottom w:val="single" w:sz="4" w:space="0" w:color="auto"/>
              <w:right w:val="nil"/>
            </w:tcBorders>
            <w:vAlign w:val="center"/>
          </w:tcPr>
          <w:p w14:paraId="4C839F57" w14:textId="77777777" w:rsidR="00CE486B" w:rsidRPr="00170648" w:rsidRDefault="00CE486B" w:rsidP="00BB5B01">
            <w:pPr>
              <w:jc w:val="center"/>
              <w:rPr>
                <w:rFonts w:ascii="Times New Roman" w:hAnsi="Times New Roman" w:cs="Times New Roman"/>
                <w:sz w:val="20"/>
                <w:szCs w:val="20"/>
                <w:lang w:eastAsia="en-GB"/>
              </w:rPr>
            </w:pPr>
            <w:r w:rsidRPr="00170648">
              <w:rPr>
                <w:rFonts w:ascii="Times New Roman" w:hAnsi="Times New Roman" w:cs="Times New Roman"/>
                <w:sz w:val="20"/>
                <w:szCs w:val="20"/>
                <w:lang w:eastAsia="en-GB"/>
              </w:rPr>
              <w:t>≤14 units/week</w:t>
            </w:r>
          </w:p>
        </w:tc>
        <w:tc>
          <w:tcPr>
            <w:tcW w:w="2744" w:type="dxa"/>
            <w:tcBorders>
              <w:top w:val="single" w:sz="4" w:space="0" w:color="auto"/>
              <w:left w:val="nil"/>
              <w:bottom w:val="single" w:sz="4" w:space="0" w:color="auto"/>
              <w:right w:val="nil"/>
            </w:tcBorders>
            <w:vAlign w:val="center"/>
          </w:tcPr>
          <w:p w14:paraId="70849BE1"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To include all alcoholic drinks</w:t>
            </w:r>
          </w:p>
          <w:p w14:paraId="2A5CE753" w14:textId="77777777" w:rsidR="00CE486B" w:rsidRPr="00170648" w:rsidRDefault="00CE486B" w:rsidP="00BB5B01">
            <w:pPr>
              <w:rPr>
                <w:rFonts w:ascii="Times New Roman" w:hAnsi="Times New Roman" w:cs="Times New Roman"/>
                <w:sz w:val="20"/>
                <w:szCs w:val="20"/>
                <w:lang w:eastAsia="en-GB"/>
              </w:rPr>
            </w:pPr>
          </w:p>
          <w:p w14:paraId="492313DF" w14:textId="383B356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rPr>
              <w:t>75</w:t>
            </w:r>
            <w:r>
              <w:rPr>
                <w:rFonts w:ascii="Times New Roman" w:hAnsi="Times New Roman" w:cs="Times New Roman"/>
                <w:sz w:val="20"/>
                <w:szCs w:val="20"/>
              </w:rPr>
              <w:t xml:space="preserve"> mL</w:t>
            </w:r>
            <w:r w:rsidRPr="00170648">
              <w:rPr>
                <w:rFonts w:ascii="Times New Roman" w:hAnsi="Times New Roman" w:cs="Times New Roman"/>
                <w:sz w:val="20"/>
                <w:szCs w:val="20"/>
              </w:rPr>
              <w:t xml:space="preserve"> wine, 220</w:t>
            </w:r>
            <w:r>
              <w:rPr>
                <w:rFonts w:ascii="Times New Roman" w:hAnsi="Times New Roman" w:cs="Times New Roman"/>
                <w:sz w:val="20"/>
                <w:szCs w:val="20"/>
              </w:rPr>
              <w:t xml:space="preserve"> </w:t>
            </w:r>
            <w:r w:rsidRPr="00170648">
              <w:rPr>
                <w:rFonts w:ascii="Times New Roman" w:hAnsi="Times New Roman" w:cs="Times New Roman"/>
                <w:sz w:val="20"/>
                <w:szCs w:val="20"/>
              </w:rPr>
              <w:t>m</w:t>
            </w:r>
            <w:r>
              <w:rPr>
                <w:rFonts w:ascii="Times New Roman" w:hAnsi="Times New Roman" w:cs="Times New Roman"/>
                <w:sz w:val="20"/>
                <w:szCs w:val="20"/>
              </w:rPr>
              <w:t>L</w:t>
            </w:r>
            <w:r w:rsidRPr="00170648">
              <w:rPr>
                <w:rFonts w:ascii="Times New Roman" w:hAnsi="Times New Roman" w:cs="Times New Roman"/>
                <w:sz w:val="20"/>
                <w:szCs w:val="20"/>
              </w:rPr>
              <w:t xml:space="preserve"> beer, lager, cider or alcoholic soft drinks, 25</w:t>
            </w:r>
            <w:r>
              <w:rPr>
                <w:rFonts w:ascii="Times New Roman" w:hAnsi="Times New Roman" w:cs="Times New Roman"/>
                <w:sz w:val="20"/>
                <w:szCs w:val="20"/>
              </w:rPr>
              <w:t xml:space="preserve"> mL</w:t>
            </w:r>
            <w:r w:rsidRPr="00170648">
              <w:rPr>
                <w:rFonts w:ascii="Times New Roman" w:hAnsi="Times New Roman" w:cs="Times New Roman"/>
                <w:sz w:val="20"/>
                <w:szCs w:val="20"/>
              </w:rPr>
              <w:t xml:space="preserve"> spirits, liqueurs or fortified wine, not including low or no alcohol </w:t>
            </w:r>
            <w:proofErr w:type="gramStart"/>
            <w:r w:rsidRPr="00170648">
              <w:rPr>
                <w:rFonts w:ascii="Times New Roman" w:hAnsi="Times New Roman" w:cs="Times New Roman"/>
                <w:sz w:val="20"/>
                <w:szCs w:val="20"/>
              </w:rPr>
              <w:t>versions</w:t>
            </w:r>
            <w:proofErr w:type="gramEnd"/>
          </w:p>
          <w:p w14:paraId="61BE3F1B" w14:textId="77777777" w:rsidR="00CE486B" w:rsidRPr="00170648" w:rsidRDefault="00CE486B" w:rsidP="00BB5B01">
            <w:pPr>
              <w:rPr>
                <w:rFonts w:ascii="Times New Roman" w:hAnsi="Times New Roman" w:cs="Times New Roman"/>
                <w:sz w:val="20"/>
                <w:szCs w:val="20"/>
                <w:lang w:eastAsia="en-GB"/>
              </w:rPr>
            </w:pPr>
          </w:p>
          <w:p w14:paraId="5A87DAA1"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rPr>
              <w:t>1 portion equals 1 unit</w:t>
            </w:r>
          </w:p>
        </w:tc>
        <w:tc>
          <w:tcPr>
            <w:tcW w:w="904" w:type="dxa"/>
            <w:tcBorders>
              <w:top w:val="single" w:sz="4" w:space="0" w:color="auto"/>
              <w:left w:val="nil"/>
              <w:bottom w:val="single" w:sz="4" w:space="0" w:color="auto"/>
              <w:right w:val="nil"/>
            </w:tcBorders>
            <w:vAlign w:val="center"/>
          </w:tcPr>
          <w:p w14:paraId="28DB3AF1" w14:textId="77777777" w:rsidR="00CE486B" w:rsidRPr="00170648" w:rsidRDefault="00CE486B" w:rsidP="00BB5B01">
            <w:pPr>
              <w:jc w:val="center"/>
              <w:rPr>
                <w:rFonts w:ascii="Times New Roman" w:hAnsi="Times New Roman" w:cs="Times New Roman"/>
                <w:sz w:val="20"/>
                <w:szCs w:val="20"/>
                <w:lang w:eastAsia="en-GB"/>
              </w:rPr>
            </w:pPr>
            <w:r w:rsidRPr="00170648">
              <w:rPr>
                <w:rFonts w:ascii="Times New Roman" w:hAnsi="Times New Roman" w:cs="Times New Roman"/>
                <w:sz w:val="20"/>
                <w:szCs w:val="20"/>
                <w:lang w:eastAsia="en-GB"/>
              </w:rPr>
              <w:t>units</w:t>
            </w:r>
          </w:p>
        </w:tc>
        <w:tc>
          <w:tcPr>
            <w:tcW w:w="5794" w:type="dxa"/>
            <w:tcBorders>
              <w:top w:val="single" w:sz="4" w:space="0" w:color="auto"/>
              <w:left w:val="nil"/>
              <w:bottom w:val="single" w:sz="4" w:space="0" w:color="auto"/>
              <w:right w:val="nil"/>
            </w:tcBorders>
            <w:vAlign w:val="center"/>
          </w:tcPr>
          <w:p w14:paraId="5973D0C7" w14:textId="7E014BC0"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 xml:space="preserve">Score measured based on standard alcohol portion sizes for 1 unit of </w:t>
            </w:r>
            <w:proofErr w:type="gramStart"/>
            <w:r w:rsidRPr="00170648">
              <w:rPr>
                <w:rFonts w:ascii="Times New Roman" w:hAnsi="Times New Roman" w:cs="Times New Roman"/>
                <w:sz w:val="20"/>
                <w:szCs w:val="20"/>
                <w:lang w:eastAsia="en-GB"/>
              </w:rPr>
              <w:t>alcohol</w:t>
            </w:r>
            <w:r w:rsidRPr="00ED55A2">
              <w:rPr>
                <w:rFonts w:ascii="Times New Roman" w:hAnsi="Times New Roman" w:cs="Times New Roman"/>
                <w:noProof/>
                <w:sz w:val="20"/>
                <w:szCs w:val="20"/>
                <w:vertAlign w:val="superscript"/>
                <w:lang w:eastAsia="en-GB"/>
              </w:rPr>
              <w:t>(</w:t>
            </w:r>
            <w:proofErr w:type="gramEnd"/>
            <w:r w:rsidR="00594187">
              <w:rPr>
                <w:rFonts w:ascii="Times New Roman" w:hAnsi="Times New Roman" w:cs="Times New Roman"/>
                <w:noProof/>
                <w:sz w:val="20"/>
                <w:szCs w:val="20"/>
                <w:vertAlign w:val="superscript"/>
                <w:lang w:eastAsia="en-GB"/>
              </w:rPr>
              <w:t>32</w:t>
            </w:r>
            <w:r w:rsidRPr="00ED55A2">
              <w:rPr>
                <w:rFonts w:ascii="Times New Roman" w:hAnsi="Times New Roman" w:cs="Times New Roman"/>
                <w:noProof/>
                <w:sz w:val="20"/>
                <w:szCs w:val="20"/>
                <w:vertAlign w:val="superscript"/>
                <w:lang w:eastAsia="en-GB"/>
              </w:rPr>
              <w:t>)</w:t>
            </w:r>
            <w:r w:rsidRPr="00170648">
              <w:rPr>
                <w:rFonts w:ascii="Times New Roman" w:hAnsi="Times New Roman" w:cs="Times New Roman"/>
                <w:sz w:val="20"/>
                <w:szCs w:val="20"/>
                <w:lang w:eastAsia="en-GB"/>
              </w:rPr>
              <w:t>.</w:t>
            </w:r>
          </w:p>
          <w:p w14:paraId="4B1D584E" w14:textId="77777777" w:rsidR="00CE486B" w:rsidRPr="00170648" w:rsidRDefault="00CE486B" w:rsidP="00D95F01">
            <w:pPr>
              <w:rPr>
                <w:rFonts w:ascii="Times New Roman" w:hAnsi="Times New Roman" w:cs="Times New Roman"/>
                <w:sz w:val="20"/>
                <w:szCs w:val="20"/>
                <w:lang w:eastAsia="en-GB"/>
              </w:rPr>
            </w:pPr>
          </w:p>
          <w:p w14:paraId="3FD18566" w14:textId="721D2F11"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Alcohol scoring method differs from other scores. DHD15-Index</w:t>
            </w:r>
            <w:r w:rsidR="002B3BD4">
              <w:rPr>
                <w:rFonts w:ascii="Times New Roman" w:hAnsi="Times New Roman" w:cs="Times New Roman"/>
                <w:sz w:val="20"/>
                <w:szCs w:val="20"/>
                <w:lang w:eastAsia="en-GB"/>
              </w:rPr>
              <w:t xml:space="preserve"> and MDS</w:t>
            </w:r>
            <w:r w:rsidRPr="00170648">
              <w:rPr>
                <w:rFonts w:ascii="Times New Roman" w:hAnsi="Times New Roman" w:cs="Times New Roman"/>
                <w:sz w:val="20"/>
                <w:szCs w:val="20"/>
                <w:lang w:eastAsia="en-GB"/>
              </w:rPr>
              <w:t xml:space="preserve"> positively appraise moderate </w:t>
            </w:r>
            <w:proofErr w:type="gramStart"/>
            <w:r w:rsidRPr="00170648">
              <w:rPr>
                <w:rFonts w:ascii="Times New Roman" w:hAnsi="Times New Roman" w:cs="Times New Roman"/>
                <w:sz w:val="20"/>
                <w:szCs w:val="20"/>
                <w:lang w:eastAsia="en-GB"/>
              </w:rPr>
              <w:t>intake</w:t>
            </w:r>
            <w:r w:rsidRPr="00ED55A2">
              <w:rPr>
                <w:rFonts w:ascii="Times New Roman" w:hAnsi="Times New Roman" w:cs="Times New Roman"/>
                <w:sz w:val="20"/>
                <w:szCs w:val="20"/>
                <w:vertAlign w:val="superscript"/>
                <w:lang w:eastAsia="en-GB"/>
              </w:rPr>
              <w:t>(</w:t>
            </w:r>
            <w:proofErr w:type="gramEnd"/>
            <w:r w:rsidR="002B3BD4" w:rsidRPr="00ED55A2">
              <w:rPr>
                <w:rFonts w:ascii="Times New Roman" w:hAnsi="Times New Roman" w:cs="Times New Roman"/>
                <w:sz w:val="20"/>
                <w:szCs w:val="20"/>
                <w:vertAlign w:val="superscript"/>
                <w:lang w:eastAsia="en-GB"/>
              </w:rPr>
              <w:t>2</w:t>
            </w:r>
            <w:r w:rsidR="00EE6720">
              <w:rPr>
                <w:rFonts w:ascii="Times New Roman" w:hAnsi="Times New Roman" w:cs="Times New Roman"/>
                <w:sz w:val="20"/>
                <w:szCs w:val="20"/>
                <w:vertAlign w:val="superscript"/>
                <w:lang w:eastAsia="en-GB"/>
              </w:rPr>
              <w:t>5</w:t>
            </w:r>
            <w:r w:rsidR="009F3023" w:rsidRPr="00ED55A2">
              <w:rPr>
                <w:rFonts w:ascii="Times New Roman" w:hAnsi="Times New Roman" w:cs="Times New Roman"/>
                <w:sz w:val="20"/>
                <w:szCs w:val="20"/>
                <w:vertAlign w:val="superscript"/>
                <w:lang w:eastAsia="en-GB"/>
              </w:rPr>
              <w:t>,</w:t>
            </w:r>
            <w:r w:rsidR="00EE6720">
              <w:rPr>
                <w:rFonts w:ascii="Times New Roman" w:hAnsi="Times New Roman" w:cs="Times New Roman"/>
                <w:sz w:val="20"/>
                <w:szCs w:val="20"/>
                <w:vertAlign w:val="superscript"/>
                <w:lang w:eastAsia="en-GB"/>
              </w:rPr>
              <w:t>26</w:t>
            </w:r>
            <w:r w:rsidRPr="00ED55A2">
              <w:rPr>
                <w:rFonts w:ascii="Times New Roman" w:hAnsi="Times New Roman" w:cs="Times New Roman"/>
                <w:sz w:val="20"/>
                <w:szCs w:val="20"/>
                <w:vertAlign w:val="superscript"/>
                <w:lang w:eastAsia="en-GB"/>
              </w:rPr>
              <w:t>)</w:t>
            </w:r>
            <w:r w:rsidRPr="00170648">
              <w:rPr>
                <w:rFonts w:ascii="Times New Roman" w:hAnsi="Times New Roman" w:cs="Times New Roman"/>
                <w:sz w:val="20"/>
                <w:szCs w:val="20"/>
                <w:lang w:eastAsia="en-GB"/>
              </w:rPr>
              <w:t xml:space="preserve">. </w:t>
            </w:r>
            <w:r w:rsidR="003E1AD4">
              <w:rPr>
                <w:rFonts w:ascii="Times New Roman" w:hAnsi="Times New Roman" w:cs="Times New Roman"/>
                <w:sz w:val="20"/>
                <w:szCs w:val="20"/>
                <w:lang w:eastAsia="en-GB"/>
              </w:rPr>
              <w:t xml:space="preserve">Decision based on conclusions from our previous </w:t>
            </w:r>
            <w:proofErr w:type="gramStart"/>
            <w:r w:rsidR="003E1AD4">
              <w:rPr>
                <w:rFonts w:ascii="Times New Roman" w:hAnsi="Times New Roman" w:cs="Times New Roman"/>
                <w:sz w:val="20"/>
                <w:szCs w:val="20"/>
                <w:lang w:eastAsia="en-GB"/>
              </w:rPr>
              <w:t>review</w:t>
            </w:r>
            <w:r w:rsidR="003E1AD4" w:rsidRPr="00ED55A2">
              <w:rPr>
                <w:rFonts w:ascii="Times New Roman" w:hAnsi="Times New Roman" w:cs="Times New Roman"/>
                <w:sz w:val="20"/>
                <w:szCs w:val="20"/>
                <w:vertAlign w:val="superscript"/>
                <w:lang w:eastAsia="en-GB"/>
              </w:rPr>
              <w:t>(</w:t>
            </w:r>
            <w:proofErr w:type="gramEnd"/>
            <w:r w:rsidR="00EE6720">
              <w:rPr>
                <w:rFonts w:ascii="Times New Roman" w:hAnsi="Times New Roman" w:cs="Times New Roman"/>
                <w:sz w:val="20"/>
                <w:szCs w:val="20"/>
                <w:vertAlign w:val="superscript"/>
                <w:lang w:eastAsia="en-GB"/>
              </w:rPr>
              <w:t>27</w:t>
            </w:r>
            <w:r w:rsidR="003E1AD4" w:rsidRPr="00ED55A2">
              <w:rPr>
                <w:rFonts w:ascii="Times New Roman" w:hAnsi="Times New Roman" w:cs="Times New Roman"/>
                <w:sz w:val="20"/>
                <w:szCs w:val="20"/>
                <w:vertAlign w:val="superscript"/>
                <w:lang w:eastAsia="en-GB"/>
              </w:rPr>
              <w:t>)</w:t>
            </w:r>
            <w:r w:rsidR="003E1AD4">
              <w:rPr>
                <w:rFonts w:ascii="Times New Roman" w:hAnsi="Times New Roman" w:cs="Times New Roman"/>
                <w:sz w:val="20"/>
                <w:szCs w:val="20"/>
                <w:lang w:eastAsia="en-GB"/>
              </w:rPr>
              <w:t>, where it was not</w:t>
            </w:r>
            <w:r w:rsidRPr="00170648">
              <w:rPr>
                <w:rFonts w:ascii="Times New Roman" w:hAnsi="Times New Roman" w:cs="Times New Roman"/>
                <w:sz w:val="20"/>
                <w:szCs w:val="20"/>
                <w:lang w:eastAsia="en-GB"/>
              </w:rPr>
              <w:t xml:space="preserve"> considered appropriate to promote alcohol consumption in older adults.</w:t>
            </w:r>
          </w:p>
        </w:tc>
        <w:tc>
          <w:tcPr>
            <w:tcW w:w="980" w:type="dxa"/>
            <w:tcBorders>
              <w:top w:val="single" w:sz="4" w:space="0" w:color="auto"/>
              <w:left w:val="nil"/>
              <w:bottom w:val="single" w:sz="4" w:space="0" w:color="auto"/>
              <w:right w:val="nil"/>
            </w:tcBorders>
            <w:vAlign w:val="center"/>
          </w:tcPr>
          <w:p w14:paraId="63F76475"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Negative appraisal</w:t>
            </w:r>
          </w:p>
        </w:tc>
      </w:tr>
      <w:tr w:rsidR="00CE486B" w:rsidRPr="00170648" w14:paraId="36E3DD4E" w14:textId="77777777" w:rsidTr="00CE486B">
        <w:trPr>
          <w:trHeight w:val="454"/>
        </w:trPr>
        <w:tc>
          <w:tcPr>
            <w:tcW w:w="14628" w:type="dxa"/>
            <w:gridSpan w:val="7"/>
            <w:tcBorders>
              <w:top w:val="single" w:sz="4" w:space="0" w:color="auto"/>
              <w:left w:val="nil"/>
              <w:bottom w:val="single" w:sz="4" w:space="0" w:color="auto"/>
              <w:right w:val="nil"/>
            </w:tcBorders>
            <w:vAlign w:val="center"/>
          </w:tcPr>
          <w:p w14:paraId="37E06733" w14:textId="2558DD16" w:rsidR="00CE486B" w:rsidRPr="00170648" w:rsidRDefault="00CE486B" w:rsidP="00D95F01">
            <w:pPr>
              <w:rPr>
                <w:rFonts w:ascii="Times New Roman" w:hAnsi="Times New Roman" w:cs="Times New Roman"/>
                <w:b/>
                <w:sz w:val="20"/>
                <w:szCs w:val="20"/>
                <w:lang w:eastAsia="en-GB"/>
              </w:rPr>
            </w:pPr>
            <w:r w:rsidRPr="00170648">
              <w:rPr>
                <w:rFonts w:ascii="Times New Roman" w:hAnsi="Times New Roman" w:cs="Times New Roman"/>
                <w:b/>
                <w:sz w:val="20"/>
                <w:szCs w:val="20"/>
                <w:lang w:eastAsia="en-GB"/>
              </w:rPr>
              <w:t xml:space="preserve">Components only in </w:t>
            </w:r>
            <w:r w:rsidR="00F97CFF">
              <w:rPr>
                <w:rFonts w:ascii="Times New Roman" w:hAnsi="Times New Roman" w:cs="Times New Roman"/>
                <w:b/>
                <w:sz w:val="20"/>
                <w:szCs w:val="20"/>
                <w:lang w:eastAsia="en-GB"/>
              </w:rPr>
              <w:t>N</w:t>
            </w:r>
            <w:r w:rsidR="00BF6C28">
              <w:rPr>
                <w:rFonts w:ascii="Times New Roman" w:hAnsi="Times New Roman" w:cs="Times New Roman"/>
                <w:b/>
                <w:sz w:val="20"/>
                <w:szCs w:val="20"/>
                <w:lang w:eastAsia="en-GB"/>
              </w:rPr>
              <w:t>FDQI</w:t>
            </w:r>
            <w:r w:rsidRPr="00170648">
              <w:rPr>
                <w:rFonts w:ascii="Times New Roman" w:hAnsi="Times New Roman" w:cs="Times New Roman"/>
                <w:b/>
                <w:sz w:val="20"/>
                <w:szCs w:val="20"/>
                <w:lang w:eastAsia="en-GB"/>
              </w:rPr>
              <w:t>-65+</w:t>
            </w:r>
            <w:r w:rsidR="00F97CFF">
              <w:rPr>
                <w:rFonts w:ascii="Times New Roman" w:hAnsi="Times New Roman" w:cs="Times New Roman"/>
                <w:b/>
                <w:sz w:val="20"/>
                <w:szCs w:val="20"/>
                <w:lang w:eastAsia="en-GB"/>
              </w:rPr>
              <w:t>PA and N</w:t>
            </w:r>
            <w:r w:rsidR="00BF6C28">
              <w:rPr>
                <w:rFonts w:ascii="Times New Roman" w:hAnsi="Times New Roman" w:cs="Times New Roman"/>
                <w:b/>
                <w:sz w:val="20"/>
                <w:szCs w:val="20"/>
                <w:lang w:eastAsia="en-GB"/>
              </w:rPr>
              <w:t>FDQI</w:t>
            </w:r>
            <w:r w:rsidR="00F97CFF">
              <w:rPr>
                <w:rFonts w:ascii="Times New Roman" w:hAnsi="Times New Roman" w:cs="Times New Roman"/>
                <w:b/>
                <w:sz w:val="20"/>
                <w:szCs w:val="20"/>
                <w:lang w:eastAsia="en-GB"/>
              </w:rPr>
              <w:t>-65</w:t>
            </w:r>
          </w:p>
        </w:tc>
      </w:tr>
      <w:tr w:rsidR="00CE486B" w:rsidRPr="00170648" w14:paraId="695FD348" w14:textId="77777777" w:rsidTr="00CE486B">
        <w:trPr>
          <w:gridAfter w:val="1"/>
          <w:wAfter w:w="6" w:type="dxa"/>
          <w:trHeight w:val="541"/>
        </w:trPr>
        <w:tc>
          <w:tcPr>
            <w:tcW w:w="1984" w:type="dxa"/>
            <w:tcBorders>
              <w:top w:val="single" w:sz="4" w:space="0" w:color="auto"/>
              <w:left w:val="nil"/>
              <w:bottom w:val="single" w:sz="4" w:space="0" w:color="auto"/>
              <w:right w:val="nil"/>
            </w:tcBorders>
            <w:vAlign w:val="center"/>
          </w:tcPr>
          <w:p w14:paraId="5EADC1A4"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rPr>
              <w:t>Free sugars</w:t>
            </w:r>
          </w:p>
        </w:tc>
        <w:tc>
          <w:tcPr>
            <w:tcW w:w="2216" w:type="dxa"/>
            <w:tcBorders>
              <w:top w:val="single" w:sz="4" w:space="0" w:color="auto"/>
              <w:left w:val="nil"/>
              <w:bottom w:val="single" w:sz="4" w:space="0" w:color="auto"/>
              <w:right w:val="nil"/>
            </w:tcBorders>
            <w:vAlign w:val="center"/>
          </w:tcPr>
          <w:p w14:paraId="4AEA9548"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≤5% energy intake</w:t>
            </w:r>
          </w:p>
        </w:tc>
        <w:tc>
          <w:tcPr>
            <w:tcW w:w="2744" w:type="dxa"/>
            <w:tcBorders>
              <w:top w:val="single" w:sz="4" w:space="0" w:color="auto"/>
              <w:left w:val="nil"/>
              <w:bottom w:val="single" w:sz="4" w:space="0" w:color="auto"/>
              <w:right w:val="nil"/>
            </w:tcBorders>
            <w:vAlign w:val="center"/>
          </w:tcPr>
          <w:p w14:paraId="246DC9CB"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rPr>
              <w:t>To be measured as percentage of energy intake from free sugars from nutrient calculations</w:t>
            </w:r>
          </w:p>
        </w:tc>
        <w:tc>
          <w:tcPr>
            <w:tcW w:w="904" w:type="dxa"/>
            <w:tcBorders>
              <w:top w:val="single" w:sz="4" w:space="0" w:color="auto"/>
              <w:left w:val="nil"/>
              <w:bottom w:val="single" w:sz="4" w:space="0" w:color="auto"/>
              <w:right w:val="nil"/>
            </w:tcBorders>
            <w:vAlign w:val="center"/>
          </w:tcPr>
          <w:p w14:paraId="22E33409"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 xml:space="preserve">% </w:t>
            </w:r>
            <w:proofErr w:type="gramStart"/>
            <w:r w:rsidRPr="00170648">
              <w:rPr>
                <w:rFonts w:ascii="Times New Roman" w:hAnsi="Times New Roman" w:cs="Times New Roman"/>
                <w:sz w:val="20"/>
                <w:szCs w:val="20"/>
              </w:rPr>
              <w:t>energy</w:t>
            </w:r>
            <w:proofErr w:type="gramEnd"/>
            <w:r w:rsidRPr="00170648">
              <w:rPr>
                <w:rFonts w:ascii="Times New Roman" w:hAnsi="Times New Roman" w:cs="Times New Roman"/>
                <w:sz w:val="20"/>
                <w:szCs w:val="20"/>
              </w:rPr>
              <w:t xml:space="preserve"> intake</w:t>
            </w:r>
          </w:p>
        </w:tc>
        <w:tc>
          <w:tcPr>
            <w:tcW w:w="5794" w:type="dxa"/>
            <w:tcBorders>
              <w:top w:val="single" w:sz="4" w:space="0" w:color="auto"/>
              <w:left w:val="nil"/>
              <w:bottom w:val="single" w:sz="4" w:space="0" w:color="auto"/>
              <w:right w:val="nil"/>
            </w:tcBorders>
            <w:vAlign w:val="center"/>
          </w:tcPr>
          <w:p w14:paraId="37CA9380" w14:textId="6FDEEF55"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Measured as nutritional intake to capture all sources of sugar in the diet</w:t>
            </w:r>
            <w:r w:rsidR="003E1AD4">
              <w:rPr>
                <w:rFonts w:ascii="Times New Roman" w:hAnsi="Times New Roman" w:cs="Times New Roman"/>
                <w:sz w:val="20"/>
                <w:szCs w:val="20"/>
              </w:rPr>
              <w:t>, but utilising the definition adopted by SACN in 2015</w:t>
            </w:r>
            <w:r w:rsidR="003E1AD4" w:rsidRPr="00ED55A2">
              <w:rPr>
                <w:rFonts w:ascii="Times New Roman" w:hAnsi="Times New Roman" w:cs="Times New Roman"/>
                <w:sz w:val="20"/>
                <w:szCs w:val="20"/>
                <w:vertAlign w:val="superscript"/>
              </w:rPr>
              <w:t>(</w:t>
            </w:r>
            <w:r w:rsidR="00EE6720">
              <w:rPr>
                <w:rFonts w:ascii="Times New Roman" w:hAnsi="Times New Roman" w:cs="Times New Roman"/>
                <w:sz w:val="20"/>
                <w:szCs w:val="20"/>
                <w:vertAlign w:val="superscript"/>
              </w:rPr>
              <w:t>6</w:t>
            </w:r>
            <w:r w:rsidR="003E1AD4" w:rsidRPr="00ED55A2">
              <w:rPr>
                <w:rFonts w:ascii="Times New Roman" w:hAnsi="Times New Roman" w:cs="Times New Roman"/>
                <w:sz w:val="20"/>
                <w:szCs w:val="20"/>
                <w:vertAlign w:val="superscript"/>
              </w:rPr>
              <w:t>)</w:t>
            </w:r>
            <w:r w:rsidRPr="00170648">
              <w:rPr>
                <w:rFonts w:ascii="Times New Roman" w:hAnsi="Times New Roman" w:cs="Times New Roman"/>
                <w:sz w:val="20"/>
                <w:szCs w:val="20"/>
              </w:rPr>
              <w:t>.</w:t>
            </w:r>
          </w:p>
          <w:p w14:paraId="71895EB4" w14:textId="77777777" w:rsidR="00CE486B" w:rsidRPr="00170648" w:rsidRDefault="00CE486B" w:rsidP="00D95F01">
            <w:pPr>
              <w:rPr>
                <w:rFonts w:ascii="Times New Roman" w:hAnsi="Times New Roman" w:cs="Times New Roman"/>
                <w:sz w:val="20"/>
                <w:szCs w:val="20"/>
              </w:rPr>
            </w:pPr>
          </w:p>
          <w:p w14:paraId="3E030AFD" w14:textId="7CE74C72"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Recommendation directly reflects nutritional guidelines</w:t>
            </w:r>
            <w:r w:rsidR="003E1AD4">
              <w:rPr>
                <w:rFonts w:ascii="Times New Roman" w:hAnsi="Times New Roman" w:cs="Times New Roman"/>
                <w:sz w:val="20"/>
                <w:szCs w:val="20"/>
              </w:rPr>
              <w:t xml:space="preserve"> set in our previous </w:t>
            </w:r>
            <w:proofErr w:type="gramStart"/>
            <w:r w:rsidR="003E1AD4">
              <w:rPr>
                <w:rFonts w:ascii="Times New Roman" w:hAnsi="Times New Roman" w:cs="Times New Roman"/>
                <w:sz w:val="20"/>
                <w:szCs w:val="20"/>
              </w:rPr>
              <w:t>review</w:t>
            </w:r>
            <w:r w:rsidR="003E1AD4" w:rsidRPr="00ED55A2">
              <w:rPr>
                <w:rFonts w:ascii="Times New Roman" w:hAnsi="Times New Roman" w:cs="Times New Roman"/>
                <w:sz w:val="20"/>
                <w:szCs w:val="20"/>
                <w:vertAlign w:val="superscript"/>
              </w:rPr>
              <w:t>(</w:t>
            </w:r>
            <w:proofErr w:type="gramEnd"/>
            <w:r w:rsidR="00EE6720">
              <w:rPr>
                <w:rFonts w:ascii="Times New Roman" w:hAnsi="Times New Roman" w:cs="Times New Roman"/>
                <w:sz w:val="20"/>
                <w:szCs w:val="20"/>
                <w:vertAlign w:val="superscript"/>
              </w:rPr>
              <w:t>27</w:t>
            </w:r>
            <w:r w:rsidR="003E1AD4" w:rsidRPr="00ED55A2">
              <w:rPr>
                <w:rFonts w:ascii="Times New Roman" w:hAnsi="Times New Roman" w:cs="Times New Roman"/>
                <w:sz w:val="20"/>
                <w:szCs w:val="20"/>
                <w:vertAlign w:val="superscript"/>
              </w:rPr>
              <w:t>)</w:t>
            </w:r>
            <w:r w:rsidRPr="00170648">
              <w:rPr>
                <w:rFonts w:ascii="Times New Roman" w:hAnsi="Times New Roman" w:cs="Times New Roman"/>
                <w:sz w:val="20"/>
                <w:szCs w:val="20"/>
              </w:rPr>
              <w:t>.</w:t>
            </w:r>
          </w:p>
        </w:tc>
        <w:tc>
          <w:tcPr>
            <w:tcW w:w="980" w:type="dxa"/>
            <w:tcBorders>
              <w:top w:val="single" w:sz="4" w:space="0" w:color="auto"/>
              <w:left w:val="nil"/>
              <w:bottom w:val="single" w:sz="4" w:space="0" w:color="auto"/>
              <w:right w:val="nil"/>
            </w:tcBorders>
            <w:vAlign w:val="center"/>
          </w:tcPr>
          <w:p w14:paraId="15C95F75"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Negative appraisal</w:t>
            </w:r>
          </w:p>
        </w:tc>
      </w:tr>
      <w:tr w:rsidR="00CE486B" w:rsidRPr="00170648" w14:paraId="77B94BF4" w14:textId="77777777" w:rsidTr="00FC6609">
        <w:trPr>
          <w:gridAfter w:val="1"/>
          <w:wAfter w:w="6" w:type="dxa"/>
          <w:trHeight w:val="65"/>
        </w:trPr>
        <w:tc>
          <w:tcPr>
            <w:tcW w:w="1984" w:type="dxa"/>
            <w:tcBorders>
              <w:top w:val="single" w:sz="4" w:space="0" w:color="auto"/>
              <w:left w:val="nil"/>
              <w:bottom w:val="single" w:sz="4" w:space="0" w:color="auto"/>
              <w:right w:val="nil"/>
            </w:tcBorders>
            <w:vAlign w:val="center"/>
          </w:tcPr>
          <w:p w14:paraId="1C3971D0"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rPr>
              <w:t>Sodium</w:t>
            </w:r>
          </w:p>
        </w:tc>
        <w:tc>
          <w:tcPr>
            <w:tcW w:w="2216" w:type="dxa"/>
            <w:tcBorders>
              <w:top w:val="single" w:sz="4" w:space="0" w:color="auto"/>
              <w:left w:val="nil"/>
              <w:bottom w:val="single" w:sz="4" w:space="0" w:color="auto"/>
              <w:right w:val="nil"/>
            </w:tcBorders>
            <w:vAlign w:val="center"/>
          </w:tcPr>
          <w:p w14:paraId="62CFE751" w14:textId="5FE10BDE"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lang w:eastAsia="en-GB"/>
              </w:rPr>
              <w:t>≤2</w:t>
            </w:r>
            <w:r w:rsidR="00DF18F1">
              <w:rPr>
                <w:rFonts w:ascii="Times New Roman" w:hAnsi="Times New Roman" w:cs="Times New Roman"/>
                <w:sz w:val="20"/>
                <w:szCs w:val="20"/>
                <w:lang w:eastAsia="en-GB"/>
              </w:rPr>
              <w:t>4</w:t>
            </w:r>
            <w:r w:rsidRPr="00170648">
              <w:rPr>
                <w:rFonts w:ascii="Times New Roman" w:hAnsi="Times New Roman" w:cs="Times New Roman"/>
                <w:sz w:val="20"/>
                <w:szCs w:val="20"/>
                <w:lang w:eastAsia="en-GB"/>
              </w:rPr>
              <w:t>00</w:t>
            </w:r>
            <w:r>
              <w:rPr>
                <w:rFonts w:ascii="Times New Roman" w:hAnsi="Times New Roman" w:cs="Times New Roman"/>
                <w:sz w:val="20"/>
                <w:szCs w:val="20"/>
                <w:lang w:eastAsia="en-GB"/>
              </w:rPr>
              <w:t xml:space="preserve"> </w:t>
            </w:r>
            <w:r w:rsidRPr="00170648">
              <w:rPr>
                <w:rFonts w:ascii="Times New Roman" w:hAnsi="Times New Roman" w:cs="Times New Roman"/>
                <w:sz w:val="20"/>
                <w:szCs w:val="20"/>
                <w:lang w:eastAsia="en-GB"/>
              </w:rPr>
              <w:t>mg/day</w:t>
            </w:r>
          </w:p>
        </w:tc>
        <w:tc>
          <w:tcPr>
            <w:tcW w:w="2744" w:type="dxa"/>
            <w:tcBorders>
              <w:top w:val="single" w:sz="4" w:space="0" w:color="auto"/>
              <w:left w:val="nil"/>
              <w:bottom w:val="single" w:sz="4" w:space="0" w:color="auto"/>
              <w:right w:val="nil"/>
            </w:tcBorders>
            <w:vAlign w:val="center"/>
          </w:tcPr>
          <w:p w14:paraId="5CE9F573"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To be measured as quantity of sodium from nutrient calculations</w:t>
            </w:r>
          </w:p>
        </w:tc>
        <w:tc>
          <w:tcPr>
            <w:tcW w:w="904" w:type="dxa"/>
            <w:tcBorders>
              <w:top w:val="single" w:sz="4" w:space="0" w:color="auto"/>
              <w:left w:val="nil"/>
              <w:bottom w:val="single" w:sz="4" w:space="0" w:color="auto"/>
              <w:right w:val="nil"/>
            </w:tcBorders>
            <w:vAlign w:val="center"/>
          </w:tcPr>
          <w:p w14:paraId="167A339E" w14:textId="77777777" w:rsidR="00CE486B" w:rsidRPr="00170648" w:rsidRDefault="00CE486B" w:rsidP="00BB5B01">
            <w:pPr>
              <w:jc w:val="center"/>
              <w:rPr>
                <w:rFonts w:ascii="Times New Roman" w:hAnsi="Times New Roman" w:cs="Times New Roman"/>
                <w:sz w:val="20"/>
                <w:szCs w:val="20"/>
                <w:lang w:eastAsia="en-GB"/>
              </w:rPr>
            </w:pPr>
            <w:r>
              <w:rPr>
                <w:rFonts w:ascii="Times New Roman" w:hAnsi="Times New Roman" w:cs="Times New Roman"/>
                <w:sz w:val="20"/>
                <w:szCs w:val="20"/>
                <w:lang w:eastAsia="en-GB"/>
              </w:rPr>
              <w:t>m</w:t>
            </w:r>
            <w:r w:rsidRPr="00170648">
              <w:rPr>
                <w:rFonts w:ascii="Times New Roman" w:hAnsi="Times New Roman" w:cs="Times New Roman"/>
                <w:sz w:val="20"/>
                <w:szCs w:val="20"/>
                <w:lang w:eastAsia="en-GB"/>
              </w:rPr>
              <w:t>g</w:t>
            </w:r>
          </w:p>
        </w:tc>
        <w:tc>
          <w:tcPr>
            <w:tcW w:w="5794" w:type="dxa"/>
            <w:tcBorders>
              <w:top w:val="single" w:sz="4" w:space="0" w:color="auto"/>
              <w:left w:val="nil"/>
              <w:bottom w:val="single" w:sz="4" w:space="0" w:color="auto"/>
              <w:right w:val="nil"/>
            </w:tcBorders>
            <w:vAlign w:val="center"/>
          </w:tcPr>
          <w:p w14:paraId="30D25B28" w14:textId="7CB1B65B"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 xml:space="preserve">Recommendation </w:t>
            </w:r>
            <w:r w:rsidR="008278D2">
              <w:rPr>
                <w:rFonts w:ascii="Times New Roman" w:hAnsi="Times New Roman" w:cs="Times New Roman"/>
                <w:sz w:val="20"/>
                <w:szCs w:val="20"/>
                <w:lang w:eastAsia="en-GB"/>
              </w:rPr>
              <w:t xml:space="preserve">aligns with our proposed nutritional </w:t>
            </w:r>
            <w:proofErr w:type="gramStart"/>
            <w:r w:rsidR="008278D2">
              <w:rPr>
                <w:rFonts w:ascii="Times New Roman" w:hAnsi="Times New Roman" w:cs="Times New Roman"/>
                <w:sz w:val="20"/>
                <w:szCs w:val="20"/>
                <w:lang w:eastAsia="en-GB"/>
              </w:rPr>
              <w:t>recommendations</w:t>
            </w:r>
            <w:r w:rsidR="008278D2" w:rsidRPr="00ED55A2">
              <w:rPr>
                <w:rFonts w:ascii="Times New Roman" w:hAnsi="Times New Roman" w:cs="Times New Roman"/>
                <w:sz w:val="20"/>
                <w:szCs w:val="20"/>
                <w:vertAlign w:val="superscript"/>
                <w:lang w:eastAsia="en-GB"/>
              </w:rPr>
              <w:t>(</w:t>
            </w:r>
            <w:proofErr w:type="gramEnd"/>
            <w:r w:rsidR="00EE6720">
              <w:rPr>
                <w:rFonts w:ascii="Times New Roman" w:hAnsi="Times New Roman" w:cs="Times New Roman"/>
                <w:sz w:val="20"/>
                <w:szCs w:val="20"/>
                <w:vertAlign w:val="superscript"/>
                <w:lang w:eastAsia="en-GB"/>
              </w:rPr>
              <w:t>27</w:t>
            </w:r>
            <w:r w:rsidR="008278D2" w:rsidRPr="00ED55A2">
              <w:rPr>
                <w:rFonts w:ascii="Times New Roman" w:hAnsi="Times New Roman" w:cs="Times New Roman"/>
                <w:sz w:val="20"/>
                <w:szCs w:val="20"/>
                <w:vertAlign w:val="superscript"/>
                <w:lang w:eastAsia="en-GB"/>
              </w:rPr>
              <w:t>)</w:t>
            </w:r>
            <w:r w:rsidRPr="00170648">
              <w:rPr>
                <w:rFonts w:ascii="Times New Roman" w:hAnsi="Times New Roman" w:cs="Times New Roman"/>
                <w:sz w:val="20"/>
                <w:szCs w:val="20"/>
                <w:lang w:eastAsia="en-GB"/>
              </w:rPr>
              <w:t>.</w:t>
            </w:r>
            <w:r w:rsidR="0010487E">
              <w:rPr>
                <w:rFonts w:ascii="Times New Roman" w:hAnsi="Times New Roman" w:cs="Times New Roman"/>
                <w:sz w:val="20"/>
                <w:szCs w:val="20"/>
                <w:lang w:eastAsia="en-GB"/>
              </w:rPr>
              <w:t xml:space="preserve"> </w:t>
            </w:r>
            <w:r w:rsidRPr="00170648">
              <w:rPr>
                <w:rFonts w:ascii="Times New Roman" w:hAnsi="Times New Roman" w:cs="Times New Roman"/>
                <w:sz w:val="20"/>
                <w:szCs w:val="20"/>
                <w:lang w:eastAsia="en-GB"/>
              </w:rPr>
              <w:t xml:space="preserve">Measured as sodium from nutritional intake to capture all sources of sodium. </w:t>
            </w:r>
          </w:p>
          <w:p w14:paraId="10FFEB7F" w14:textId="77777777" w:rsidR="00CE486B" w:rsidRPr="00170648" w:rsidRDefault="00CE486B" w:rsidP="00D95F01">
            <w:pPr>
              <w:rPr>
                <w:rFonts w:ascii="Times New Roman" w:hAnsi="Times New Roman" w:cs="Times New Roman"/>
                <w:sz w:val="20"/>
                <w:szCs w:val="20"/>
                <w:lang w:eastAsia="en-GB"/>
              </w:rPr>
            </w:pPr>
          </w:p>
          <w:p w14:paraId="74A1339B"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 xml:space="preserve">No lower limit set to reflect nutrient recommendations. Underreporting means sodium intake likely to be lower than actual intake. Not justified to promote increase in sodium based on </w:t>
            </w:r>
            <w:r w:rsidRPr="00170648">
              <w:rPr>
                <w:rFonts w:ascii="Times New Roman" w:hAnsi="Times New Roman" w:cs="Times New Roman"/>
                <w:sz w:val="20"/>
                <w:szCs w:val="20"/>
                <w:lang w:eastAsia="en-GB"/>
              </w:rPr>
              <w:lastRenderedPageBreak/>
              <w:t>inaccurate information and would require biochemical analysis for diagnosis of low blood electrolytes.</w:t>
            </w:r>
          </w:p>
        </w:tc>
        <w:tc>
          <w:tcPr>
            <w:tcW w:w="980" w:type="dxa"/>
            <w:tcBorders>
              <w:top w:val="single" w:sz="4" w:space="0" w:color="auto"/>
              <w:left w:val="nil"/>
              <w:bottom w:val="single" w:sz="4" w:space="0" w:color="auto"/>
              <w:right w:val="nil"/>
            </w:tcBorders>
            <w:vAlign w:val="center"/>
          </w:tcPr>
          <w:p w14:paraId="6745B18D"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lastRenderedPageBreak/>
              <w:t>Negative appraisal</w:t>
            </w:r>
          </w:p>
        </w:tc>
      </w:tr>
      <w:tr w:rsidR="00CE486B" w:rsidRPr="00170648" w14:paraId="18F38B1D" w14:textId="77777777" w:rsidTr="00CE486B">
        <w:trPr>
          <w:gridAfter w:val="1"/>
          <w:wAfter w:w="6" w:type="dxa"/>
          <w:trHeight w:val="2557"/>
        </w:trPr>
        <w:tc>
          <w:tcPr>
            <w:tcW w:w="1984" w:type="dxa"/>
            <w:tcBorders>
              <w:top w:val="single" w:sz="4" w:space="0" w:color="auto"/>
              <w:left w:val="nil"/>
              <w:bottom w:val="single" w:sz="4" w:space="0" w:color="auto"/>
              <w:right w:val="nil"/>
            </w:tcBorders>
            <w:vAlign w:val="center"/>
          </w:tcPr>
          <w:p w14:paraId="1AA3D8C3" w14:textId="218DEF39" w:rsidR="00CE486B" w:rsidRPr="00170648" w:rsidRDefault="00F97CFF" w:rsidP="00BB5B01">
            <w:pPr>
              <w:rPr>
                <w:rFonts w:ascii="Times New Roman" w:hAnsi="Times New Roman" w:cs="Times New Roman"/>
                <w:sz w:val="20"/>
                <w:szCs w:val="20"/>
                <w:lang w:eastAsia="en-GB"/>
              </w:rPr>
            </w:pPr>
            <w:r>
              <w:rPr>
                <w:rFonts w:ascii="Times New Roman" w:hAnsi="Times New Roman" w:cs="Times New Roman"/>
                <w:sz w:val="20"/>
                <w:szCs w:val="20"/>
                <w:lang w:eastAsia="en-GB"/>
              </w:rPr>
              <w:t>Fat and fatty acids (</w:t>
            </w:r>
            <w:r w:rsidR="00CE486B" w:rsidRPr="00170648">
              <w:rPr>
                <w:rFonts w:ascii="Times New Roman" w:hAnsi="Times New Roman" w:cs="Times New Roman"/>
                <w:sz w:val="20"/>
                <w:szCs w:val="20"/>
                <w:lang w:eastAsia="en-GB"/>
              </w:rPr>
              <w:t>MUFA+</w:t>
            </w:r>
            <w:proofErr w:type="gramStart"/>
            <w:r w:rsidR="00CE486B" w:rsidRPr="00170648">
              <w:rPr>
                <w:rFonts w:ascii="Times New Roman" w:hAnsi="Times New Roman" w:cs="Times New Roman"/>
                <w:sz w:val="20"/>
                <w:szCs w:val="20"/>
                <w:lang w:eastAsia="en-GB"/>
              </w:rPr>
              <w:t>PUFA:SFA</w:t>
            </w:r>
            <w:proofErr w:type="gramEnd"/>
            <w:r>
              <w:rPr>
                <w:rFonts w:ascii="Times New Roman" w:hAnsi="Times New Roman" w:cs="Times New Roman"/>
                <w:sz w:val="20"/>
                <w:szCs w:val="20"/>
                <w:lang w:eastAsia="en-GB"/>
              </w:rPr>
              <w:t>)</w:t>
            </w:r>
          </w:p>
        </w:tc>
        <w:tc>
          <w:tcPr>
            <w:tcW w:w="2216" w:type="dxa"/>
            <w:tcBorders>
              <w:top w:val="single" w:sz="4" w:space="0" w:color="auto"/>
              <w:left w:val="nil"/>
              <w:bottom w:val="single" w:sz="4" w:space="0" w:color="auto"/>
              <w:right w:val="nil"/>
            </w:tcBorders>
            <w:vAlign w:val="center"/>
          </w:tcPr>
          <w:p w14:paraId="1ABF73E7" w14:textId="635DCF3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(MUFA+PUFA)/SFA</w:t>
            </w:r>
            <w:r>
              <w:rPr>
                <w:rFonts w:ascii="Times New Roman" w:hAnsi="Times New Roman" w:cs="Times New Roman"/>
                <w:sz w:val="20"/>
                <w:szCs w:val="20"/>
              </w:rPr>
              <w:t xml:space="preserve"> </w:t>
            </w:r>
            <w:r w:rsidRPr="00170648">
              <w:rPr>
                <w:rFonts w:ascii="Times New Roman" w:hAnsi="Times New Roman" w:cs="Times New Roman"/>
                <w:sz w:val="20"/>
                <w:szCs w:val="20"/>
              </w:rPr>
              <w:t>≥2</w:t>
            </w:r>
          </w:p>
        </w:tc>
        <w:tc>
          <w:tcPr>
            <w:tcW w:w="2744" w:type="dxa"/>
            <w:tcBorders>
              <w:top w:val="single" w:sz="4" w:space="0" w:color="auto"/>
              <w:left w:val="nil"/>
              <w:bottom w:val="single" w:sz="4" w:space="0" w:color="auto"/>
              <w:right w:val="nil"/>
            </w:tcBorders>
            <w:vAlign w:val="center"/>
          </w:tcPr>
          <w:p w14:paraId="3DCE2E33"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lang w:eastAsia="en-GB"/>
              </w:rPr>
              <w:t>To be measured as quantity of fat intake from nutrient calculations</w:t>
            </w:r>
          </w:p>
        </w:tc>
        <w:tc>
          <w:tcPr>
            <w:tcW w:w="904" w:type="dxa"/>
            <w:tcBorders>
              <w:top w:val="single" w:sz="4" w:space="0" w:color="auto"/>
              <w:left w:val="nil"/>
              <w:bottom w:val="single" w:sz="4" w:space="0" w:color="auto"/>
              <w:right w:val="nil"/>
            </w:tcBorders>
            <w:vAlign w:val="center"/>
          </w:tcPr>
          <w:p w14:paraId="29CF26BB"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w:t>
            </w:r>
          </w:p>
        </w:tc>
        <w:tc>
          <w:tcPr>
            <w:tcW w:w="5794" w:type="dxa"/>
            <w:tcBorders>
              <w:top w:val="single" w:sz="4" w:space="0" w:color="auto"/>
              <w:left w:val="nil"/>
              <w:bottom w:val="single" w:sz="4" w:space="0" w:color="auto"/>
              <w:right w:val="nil"/>
            </w:tcBorders>
            <w:vAlign w:val="center"/>
          </w:tcPr>
          <w:p w14:paraId="415BAC88" w14:textId="6FAF1104"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Measured as % energy intake from nutritional intake to capture all sources of dietary fat, although differential association between MUFA and CHD risk for animal and plant sources has been reported, with plant, but not animal sources, showing reduction in </w:t>
            </w:r>
            <w:proofErr w:type="gramStart"/>
            <w:r w:rsidRPr="00170648">
              <w:rPr>
                <w:rFonts w:ascii="Times New Roman" w:hAnsi="Times New Roman" w:cs="Times New Roman"/>
                <w:sz w:val="20"/>
                <w:szCs w:val="20"/>
              </w:rPr>
              <w:t>risk</w:t>
            </w:r>
            <w:r w:rsidRPr="007D5C7A">
              <w:rPr>
                <w:rFonts w:ascii="Times New Roman" w:hAnsi="Times New Roman" w:cs="Times New Roman"/>
                <w:sz w:val="20"/>
                <w:szCs w:val="20"/>
                <w:vertAlign w:val="superscript"/>
              </w:rPr>
              <w:t>(</w:t>
            </w:r>
            <w:proofErr w:type="gramEnd"/>
            <w:r w:rsidR="0001774E">
              <w:rPr>
                <w:rFonts w:ascii="Times New Roman" w:hAnsi="Times New Roman" w:cs="Times New Roman"/>
                <w:sz w:val="20"/>
                <w:szCs w:val="20"/>
                <w:vertAlign w:val="superscript"/>
              </w:rPr>
              <w:t>33</w:t>
            </w:r>
            <w:r w:rsidRPr="007D5C7A">
              <w:rPr>
                <w:rFonts w:ascii="Times New Roman" w:hAnsi="Times New Roman" w:cs="Times New Roman"/>
                <w:sz w:val="20"/>
                <w:szCs w:val="20"/>
                <w:vertAlign w:val="superscript"/>
              </w:rPr>
              <w:t>)</w:t>
            </w:r>
            <w:r w:rsidRPr="00170648">
              <w:rPr>
                <w:rFonts w:ascii="Times New Roman" w:hAnsi="Times New Roman" w:cs="Times New Roman"/>
                <w:sz w:val="20"/>
                <w:szCs w:val="20"/>
              </w:rPr>
              <w:t>. Whether animal sources should be included remains uncertain.</w:t>
            </w:r>
          </w:p>
          <w:p w14:paraId="74F6C448" w14:textId="77777777" w:rsidR="00CE486B" w:rsidRPr="00170648" w:rsidRDefault="00CE486B" w:rsidP="00D95F01">
            <w:pPr>
              <w:rPr>
                <w:rFonts w:ascii="Times New Roman" w:hAnsi="Times New Roman" w:cs="Times New Roman"/>
                <w:sz w:val="20"/>
                <w:szCs w:val="20"/>
              </w:rPr>
            </w:pPr>
          </w:p>
          <w:p w14:paraId="39D4E70E" w14:textId="23486573"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Ratio based on beneficial effects of both MUFA and PUFA compared to SFA. Recommendations </w:t>
            </w:r>
            <w:r w:rsidR="00277E62">
              <w:rPr>
                <w:rFonts w:ascii="Times New Roman" w:hAnsi="Times New Roman" w:cs="Times New Roman"/>
                <w:sz w:val="20"/>
                <w:szCs w:val="20"/>
              </w:rPr>
              <w:t>from our previous review were for</w:t>
            </w:r>
            <w:r w:rsidRPr="00170648">
              <w:rPr>
                <w:rFonts w:ascii="Times New Roman" w:hAnsi="Times New Roman" w:cs="Times New Roman"/>
                <w:sz w:val="20"/>
                <w:szCs w:val="20"/>
              </w:rPr>
              <w:t xml:space="preserve"> 6%</w:t>
            </w:r>
            <w:r>
              <w:rPr>
                <w:rFonts w:ascii="Times New Roman" w:hAnsi="Times New Roman" w:cs="Times New Roman"/>
                <w:sz w:val="20"/>
                <w:szCs w:val="20"/>
              </w:rPr>
              <w:t xml:space="preserve"> total</w:t>
            </w:r>
            <w:r w:rsidRPr="00170648">
              <w:rPr>
                <w:rFonts w:ascii="Times New Roman" w:hAnsi="Times New Roman" w:cs="Times New Roman"/>
                <w:sz w:val="20"/>
                <w:szCs w:val="20"/>
              </w:rPr>
              <w:t xml:space="preserve"> energy from PUFA and </w:t>
            </w:r>
            <w:r>
              <w:rPr>
                <w:rFonts w:ascii="Times New Roman" w:hAnsi="Times New Roman" w:cs="Times New Roman"/>
                <w:sz w:val="20"/>
                <w:szCs w:val="20"/>
              </w:rPr>
              <w:t xml:space="preserve">population average of </w:t>
            </w:r>
            <w:r w:rsidRPr="00170648">
              <w:rPr>
                <w:rFonts w:ascii="Times New Roman" w:hAnsi="Times New Roman" w:cs="Times New Roman"/>
                <w:sz w:val="20"/>
                <w:szCs w:val="20"/>
              </w:rPr>
              <w:t>1</w:t>
            </w:r>
            <w:r>
              <w:rPr>
                <w:rFonts w:ascii="Times New Roman" w:hAnsi="Times New Roman" w:cs="Times New Roman"/>
                <w:sz w:val="20"/>
                <w:szCs w:val="20"/>
              </w:rPr>
              <w:t>2</w:t>
            </w:r>
            <w:r w:rsidRPr="00170648">
              <w:rPr>
                <w:rFonts w:ascii="Times New Roman" w:hAnsi="Times New Roman" w:cs="Times New Roman"/>
                <w:sz w:val="20"/>
                <w:szCs w:val="20"/>
              </w:rPr>
              <w:t>% from MUFA but 1</w:t>
            </w:r>
            <w:r>
              <w:rPr>
                <w:rFonts w:ascii="Times New Roman" w:hAnsi="Times New Roman" w:cs="Times New Roman"/>
                <w:sz w:val="20"/>
                <w:szCs w:val="20"/>
              </w:rPr>
              <w:t>0</w:t>
            </w:r>
            <w:r w:rsidRPr="00170648">
              <w:rPr>
                <w:rFonts w:ascii="Times New Roman" w:hAnsi="Times New Roman" w:cs="Times New Roman"/>
                <w:sz w:val="20"/>
                <w:szCs w:val="20"/>
              </w:rPr>
              <w:t xml:space="preserve">% from </w:t>
            </w:r>
            <w:proofErr w:type="gramStart"/>
            <w:r w:rsidRPr="00170648">
              <w:rPr>
                <w:rFonts w:ascii="Times New Roman" w:hAnsi="Times New Roman" w:cs="Times New Roman"/>
                <w:sz w:val="20"/>
                <w:szCs w:val="20"/>
              </w:rPr>
              <w:t>SFA</w:t>
            </w:r>
            <w:r w:rsidR="00277E62" w:rsidRPr="008B6702">
              <w:rPr>
                <w:rFonts w:ascii="Times New Roman" w:hAnsi="Times New Roman" w:cs="Times New Roman"/>
                <w:sz w:val="20"/>
                <w:szCs w:val="20"/>
                <w:vertAlign w:val="superscript"/>
              </w:rPr>
              <w:t>(</w:t>
            </w:r>
            <w:proofErr w:type="gramEnd"/>
            <w:r w:rsidR="0001774E">
              <w:rPr>
                <w:rFonts w:ascii="Times New Roman" w:hAnsi="Times New Roman" w:cs="Times New Roman"/>
                <w:sz w:val="20"/>
                <w:szCs w:val="20"/>
                <w:vertAlign w:val="superscript"/>
              </w:rPr>
              <w:t>27</w:t>
            </w:r>
            <w:r w:rsidR="00277E62" w:rsidRPr="008B6702">
              <w:rPr>
                <w:rFonts w:ascii="Times New Roman" w:hAnsi="Times New Roman" w:cs="Times New Roman"/>
                <w:sz w:val="20"/>
                <w:szCs w:val="20"/>
                <w:vertAlign w:val="superscript"/>
              </w:rPr>
              <w:t>)</w:t>
            </w:r>
            <w:r w:rsidRPr="00170648">
              <w:rPr>
                <w:rFonts w:ascii="Times New Roman" w:hAnsi="Times New Roman" w:cs="Times New Roman"/>
                <w:sz w:val="20"/>
                <w:szCs w:val="20"/>
              </w:rPr>
              <w:t>, so approximate daily intake of sum of MUFA and PUFA being twice that of SFA</w:t>
            </w:r>
            <w:r w:rsidR="00277E62">
              <w:rPr>
                <w:rFonts w:ascii="Times New Roman" w:hAnsi="Times New Roman" w:cs="Times New Roman"/>
                <w:sz w:val="20"/>
                <w:szCs w:val="20"/>
              </w:rPr>
              <w:t>.</w:t>
            </w:r>
            <w:r w:rsidRPr="00170648">
              <w:rPr>
                <w:rFonts w:ascii="Times New Roman" w:hAnsi="Times New Roman" w:cs="Times New Roman"/>
                <w:sz w:val="20"/>
                <w:szCs w:val="20"/>
              </w:rPr>
              <w:t xml:space="preserve">  </w:t>
            </w:r>
          </w:p>
        </w:tc>
        <w:tc>
          <w:tcPr>
            <w:tcW w:w="980" w:type="dxa"/>
            <w:tcBorders>
              <w:top w:val="single" w:sz="4" w:space="0" w:color="auto"/>
              <w:left w:val="nil"/>
              <w:bottom w:val="single" w:sz="4" w:space="0" w:color="auto"/>
              <w:right w:val="nil"/>
            </w:tcBorders>
            <w:vAlign w:val="center"/>
          </w:tcPr>
          <w:p w14:paraId="37B0E951"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Positive appraisal</w:t>
            </w:r>
          </w:p>
        </w:tc>
      </w:tr>
      <w:tr w:rsidR="00CE486B" w:rsidRPr="00170648" w14:paraId="5C52D6C4" w14:textId="77777777" w:rsidTr="00CE486B">
        <w:trPr>
          <w:gridAfter w:val="1"/>
          <w:wAfter w:w="6" w:type="dxa"/>
          <w:trHeight w:val="2818"/>
        </w:trPr>
        <w:tc>
          <w:tcPr>
            <w:tcW w:w="1984" w:type="dxa"/>
            <w:tcBorders>
              <w:top w:val="single" w:sz="4" w:space="0" w:color="auto"/>
              <w:left w:val="nil"/>
              <w:bottom w:val="single" w:sz="4" w:space="0" w:color="auto"/>
              <w:right w:val="nil"/>
            </w:tcBorders>
            <w:vAlign w:val="center"/>
          </w:tcPr>
          <w:p w14:paraId="522CA456" w14:textId="55DD385D" w:rsidR="00CE486B" w:rsidRPr="00170648" w:rsidRDefault="00F97CFF" w:rsidP="00BB5B01">
            <w:pPr>
              <w:rPr>
                <w:rFonts w:ascii="Times New Roman" w:hAnsi="Times New Roman" w:cs="Times New Roman"/>
                <w:sz w:val="20"/>
                <w:szCs w:val="20"/>
              </w:rPr>
            </w:pPr>
            <w:r>
              <w:rPr>
                <w:rFonts w:ascii="Times New Roman" w:hAnsi="Times New Roman" w:cs="Times New Roman"/>
                <w:sz w:val="20"/>
                <w:szCs w:val="20"/>
              </w:rPr>
              <w:t>Fat and fatty acids (</w:t>
            </w:r>
            <w:r w:rsidR="00CE486B" w:rsidRPr="00170648">
              <w:rPr>
                <w:rFonts w:ascii="Times New Roman" w:hAnsi="Times New Roman" w:cs="Times New Roman"/>
                <w:sz w:val="20"/>
                <w:szCs w:val="20"/>
              </w:rPr>
              <w:t>SFA</w:t>
            </w:r>
            <w:r>
              <w:rPr>
                <w:rFonts w:ascii="Times New Roman" w:hAnsi="Times New Roman" w:cs="Times New Roman"/>
                <w:sz w:val="20"/>
                <w:szCs w:val="20"/>
              </w:rPr>
              <w:t>)</w:t>
            </w:r>
          </w:p>
        </w:tc>
        <w:tc>
          <w:tcPr>
            <w:tcW w:w="2216" w:type="dxa"/>
            <w:tcBorders>
              <w:top w:val="single" w:sz="4" w:space="0" w:color="auto"/>
              <w:left w:val="nil"/>
              <w:bottom w:val="single" w:sz="4" w:space="0" w:color="auto"/>
              <w:right w:val="nil"/>
            </w:tcBorders>
            <w:vAlign w:val="center"/>
          </w:tcPr>
          <w:p w14:paraId="15A9580D" w14:textId="77777777" w:rsidR="00CE486B" w:rsidRPr="00170648" w:rsidRDefault="00CE486B" w:rsidP="00BB5B01">
            <w:pPr>
              <w:jc w:val="center"/>
              <w:rPr>
                <w:rFonts w:ascii="Times New Roman" w:hAnsi="Times New Roman" w:cs="Times New Roman"/>
                <w:sz w:val="20"/>
                <w:szCs w:val="20"/>
              </w:rPr>
            </w:pPr>
            <w:r w:rsidRPr="00170648">
              <w:rPr>
                <w:rFonts w:ascii="Times New Roman" w:hAnsi="Times New Roman" w:cs="Times New Roman"/>
                <w:sz w:val="20"/>
                <w:szCs w:val="20"/>
              </w:rPr>
              <w:t>≤1</w:t>
            </w:r>
            <w:r>
              <w:rPr>
                <w:rFonts w:ascii="Times New Roman" w:hAnsi="Times New Roman" w:cs="Times New Roman"/>
                <w:sz w:val="20"/>
                <w:szCs w:val="20"/>
              </w:rPr>
              <w:t>0</w:t>
            </w:r>
            <w:r w:rsidRPr="00170648">
              <w:rPr>
                <w:rFonts w:ascii="Times New Roman" w:hAnsi="Times New Roman" w:cs="Times New Roman"/>
                <w:sz w:val="20"/>
                <w:szCs w:val="20"/>
              </w:rPr>
              <w:t xml:space="preserve">% </w:t>
            </w:r>
            <w:r>
              <w:rPr>
                <w:rFonts w:ascii="Times New Roman" w:hAnsi="Times New Roman" w:cs="Times New Roman"/>
                <w:sz w:val="20"/>
                <w:szCs w:val="20"/>
              </w:rPr>
              <w:t xml:space="preserve">total </w:t>
            </w:r>
            <w:r w:rsidRPr="00170648">
              <w:rPr>
                <w:rFonts w:ascii="Times New Roman" w:hAnsi="Times New Roman" w:cs="Times New Roman"/>
                <w:sz w:val="20"/>
                <w:szCs w:val="20"/>
              </w:rPr>
              <w:t>energy intake</w:t>
            </w:r>
          </w:p>
        </w:tc>
        <w:tc>
          <w:tcPr>
            <w:tcW w:w="2744" w:type="dxa"/>
            <w:tcBorders>
              <w:top w:val="single" w:sz="4" w:space="0" w:color="auto"/>
              <w:left w:val="nil"/>
              <w:bottom w:val="single" w:sz="4" w:space="0" w:color="auto"/>
              <w:right w:val="nil"/>
            </w:tcBorders>
            <w:vAlign w:val="center"/>
          </w:tcPr>
          <w:p w14:paraId="1CA3B847" w14:textId="77777777" w:rsidR="00CE486B" w:rsidRPr="00170648" w:rsidRDefault="00CE486B" w:rsidP="00BB5B01">
            <w:pPr>
              <w:rPr>
                <w:rFonts w:ascii="Times New Roman" w:hAnsi="Times New Roman" w:cs="Times New Roman"/>
                <w:sz w:val="20"/>
                <w:szCs w:val="20"/>
              </w:rPr>
            </w:pPr>
            <w:r w:rsidRPr="00170648">
              <w:rPr>
                <w:rFonts w:ascii="Times New Roman" w:hAnsi="Times New Roman" w:cs="Times New Roman"/>
                <w:sz w:val="20"/>
                <w:szCs w:val="20"/>
                <w:lang w:eastAsia="en-GB"/>
              </w:rPr>
              <w:t xml:space="preserve">To be measured as </w:t>
            </w:r>
            <w:r w:rsidRPr="00170648">
              <w:rPr>
                <w:rFonts w:ascii="Times New Roman" w:hAnsi="Times New Roman" w:cs="Times New Roman"/>
                <w:sz w:val="20"/>
                <w:szCs w:val="20"/>
              </w:rPr>
              <w:t xml:space="preserve">percentage of </w:t>
            </w:r>
            <w:r>
              <w:rPr>
                <w:rFonts w:ascii="Times New Roman" w:hAnsi="Times New Roman" w:cs="Times New Roman"/>
                <w:sz w:val="20"/>
                <w:szCs w:val="20"/>
              </w:rPr>
              <w:t xml:space="preserve">total </w:t>
            </w:r>
            <w:r w:rsidRPr="00170648">
              <w:rPr>
                <w:rFonts w:ascii="Times New Roman" w:hAnsi="Times New Roman" w:cs="Times New Roman"/>
                <w:sz w:val="20"/>
                <w:szCs w:val="20"/>
              </w:rPr>
              <w:t>energy intake from SFA</w:t>
            </w:r>
          </w:p>
        </w:tc>
        <w:tc>
          <w:tcPr>
            <w:tcW w:w="904" w:type="dxa"/>
            <w:tcBorders>
              <w:top w:val="single" w:sz="4" w:space="0" w:color="auto"/>
              <w:left w:val="nil"/>
              <w:bottom w:val="single" w:sz="4" w:space="0" w:color="auto"/>
              <w:right w:val="nil"/>
            </w:tcBorders>
            <w:vAlign w:val="center"/>
          </w:tcPr>
          <w:p w14:paraId="4FE12F31" w14:textId="77777777" w:rsidR="00CE486B" w:rsidRPr="00170648" w:rsidRDefault="00CE486B" w:rsidP="00BB5B01">
            <w:pPr>
              <w:jc w:val="center"/>
              <w:rPr>
                <w:rFonts w:ascii="Times New Roman" w:hAnsi="Times New Roman" w:cs="Times New Roman"/>
                <w:sz w:val="20"/>
                <w:szCs w:val="20"/>
              </w:rPr>
            </w:pPr>
            <w:proofErr w:type="gramStart"/>
            <w:r w:rsidRPr="0017064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70648">
              <w:rPr>
                <w:rFonts w:ascii="Times New Roman" w:hAnsi="Times New Roman" w:cs="Times New Roman"/>
                <w:sz w:val="20"/>
                <w:szCs w:val="20"/>
              </w:rPr>
              <w:t>energy</w:t>
            </w:r>
            <w:proofErr w:type="gramEnd"/>
            <w:r w:rsidRPr="00170648">
              <w:rPr>
                <w:rFonts w:ascii="Times New Roman" w:hAnsi="Times New Roman" w:cs="Times New Roman"/>
                <w:sz w:val="20"/>
                <w:szCs w:val="20"/>
              </w:rPr>
              <w:t xml:space="preserve"> intake</w:t>
            </w:r>
          </w:p>
        </w:tc>
        <w:tc>
          <w:tcPr>
            <w:tcW w:w="5794" w:type="dxa"/>
            <w:tcBorders>
              <w:top w:val="single" w:sz="4" w:space="0" w:color="auto"/>
              <w:left w:val="nil"/>
              <w:bottom w:val="single" w:sz="4" w:space="0" w:color="auto"/>
              <w:right w:val="nil"/>
            </w:tcBorders>
            <w:vAlign w:val="center"/>
          </w:tcPr>
          <w:p w14:paraId="0113BFC0"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Measured as % </w:t>
            </w:r>
            <w:r>
              <w:rPr>
                <w:rFonts w:ascii="Times New Roman" w:hAnsi="Times New Roman" w:cs="Times New Roman"/>
                <w:sz w:val="20"/>
                <w:szCs w:val="20"/>
              </w:rPr>
              <w:t xml:space="preserve">total </w:t>
            </w:r>
            <w:r w:rsidRPr="00170648">
              <w:rPr>
                <w:rFonts w:ascii="Times New Roman" w:hAnsi="Times New Roman" w:cs="Times New Roman"/>
                <w:sz w:val="20"/>
                <w:szCs w:val="20"/>
              </w:rPr>
              <w:t>energy intake from nutritional intake to capture all sources of dietary fats.</w:t>
            </w:r>
          </w:p>
          <w:p w14:paraId="6DAFD1BC" w14:textId="77777777" w:rsidR="00CE486B" w:rsidRPr="00170648" w:rsidRDefault="00CE486B" w:rsidP="00D95F01">
            <w:pPr>
              <w:rPr>
                <w:rFonts w:ascii="Times New Roman" w:hAnsi="Times New Roman" w:cs="Times New Roman"/>
                <w:sz w:val="20"/>
                <w:szCs w:val="20"/>
              </w:rPr>
            </w:pPr>
          </w:p>
          <w:p w14:paraId="0D0E00DA" w14:textId="58D06E92"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No association found between SFA intake and </w:t>
            </w:r>
            <w:r>
              <w:rPr>
                <w:rFonts w:ascii="Times New Roman" w:hAnsi="Times New Roman" w:cs="Times New Roman"/>
                <w:sz w:val="20"/>
                <w:szCs w:val="20"/>
              </w:rPr>
              <w:t>(</w:t>
            </w:r>
            <w:r w:rsidRPr="00170648">
              <w:rPr>
                <w:rFonts w:ascii="Times New Roman" w:hAnsi="Times New Roman" w:cs="Times New Roman"/>
                <w:sz w:val="20"/>
                <w:szCs w:val="20"/>
              </w:rPr>
              <w:t>MUFA+PUFA</w:t>
            </w:r>
            <w:r>
              <w:rPr>
                <w:rFonts w:ascii="Times New Roman" w:hAnsi="Times New Roman" w:cs="Times New Roman"/>
                <w:sz w:val="20"/>
                <w:szCs w:val="20"/>
              </w:rPr>
              <w:t>)/</w:t>
            </w:r>
            <w:r w:rsidRPr="00170648">
              <w:rPr>
                <w:rFonts w:ascii="Times New Roman" w:hAnsi="Times New Roman" w:cs="Times New Roman"/>
                <w:sz w:val="20"/>
                <w:szCs w:val="20"/>
              </w:rPr>
              <w:t xml:space="preserve">SFA so both components included, comprising a score with equal weighting to other components. The SFA intake component is an absolute measure to reflect total fat in the diet else it could be possible to score highly for </w:t>
            </w:r>
            <w:r>
              <w:rPr>
                <w:rFonts w:ascii="Times New Roman" w:hAnsi="Times New Roman" w:cs="Times New Roman"/>
                <w:sz w:val="20"/>
                <w:szCs w:val="20"/>
              </w:rPr>
              <w:t>(</w:t>
            </w:r>
            <w:r w:rsidRPr="00170648">
              <w:rPr>
                <w:rFonts w:ascii="Times New Roman" w:hAnsi="Times New Roman" w:cs="Times New Roman"/>
                <w:sz w:val="20"/>
                <w:szCs w:val="20"/>
              </w:rPr>
              <w:t>MUFA+PUFA</w:t>
            </w:r>
            <w:proofErr w:type="gramStart"/>
            <w:r>
              <w:rPr>
                <w:rFonts w:ascii="Times New Roman" w:hAnsi="Times New Roman" w:cs="Times New Roman"/>
                <w:sz w:val="20"/>
                <w:szCs w:val="20"/>
              </w:rPr>
              <w:t>):</w:t>
            </w:r>
            <w:r w:rsidRPr="00170648">
              <w:rPr>
                <w:rFonts w:ascii="Times New Roman" w:hAnsi="Times New Roman" w:cs="Times New Roman"/>
                <w:sz w:val="20"/>
                <w:szCs w:val="20"/>
              </w:rPr>
              <w:t>SFA</w:t>
            </w:r>
            <w:proofErr w:type="gramEnd"/>
            <w:r w:rsidRPr="00170648">
              <w:rPr>
                <w:rFonts w:ascii="Times New Roman" w:hAnsi="Times New Roman" w:cs="Times New Roman"/>
                <w:sz w:val="20"/>
                <w:szCs w:val="20"/>
              </w:rPr>
              <w:t xml:space="preserve"> yet have a high fat and SFA diet.</w:t>
            </w:r>
          </w:p>
          <w:p w14:paraId="6D436B42" w14:textId="77777777" w:rsidR="00CE486B" w:rsidRPr="00170648" w:rsidRDefault="00CE486B" w:rsidP="00D95F01">
            <w:pPr>
              <w:rPr>
                <w:rFonts w:ascii="Times New Roman" w:hAnsi="Times New Roman" w:cs="Times New Roman"/>
                <w:sz w:val="20"/>
                <w:szCs w:val="20"/>
              </w:rPr>
            </w:pPr>
          </w:p>
          <w:p w14:paraId="4E76A86E" w14:textId="0D7CF8E9"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 xml:space="preserve">No inclusion of trans </w:t>
            </w:r>
            <w:r>
              <w:rPr>
                <w:rFonts w:ascii="Times New Roman" w:hAnsi="Times New Roman" w:cs="Times New Roman"/>
                <w:sz w:val="20"/>
                <w:szCs w:val="20"/>
              </w:rPr>
              <w:t>fatty acid</w:t>
            </w:r>
            <w:r w:rsidRPr="00170648">
              <w:rPr>
                <w:rFonts w:ascii="Times New Roman" w:hAnsi="Times New Roman" w:cs="Times New Roman"/>
                <w:sz w:val="20"/>
                <w:szCs w:val="20"/>
              </w:rPr>
              <w:t xml:space="preserve"> component due to trans fat</w:t>
            </w:r>
            <w:r>
              <w:rPr>
                <w:rFonts w:ascii="Times New Roman" w:hAnsi="Times New Roman" w:cs="Times New Roman"/>
                <w:sz w:val="20"/>
                <w:szCs w:val="20"/>
              </w:rPr>
              <w:t>ty acid</w:t>
            </w:r>
            <w:r w:rsidRPr="00170648">
              <w:rPr>
                <w:rFonts w:ascii="Times New Roman" w:hAnsi="Times New Roman" w:cs="Times New Roman"/>
                <w:sz w:val="20"/>
                <w:szCs w:val="20"/>
              </w:rPr>
              <w:t xml:space="preserve"> intake in UK being below recommendations for older </w:t>
            </w:r>
            <w:proofErr w:type="gramStart"/>
            <w:r w:rsidRPr="00170648">
              <w:rPr>
                <w:rFonts w:ascii="Times New Roman" w:hAnsi="Times New Roman" w:cs="Times New Roman"/>
                <w:sz w:val="20"/>
                <w:szCs w:val="20"/>
              </w:rPr>
              <w:t>adults</w:t>
            </w:r>
            <w:r w:rsidRPr="008B6702">
              <w:rPr>
                <w:rFonts w:ascii="Times New Roman" w:hAnsi="Times New Roman" w:cs="Times New Roman"/>
                <w:sz w:val="20"/>
                <w:szCs w:val="20"/>
                <w:vertAlign w:val="superscript"/>
              </w:rPr>
              <w:t>(</w:t>
            </w:r>
            <w:proofErr w:type="gramEnd"/>
            <w:r w:rsidR="00AE4020">
              <w:rPr>
                <w:rFonts w:ascii="Times New Roman" w:hAnsi="Times New Roman" w:cs="Times New Roman"/>
                <w:sz w:val="20"/>
                <w:szCs w:val="20"/>
                <w:vertAlign w:val="superscript"/>
              </w:rPr>
              <w:t>34</w:t>
            </w:r>
            <w:r w:rsidR="00DD1BD4" w:rsidRPr="008B6702">
              <w:rPr>
                <w:rFonts w:ascii="Times New Roman" w:hAnsi="Times New Roman" w:cs="Times New Roman"/>
                <w:sz w:val="20"/>
                <w:szCs w:val="20"/>
                <w:vertAlign w:val="superscript"/>
              </w:rPr>
              <w:t>,</w:t>
            </w:r>
            <w:r w:rsidR="00AE4020">
              <w:rPr>
                <w:rFonts w:ascii="Times New Roman" w:hAnsi="Times New Roman" w:cs="Times New Roman"/>
                <w:sz w:val="20"/>
                <w:szCs w:val="20"/>
                <w:vertAlign w:val="superscript"/>
              </w:rPr>
              <w:t>35</w:t>
            </w:r>
            <w:r w:rsidRPr="008B6702">
              <w:rPr>
                <w:rFonts w:ascii="Times New Roman" w:hAnsi="Times New Roman" w:cs="Times New Roman"/>
                <w:sz w:val="20"/>
                <w:szCs w:val="20"/>
                <w:vertAlign w:val="superscript"/>
              </w:rPr>
              <w:t>)</w:t>
            </w:r>
            <w:r w:rsidRPr="00170648">
              <w:rPr>
                <w:rFonts w:ascii="Times New Roman" w:hAnsi="Times New Roman" w:cs="Times New Roman"/>
                <w:sz w:val="20"/>
                <w:szCs w:val="20"/>
              </w:rPr>
              <w:t xml:space="preserve">. </w:t>
            </w:r>
            <w:r w:rsidR="00277E62">
              <w:rPr>
                <w:rFonts w:ascii="Times New Roman" w:hAnsi="Times New Roman" w:cs="Times New Roman"/>
                <w:sz w:val="20"/>
                <w:szCs w:val="20"/>
              </w:rPr>
              <w:t xml:space="preserve">Recommendation based on our previous </w:t>
            </w:r>
            <w:proofErr w:type="gramStart"/>
            <w:r w:rsidR="00277E62">
              <w:rPr>
                <w:rFonts w:ascii="Times New Roman" w:hAnsi="Times New Roman" w:cs="Times New Roman"/>
                <w:sz w:val="20"/>
                <w:szCs w:val="20"/>
              </w:rPr>
              <w:t>review</w:t>
            </w:r>
            <w:r w:rsidR="00277E62" w:rsidRPr="008B6702">
              <w:rPr>
                <w:rFonts w:ascii="Times New Roman" w:hAnsi="Times New Roman" w:cs="Times New Roman"/>
                <w:sz w:val="20"/>
                <w:szCs w:val="20"/>
                <w:vertAlign w:val="superscript"/>
              </w:rPr>
              <w:t>(</w:t>
            </w:r>
            <w:proofErr w:type="gramEnd"/>
            <w:r w:rsidR="0001774E">
              <w:rPr>
                <w:rFonts w:ascii="Times New Roman" w:hAnsi="Times New Roman" w:cs="Times New Roman"/>
                <w:sz w:val="20"/>
                <w:szCs w:val="20"/>
                <w:vertAlign w:val="superscript"/>
              </w:rPr>
              <w:t>27</w:t>
            </w:r>
            <w:r w:rsidR="00277E62" w:rsidRPr="008B6702">
              <w:rPr>
                <w:rFonts w:ascii="Times New Roman" w:hAnsi="Times New Roman" w:cs="Times New Roman"/>
                <w:sz w:val="20"/>
                <w:szCs w:val="20"/>
                <w:vertAlign w:val="superscript"/>
              </w:rPr>
              <w:t>)</w:t>
            </w:r>
            <w:r w:rsidR="00277E62">
              <w:rPr>
                <w:rFonts w:ascii="Times New Roman" w:hAnsi="Times New Roman" w:cs="Times New Roman"/>
                <w:sz w:val="20"/>
                <w:szCs w:val="20"/>
              </w:rPr>
              <w:t>.</w:t>
            </w:r>
          </w:p>
        </w:tc>
        <w:tc>
          <w:tcPr>
            <w:tcW w:w="980" w:type="dxa"/>
            <w:tcBorders>
              <w:top w:val="single" w:sz="4" w:space="0" w:color="auto"/>
              <w:left w:val="nil"/>
              <w:bottom w:val="single" w:sz="4" w:space="0" w:color="auto"/>
              <w:right w:val="nil"/>
            </w:tcBorders>
            <w:vAlign w:val="center"/>
          </w:tcPr>
          <w:p w14:paraId="39285BB4" w14:textId="77777777" w:rsidR="00CE486B" w:rsidRPr="00170648" w:rsidRDefault="00CE486B" w:rsidP="00D95F01">
            <w:pPr>
              <w:rPr>
                <w:rFonts w:ascii="Times New Roman" w:hAnsi="Times New Roman" w:cs="Times New Roman"/>
                <w:sz w:val="20"/>
                <w:szCs w:val="20"/>
              </w:rPr>
            </w:pPr>
            <w:r w:rsidRPr="00170648">
              <w:rPr>
                <w:rFonts w:ascii="Times New Roman" w:hAnsi="Times New Roman" w:cs="Times New Roman"/>
                <w:sz w:val="20"/>
                <w:szCs w:val="20"/>
              </w:rPr>
              <w:t>Positive appraisal</w:t>
            </w:r>
          </w:p>
        </w:tc>
      </w:tr>
      <w:tr w:rsidR="00CE486B" w:rsidRPr="00170648" w14:paraId="685B24C8" w14:textId="77777777" w:rsidTr="00CE486B">
        <w:trPr>
          <w:gridAfter w:val="1"/>
          <w:wAfter w:w="6" w:type="dxa"/>
          <w:trHeight w:val="831"/>
        </w:trPr>
        <w:tc>
          <w:tcPr>
            <w:tcW w:w="1984" w:type="dxa"/>
            <w:tcBorders>
              <w:top w:val="single" w:sz="4" w:space="0" w:color="auto"/>
              <w:left w:val="nil"/>
              <w:bottom w:val="single" w:sz="4" w:space="0" w:color="auto"/>
              <w:right w:val="nil"/>
            </w:tcBorders>
            <w:vAlign w:val="center"/>
          </w:tcPr>
          <w:p w14:paraId="7105F6E4"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Alcohol</w:t>
            </w:r>
          </w:p>
        </w:tc>
        <w:tc>
          <w:tcPr>
            <w:tcW w:w="2216" w:type="dxa"/>
            <w:tcBorders>
              <w:top w:val="single" w:sz="4" w:space="0" w:color="auto"/>
              <w:left w:val="nil"/>
              <w:bottom w:val="single" w:sz="4" w:space="0" w:color="auto"/>
              <w:right w:val="nil"/>
            </w:tcBorders>
            <w:vAlign w:val="center"/>
          </w:tcPr>
          <w:p w14:paraId="0CDD72EE" w14:textId="77777777" w:rsidR="00CE486B" w:rsidRPr="00170648" w:rsidRDefault="00CE486B" w:rsidP="00BB5B01">
            <w:pPr>
              <w:jc w:val="center"/>
              <w:rPr>
                <w:rFonts w:ascii="Times New Roman" w:hAnsi="Times New Roman" w:cs="Times New Roman"/>
                <w:sz w:val="20"/>
                <w:szCs w:val="20"/>
                <w:lang w:eastAsia="en-GB"/>
              </w:rPr>
            </w:pPr>
            <w:r w:rsidRPr="00170648">
              <w:rPr>
                <w:rFonts w:ascii="Times New Roman" w:hAnsi="Times New Roman" w:cs="Times New Roman"/>
                <w:sz w:val="20"/>
                <w:szCs w:val="20"/>
                <w:lang w:eastAsia="en-GB"/>
              </w:rPr>
              <w:t>≤14 units/week</w:t>
            </w:r>
          </w:p>
        </w:tc>
        <w:tc>
          <w:tcPr>
            <w:tcW w:w="2744" w:type="dxa"/>
            <w:tcBorders>
              <w:top w:val="single" w:sz="4" w:space="0" w:color="auto"/>
              <w:left w:val="nil"/>
              <w:bottom w:val="single" w:sz="4" w:space="0" w:color="auto"/>
              <w:right w:val="nil"/>
            </w:tcBorders>
            <w:vAlign w:val="center"/>
          </w:tcPr>
          <w:p w14:paraId="268ECFBB"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To be measured as quantity of alcohol intake from nutrient calculations</w:t>
            </w:r>
          </w:p>
          <w:p w14:paraId="4FC40669" w14:textId="77777777" w:rsidR="00CE486B" w:rsidRPr="00170648" w:rsidRDefault="00CE486B" w:rsidP="00BB5B01">
            <w:pPr>
              <w:rPr>
                <w:rFonts w:ascii="Times New Roman" w:hAnsi="Times New Roman" w:cs="Times New Roman"/>
                <w:sz w:val="20"/>
                <w:szCs w:val="20"/>
                <w:lang w:eastAsia="en-GB"/>
              </w:rPr>
            </w:pPr>
          </w:p>
          <w:p w14:paraId="2E36BCF1" w14:textId="77777777" w:rsidR="00CE486B" w:rsidRPr="00170648" w:rsidRDefault="00CE486B" w:rsidP="00BB5B01">
            <w:pPr>
              <w:rPr>
                <w:rFonts w:ascii="Times New Roman" w:hAnsi="Times New Roman" w:cs="Times New Roman"/>
                <w:sz w:val="20"/>
                <w:szCs w:val="20"/>
                <w:lang w:eastAsia="en-GB"/>
              </w:rPr>
            </w:pPr>
            <w:r w:rsidRPr="00170648">
              <w:rPr>
                <w:rFonts w:ascii="Times New Roman" w:hAnsi="Times New Roman" w:cs="Times New Roman"/>
                <w:sz w:val="20"/>
                <w:szCs w:val="20"/>
              </w:rPr>
              <w:t xml:space="preserve">1 </w:t>
            </w:r>
            <w:r>
              <w:rPr>
                <w:rFonts w:ascii="Times New Roman" w:hAnsi="Times New Roman" w:cs="Times New Roman"/>
                <w:sz w:val="20"/>
                <w:szCs w:val="20"/>
              </w:rPr>
              <w:t xml:space="preserve">alcohol </w:t>
            </w:r>
            <w:r w:rsidRPr="00170648">
              <w:rPr>
                <w:rFonts w:ascii="Times New Roman" w:hAnsi="Times New Roman" w:cs="Times New Roman"/>
                <w:sz w:val="20"/>
                <w:szCs w:val="20"/>
              </w:rPr>
              <w:t xml:space="preserve">unit is 8g </w:t>
            </w:r>
            <w:r>
              <w:rPr>
                <w:rFonts w:ascii="Times New Roman" w:hAnsi="Times New Roman" w:cs="Times New Roman"/>
                <w:sz w:val="20"/>
                <w:szCs w:val="20"/>
              </w:rPr>
              <w:t xml:space="preserve">pure </w:t>
            </w:r>
            <w:r w:rsidRPr="00170648">
              <w:rPr>
                <w:rFonts w:ascii="Times New Roman" w:hAnsi="Times New Roman" w:cs="Times New Roman"/>
                <w:sz w:val="20"/>
                <w:szCs w:val="20"/>
              </w:rPr>
              <w:t>alcohol</w:t>
            </w:r>
          </w:p>
        </w:tc>
        <w:tc>
          <w:tcPr>
            <w:tcW w:w="904" w:type="dxa"/>
            <w:tcBorders>
              <w:top w:val="single" w:sz="4" w:space="0" w:color="auto"/>
              <w:left w:val="nil"/>
              <w:bottom w:val="single" w:sz="4" w:space="0" w:color="auto"/>
              <w:right w:val="nil"/>
            </w:tcBorders>
            <w:vAlign w:val="center"/>
          </w:tcPr>
          <w:p w14:paraId="04FB3861" w14:textId="77777777" w:rsidR="00CE486B" w:rsidRPr="00170648" w:rsidRDefault="00CE486B" w:rsidP="00BB5B01">
            <w:pPr>
              <w:jc w:val="center"/>
              <w:rPr>
                <w:rFonts w:ascii="Times New Roman" w:hAnsi="Times New Roman" w:cs="Times New Roman"/>
                <w:sz w:val="20"/>
                <w:szCs w:val="20"/>
                <w:lang w:eastAsia="en-GB"/>
              </w:rPr>
            </w:pPr>
            <w:r>
              <w:rPr>
                <w:rFonts w:ascii="Times New Roman" w:hAnsi="Times New Roman" w:cs="Times New Roman"/>
                <w:sz w:val="20"/>
                <w:szCs w:val="20"/>
                <w:lang w:eastAsia="en-GB"/>
              </w:rPr>
              <w:t xml:space="preserve">alcohol </w:t>
            </w:r>
            <w:r w:rsidRPr="00170648">
              <w:rPr>
                <w:rFonts w:ascii="Times New Roman" w:hAnsi="Times New Roman" w:cs="Times New Roman"/>
                <w:sz w:val="20"/>
                <w:szCs w:val="20"/>
                <w:lang w:eastAsia="en-GB"/>
              </w:rPr>
              <w:t>units</w:t>
            </w:r>
          </w:p>
        </w:tc>
        <w:tc>
          <w:tcPr>
            <w:tcW w:w="5794" w:type="dxa"/>
            <w:tcBorders>
              <w:top w:val="single" w:sz="4" w:space="0" w:color="auto"/>
              <w:left w:val="nil"/>
              <w:bottom w:val="single" w:sz="4" w:space="0" w:color="auto"/>
              <w:right w:val="nil"/>
            </w:tcBorders>
            <w:vAlign w:val="center"/>
          </w:tcPr>
          <w:p w14:paraId="12559EC0"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Score measured based on alcohol from nutritional intake to capture all alcohol consumed.</w:t>
            </w:r>
          </w:p>
          <w:p w14:paraId="79B7E418" w14:textId="77777777" w:rsidR="00CE486B" w:rsidRPr="00170648" w:rsidRDefault="00CE486B" w:rsidP="00D95F01">
            <w:pPr>
              <w:rPr>
                <w:rFonts w:ascii="Times New Roman" w:hAnsi="Times New Roman" w:cs="Times New Roman"/>
                <w:sz w:val="20"/>
                <w:szCs w:val="20"/>
                <w:lang w:eastAsia="en-GB"/>
              </w:rPr>
            </w:pPr>
          </w:p>
          <w:p w14:paraId="1EB65D57" w14:textId="5EA479FE"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 xml:space="preserve">Alcohol scoring method differs from other scores. DHD15-Index </w:t>
            </w:r>
            <w:r w:rsidR="00307B51">
              <w:rPr>
                <w:rFonts w:ascii="Times New Roman" w:hAnsi="Times New Roman" w:cs="Times New Roman"/>
                <w:sz w:val="20"/>
                <w:szCs w:val="20"/>
                <w:lang w:eastAsia="en-GB"/>
              </w:rPr>
              <w:t xml:space="preserve">and MDS </w:t>
            </w:r>
            <w:r w:rsidRPr="00170648">
              <w:rPr>
                <w:rFonts w:ascii="Times New Roman" w:hAnsi="Times New Roman" w:cs="Times New Roman"/>
                <w:sz w:val="20"/>
                <w:szCs w:val="20"/>
                <w:lang w:eastAsia="en-GB"/>
              </w:rPr>
              <w:t xml:space="preserve">positively appraise moderate </w:t>
            </w:r>
            <w:proofErr w:type="gramStart"/>
            <w:r w:rsidRPr="00170648">
              <w:rPr>
                <w:rFonts w:ascii="Times New Roman" w:hAnsi="Times New Roman" w:cs="Times New Roman"/>
                <w:sz w:val="20"/>
                <w:szCs w:val="20"/>
                <w:lang w:eastAsia="en-GB"/>
              </w:rPr>
              <w:t>intake</w:t>
            </w:r>
            <w:r w:rsidRPr="008B6702">
              <w:rPr>
                <w:rFonts w:ascii="Times New Roman" w:hAnsi="Times New Roman" w:cs="Times New Roman"/>
                <w:sz w:val="20"/>
                <w:szCs w:val="20"/>
                <w:vertAlign w:val="superscript"/>
                <w:lang w:eastAsia="en-GB"/>
              </w:rPr>
              <w:t>(</w:t>
            </w:r>
            <w:proofErr w:type="gramEnd"/>
            <w:r w:rsidR="00DF621D">
              <w:rPr>
                <w:rFonts w:ascii="Times New Roman" w:hAnsi="Times New Roman" w:cs="Times New Roman"/>
                <w:sz w:val="20"/>
                <w:szCs w:val="20"/>
                <w:vertAlign w:val="superscript"/>
                <w:lang w:eastAsia="en-GB"/>
              </w:rPr>
              <w:t>25</w:t>
            </w:r>
            <w:r w:rsidR="009F3023" w:rsidRPr="008B6702">
              <w:rPr>
                <w:rFonts w:ascii="Times New Roman" w:hAnsi="Times New Roman" w:cs="Times New Roman"/>
                <w:sz w:val="20"/>
                <w:szCs w:val="20"/>
                <w:vertAlign w:val="superscript"/>
                <w:lang w:eastAsia="en-GB"/>
              </w:rPr>
              <w:t>,</w:t>
            </w:r>
            <w:r w:rsidR="00DF621D">
              <w:rPr>
                <w:rFonts w:ascii="Times New Roman" w:hAnsi="Times New Roman" w:cs="Times New Roman"/>
                <w:sz w:val="20"/>
                <w:szCs w:val="20"/>
                <w:vertAlign w:val="superscript"/>
                <w:lang w:eastAsia="en-GB"/>
              </w:rPr>
              <w:t>26</w:t>
            </w:r>
            <w:r w:rsidRPr="008B6702">
              <w:rPr>
                <w:rFonts w:ascii="Times New Roman" w:hAnsi="Times New Roman" w:cs="Times New Roman"/>
                <w:sz w:val="20"/>
                <w:szCs w:val="20"/>
                <w:vertAlign w:val="superscript"/>
                <w:lang w:eastAsia="en-GB"/>
              </w:rPr>
              <w:t>)</w:t>
            </w:r>
            <w:r w:rsidR="00277E62" w:rsidRPr="00170648">
              <w:rPr>
                <w:rFonts w:ascii="Times New Roman" w:hAnsi="Times New Roman" w:cs="Times New Roman"/>
                <w:sz w:val="20"/>
                <w:szCs w:val="20"/>
                <w:lang w:eastAsia="en-GB"/>
              </w:rPr>
              <w:t xml:space="preserve">. </w:t>
            </w:r>
            <w:r w:rsidR="00277E62">
              <w:rPr>
                <w:rFonts w:ascii="Times New Roman" w:hAnsi="Times New Roman" w:cs="Times New Roman"/>
                <w:sz w:val="20"/>
                <w:szCs w:val="20"/>
                <w:lang w:eastAsia="en-GB"/>
              </w:rPr>
              <w:t xml:space="preserve">Decision based on conclusions from our previous </w:t>
            </w:r>
            <w:proofErr w:type="gramStart"/>
            <w:r w:rsidR="00277E62">
              <w:rPr>
                <w:rFonts w:ascii="Times New Roman" w:hAnsi="Times New Roman" w:cs="Times New Roman"/>
                <w:sz w:val="20"/>
                <w:szCs w:val="20"/>
                <w:lang w:eastAsia="en-GB"/>
              </w:rPr>
              <w:t>review</w:t>
            </w:r>
            <w:r w:rsidR="00277E62" w:rsidRPr="008B6702">
              <w:rPr>
                <w:rFonts w:ascii="Times New Roman" w:hAnsi="Times New Roman" w:cs="Times New Roman"/>
                <w:sz w:val="20"/>
                <w:szCs w:val="20"/>
                <w:vertAlign w:val="superscript"/>
                <w:lang w:eastAsia="en-GB"/>
              </w:rPr>
              <w:t>(</w:t>
            </w:r>
            <w:proofErr w:type="gramEnd"/>
            <w:r w:rsidR="00DF621D">
              <w:rPr>
                <w:rFonts w:ascii="Times New Roman" w:hAnsi="Times New Roman" w:cs="Times New Roman"/>
                <w:sz w:val="20"/>
                <w:szCs w:val="20"/>
                <w:vertAlign w:val="superscript"/>
                <w:lang w:eastAsia="en-GB"/>
              </w:rPr>
              <w:t>27</w:t>
            </w:r>
            <w:r w:rsidR="00277E62" w:rsidRPr="008B6702">
              <w:rPr>
                <w:rFonts w:ascii="Times New Roman" w:hAnsi="Times New Roman" w:cs="Times New Roman"/>
                <w:sz w:val="20"/>
                <w:szCs w:val="20"/>
                <w:vertAlign w:val="superscript"/>
                <w:lang w:eastAsia="en-GB"/>
              </w:rPr>
              <w:t>)</w:t>
            </w:r>
            <w:r w:rsidR="00277E62">
              <w:rPr>
                <w:rFonts w:ascii="Times New Roman" w:hAnsi="Times New Roman" w:cs="Times New Roman"/>
                <w:sz w:val="20"/>
                <w:szCs w:val="20"/>
                <w:lang w:eastAsia="en-GB"/>
              </w:rPr>
              <w:t>, where it was not</w:t>
            </w:r>
            <w:r w:rsidR="00277E62" w:rsidRPr="00170648">
              <w:rPr>
                <w:rFonts w:ascii="Times New Roman" w:hAnsi="Times New Roman" w:cs="Times New Roman"/>
                <w:sz w:val="20"/>
                <w:szCs w:val="20"/>
                <w:lang w:eastAsia="en-GB"/>
              </w:rPr>
              <w:t xml:space="preserve"> considered appropriate to promote alcohol consumption in older adults.</w:t>
            </w:r>
            <w:r w:rsidR="00277E62">
              <w:rPr>
                <w:rFonts w:ascii="Times New Roman" w:hAnsi="Times New Roman" w:cs="Times New Roman"/>
                <w:sz w:val="20"/>
                <w:szCs w:val="20"/>
                <w:lang w:eastAsia="en-GB"/>
              </w:rPr>
              <w:t xml:space="preserve"> </w:t>
            </w:r>
          </w:p>
        </w:tc>
        <w:tc>
          <w:tcPr>
            <w:tcW w:w="980" w:type="dxa"/>
            <w:tcBorders>
              <w:top w:val="single" w:sz="4" w:space="0" w:color="auto"/>
              <w:left w:val="nil"/>
              <w:bottom w:val="single" w:sz="4" w:space="0" w:color="auto"/>
              <w:right w:val="nil"/>
            </w:tcBorders>
            <w:vAlign w:val="center"/>
          </w:tcPr>
          <w:p w14:paraId="55278661" w14:textId="77777777" w:rsidR="00CE486B" w:rsidRPr="00170648" w:rsidRDefault="00CE486B" w:rsidP="00D95F01">
            <w:pPr>
              <w:rPr>
                <w:rFonts w:ascii="Times New Roman" w:hAnsi="Times New Roman" w:cs="Times New Roman"/>
                <w:sz w:val="20"/>
                <w:szCs w:val="20"/>
                <w:lang w:eastAsia="en-GB"/>
              </w:rPr>
            </w:pPr>
            <w:r w:rsidRPr="00170648">
              <w:rPr>
                <w:rFonts w:ascii="Times New Roman" w:hAnsi="Times New Roman" w:cs="Times New Roman"/>
                <w:sz w:val="20"/>
                <w:szCs w:val="20"/>
                <w:lang w:eastAsia="en-GB"/>
              </w:rPr>
              <w:t>Negative appraisal</w:t>
            </w:r>
          </w:p>
        </w:tc>
      </w:tr>
      <w:tr w:rsidR="00CE486B" w:rsidRPr="00170648" w14:paraId="6D3382D2" w14:textId="77777777" w:rsidTr="00CE486B">
        <w:trPr>
          <w:trHeight w:val="541"/>
        </w:trPr>
        <w:tc>
          <w:tcPr>
            <w:tcW w:w="14628" w:type="dxa"/>
            <w:gridSpan w:val="7"/>
            <w:tcBorders>
              <w:top w:val="single" w:sz="4" w:space="0" w:color="auto"/>
              <w:left w:val="nil"/>
              <w:bottom w:val="nil"/>
              <w:right w:val="nil"/>
            </w:tcBorders>
          </w:tcPr>
          <w:p w14:paraId="0B9EFBEE" w14:textId="6A07F263" w:rsidR="00CE486B" w:rsidRPr="00CE486B" w:rsidRDefault="00CE486B" w:rsidP="00BB5B01">
            <w:pPr>
              <w:jc w:val="both"/>
              <w:rPr>
                <w:rFonts w:ascii="Times New Roman" w:hAnsi="Times New Roman" w:cs="Times New Roman"/>
                <w:sz w:val="20"/>
                <w:szCs w:val="20"/>
                <w:vertAlign w:val="superscript"/>
                <w:lang w:eastAsia="en-GB"/>
              </w:rPr>
            </w:pPr>
            <w:r w:rsidRPr="00CE486B">
              <w:rPr>
                <w:rFonts w:ascii="Times New Roman" w:hAnsi="Times New Roman" w:cs="Times New Roman"/>
                <w:sz w:val="18"/>
                <w:szCs w:val="18"/>
                <w:vertAlign w:val="superscript"/>
                <w:lang w:eastAsia="en-GB"/>
              </w:rPr>
              <w:t xml:space="preserve">1 </w:t>
            </w:r>
            <w:r>
              <w:rPr>
                <w:rFonts w:ascii="Times New Roman" w:hAnsi="Times New Roman" w:cs="Times New Roman"/>
                <w:sz w:val="18"/>
                <w:szCs w:val="18"/>
                <w:lang w:eastAsia="en-GB"/>
              </w:rPr>
              <w:t xml:space="preserve">AHEI-2010, Alternative Healthy Eating Index-2010; </w:t>
            </w:r>
            <w:r w:rsidRPr="00CE486B">
              <w:rPr>
                <w:rFonts w:ascii="Times New Roman" w:hAnsi="Times New Roman" w:cs="Times New Roman"/>
                <w:sz w:val="18"/>
                <w:szCs w:val="18"/>
                <w:lang w:eastAsia="en-GB"/>
              </w:rPr>
              <w:t xml:space="preserve">BMI, </w:t>
            </w:r>
            <w:r>
              <w:rPr>
                <w:rFonts w:ascii="Times New Roman" w:hAnsi="Times New Roman" w:cs="Times New Roman"/>
                <w:sz w:val="18"/>
                <w:szCs w:val="18"/>
                <w:lang w:eastAsia="en-GB"/>
              </w:rPr>
              <w:t xml:space="preserve">body mass index; CHD, coronary heart disease; CVD, cardiovascular disease; DHA, docosahexaenoic acid; DHD15-Index, Dutch Healthy Diet Index-2015; EPA, eicosapentaenoic acid; </w:t>
            </w:r>
            <w:r w:rsidR="00BF6C28">
              <w:rPr>
                <w:rFonts w:ascii="Times New Roman" w:hAnsi="Times New Roman" w:cs="Times New Roman"/>
                <w:sz w:val="18"/>
                <w:szCs w:val="18"/>
                <w:lang w:eastAsia="en-GB"/>
              </w:rPr>
              <w:t>FDQI</w:t>
            </w:r>
            <w:r>
              <w:rPr>
                <w:rFonts w:ascii="Times New Roman" w:hAnsi="Times New Roman" w:cs="Times New Roman"/>
                <w:sz w:val="18"/>
                <w:szCs w:val="18"/>
                <w:lang w:eastAsia="en-GB"/>
              </w:rPr>
              <w:t>-65+</w:t>
            </w:r>
            <w:r w:rsidR="00A10B1A">
              <w:rPr>
                <w:rFonts w:ascii="Times New Roman" w:hAnsi="Times New Roman" w:cs="Times New Roman"/>
                <w:sz w:val="18"/>
                <w:szCs w:val="18"/>
                <w:lang w:eastAsia="en-GB"/>
              </w:rPr>
              <w:t>PA</w:t>
            </w:r>
            <w:r>
              <w:rPr>
                <w:rFonts w:ascii="Times New Roman" w:hAnsi="Times New Roman" w:cs="Times New Roman"/>
                <w:sz w:val="18"/>
                <w:szCs w:val="18"/>
                <w:lang w:eastAsia="en-GB"/>
              </w:rPr>
              <w:t>, Food</w:t>
            </w:r>
            <w:r w:rsidR="00BF6C28">
              <w:rPr>
                <w:rFonts w:ascii="Times New Roman" w:hAnsi="Times New Roman" w:cs="Times New Roman"/>
                <w:sz w:val="18"/>
                <w:szCs w:val="18"/>
                <w:lang w:eastAsia="en-GB"/>
              </w:rPr>
              <w:t>-b</w:t>
            </w:r>
            <w:r>
              <w:rPr>
                <w:rFonts w:ascii="Times New Roman" w:hAnsi="Times New Roman" w:cs="Times New Roman"/>
                <w:sz w:val="18"/>
                <w:szCs w:val="18"/>
                <w:lang w:eastAsia="en-GB"/>
              </w:rPr>
              <w:t>ased Diet Quality Index for older adults</w:t>
            </w:r>
            <w:r w:rsidR="007E230E">
              <w:rPr>
                <w:rFonts w:ascii="Times New Roman" w:hAnsi="Times New Roman" w:cs="Times New Roman"/>
                <w:sz w:val="18"/>
                <w:szCs w:val="18"/>
                <w:lang w:eastAsia="en-GB"/>
              </w:rPr>
              <w:t xml:space="preserve"> with physical activity</w:t>
            </w:r>
            <w:r>
              <w:rPr>
                <w:rFonts w:ascii="Times New Roman" w:hAnsi="Times New Roman" w:cs="Times New Roman"/>
                <w:sz w:val="18"/>
                <w:szCs w:val="18"/>
                <w:lang w:eastAsia="en-GB"/>
              </w:rPr>
              <w:t xml:space="preserve">; HEI-2010, Healthy Eating Index-2010; MDS, Mediterranean Diet Score; MUFA, monounsaturated fatty acids; NDNS, National Diet and Nutrition Survey; </w:t>
            </w:r>
            <w:r w:rsidR="00A10B1A">
              <w:rPr>
                <w:rFonts w:ascii="Times New Roman" w:hAnsi="Times New Roman" w:cs="Times New Roman"/>
                <w:sz w:val="18"/>
                <w:szCs w:val="18"/>
                <w:lang w:eastAsia="en-GB"/>
              </w:rPr>
              <w:t>N</w:t>
            </w:r>
            <w:r w:rsidR="00BF6C28">
              <w:rPr>
                <w:rFonts w:ascii="Times New Roman" w:hAnsi="Times New Roman" w:cs="Times New Roman"/>
                <w:sz w:val="18"/>
                <w:szCs w:val="18"/>
                <w:lang w:eastAsia="en-GB"/>
              </w:rPr>
              <w:t>FDQI</w:t>
            </w:r>
            <w:r w:rsidR="00A10B1A">
              <w:rPr>
                <w:rFonts w:ascii="Times New Roman" w:hAnsi="Times New Roman" w:cs="Times New Roman"/>
                <w:sz w:val="18"/>
                <w:szCs w:val="18"/>
                <w:lang w:eastAsia="en-GB"/>
              </w:rPr>
              <w:t>-65, Nutrient and Food</w:t>
            </w:r>
            <w:r w:rsidR="00BF6C28">
              <w:rPr>
                <w:rFonts w:ascii="Times New Roman" w:hAnsi="Times New Roman" w:cs="Times New Roman"/>
                <w:sz w:val="18"/>
                <w:szCs w:val="18"/>
                <w:lang w:eastAsia="en-GB"/>
              </w:rPr>
              <w:t>-b</w:t>
            </w:r>
            <w:r w:rsidR="00A10B1A">
              <w:rPr>
                <w:rFonts w:ascii="Times New Roman" w:hAnsi="Times New Roman" w:cs="Times New Roman"/>
                <w:sz w:val="18"/>
                <w:szCs w:val="18"/>
                <w:lang w:eastAsia="en-GB"/>
              </w:rPr>
              <w:t>ased Diet Quality Index for older adults; N</w:t>
            </w:r>
            <w:r w:rsidR="00BF6C28">
              <w:rPr>
                <w:rFonts w:ascii="Times New Roman" w:hAnsi="Times New Roman" w:cs="Times New Roman"/>
                <w:sz w:val="18"/>
                <w:szCs w:val="18"/>
                <w:lang w:eastAsia="en-GB"/>
              </w:rPr>
              <w:t>FDQI</w:t>
            </w:r>
            <w:r w:rsidR="00A10B1A">
              <w:rPr>
                <w:rFonts w:ascii="Times New Roman" w:hAnsi="Times New Roman" w:cs="Times New Roman"/>
                <w:sz w:val="18"/>
                <w:szCs w:val="18"/>
                <w:lang w:eastAsia="en-GB"/>
              </w:rPr>
              <w:t>-65+PA, Nutrient and Food</w:t>
            </w:r>
            <w:r w:rsidR="00BF6C28">
              <w:rPr>
                <w:rFonts w:ascii="Times New Roman" w:hAnsi="Times New Roman" w:cs="Times New Roman"/>
                <w:sz w:val="18"/>
                <w:szCs w:val="18"/>
                <w:lang w:eastAsia="en-GB"/>
              </w:rPr>
              <w:t>-b</w:t>
            </w:r>
            <w:r w:rsidR="00A10B1A">
              <w:rPr>
                <w:rFonts w:ascii="Times New Roman" w:hAnsi="Times New Roman" w:cs="Times New Roman"/>
                <w:sz w:val="18"/>
                <w:szCs w:val="18"/>
                <w:lang w:eastAsia="en-GB"/>
              </w:rPr>
              <w:t xml:space="preserve">ased Diet Quality Index for older adults with physical activity; </w:t>
            </w:r>
            <w:r>
              <w:rPr>
                <w:rFonts w:ascii="Times New Roman" w:hAnsi="Times New Roman" w:cs="Times New Roman"/>
                <w:sz w:val="18"/>
                <w:szCs w:val="18"/>
                <w:lang w:eastAsia="en-GB"/>
              </w:rPr>
              <w:t>PUFA, polyunsaturated fatty acids; SFA, saturated fatty acids.</w:t>
            </w:r>
          </w:p>
        </w:tc>
      </w:tr>
      <w:tr w:rsidR="00CE486B" w:rsidRPr="00170648" w14:paraId="505B2111" w14:textId="77777777" w:rsidTr="00CE486B">
        <w:trPr>
          <w:trHeight w:val="541"/>
        </w:trPr>
        <w:tc>
          <w:tcPr>
            <w:tcW w:w="14628" w:type="dxa"/>
            <w:gridSpan w:val="7"/>
            <w:tcBorders>
              <w:top w:val="nil"/>
              <w:left w:val="nil"/>
              <w:bottom w:val="nil"/>
              <w:right w:val="nil"/>
            </w:tcBorders>
            <w:vAlign w:val="center"/>
          </w:tcPr>
          <w:p w14:paraId="6C2E9651" w14:textId="77777777" w:rsidR="00CE486B" w:rsidRPr="00CE486B" w:rsidRDefault="00CE486B" w:rsidP="00BB5B01">
            <w:pPr>
              <w:jc w:val="center"/>
              <w:rPr>
                <w:rFonts w:ascii="Times New Roman" w:hAnsi="Times New Roman" w:cs="Times New Roman"/>
                <w:sz w:val="20"/>
                <w:szCs w:val="20"/>
                <w:lang w:eastAsia="en-GB"/>
              </w:rPr>
            </w:pPr>
          </w:p>
          <w:p w14:paraId="52498E25" w14:textId="77777777" w:rsidR="00CE486B" w:rsidRPr="00CE486B" w:rsidRDefault="00CE486B" w:rsidP="00BB5B01">
            <w:pPr>
              <w:jc w:val="center"/>
              <w:rPr>
                <w:rFonts w:ascii="Times New Roman" w:hAnsi="Times New Roman" w:cs="Times New Roman"/>
                <w:sz w:val="20"/>
                <w:szCs w:val="20"/>
                <w:lang w:eastAsia="en-GB"/>
              </w:rPr>
            </w:pPr>
          </w:p>
          <w:p w14:paraId="6ADF10DC" w14:textId="77777777" w:rsidR="00CE486B" w:rsidRPr="00CE486B" w:rsidRDefault="00CE486B" w:rsidP="00BB5B01">
            <w:pPr>
              <w:jc w:val="center"/>
              <w:rPr>
                <w:rFonts w:ascii="Times New Roman" w:hAnsi="Times New Roman" w:cs="Times New Roman"/>
                <w:sz w:val="20"/>
                <w:szCs w:val="20"/>
                <w:lang w:eastAsia="en-GB"/>
              </w:rPr>
            </w:pPr>
          </w:p>
          <w:p w14:paraId="0A96A596" w14:textId="77777777" w:rsidR="00CE486B" w:rsidRPr="00CE486B" w:rsidRDefault="00CE486B" w:rsidP="00BB5B01">
            <w:pPr>
              <w:jc w:val="center"/>
              <w:rPr>
                <w:rFonts w:ascii="Times New Roman" w:hAnsi="Times New Roman" w:cs="Times New Roman"/>
                <w:sz w:val="20"/>
                <w:szCs w:val="20"/>
                <w:lang w:eastAsia="en-GB"/>
              </w:rPr>
            </w:pPr>
          </w:p>
        </w:tc>
      </w:tr>
      <w:bookmarkEnd w:id="0"/>
    </w:tbl>
    <w:p w14:paraId="424D0D84" w14:textId="210C5E3E" w:rsidR="002D12B5" w:rsidRPr="009F3023" w:rsidRDefault="002D12B5" w:rsidP="003A6CEA">
      <w:pPr>
        <w:spacing w:line="480" w:lineRule="auto"/>
        <w:jc w:val="both"/>
        <w:rPr>
          <w:rFonts w:ascii="Times New Roman" w:hAnsi="Times New Roman" w:cs="Times New Roman"/>
          <w:b/>
        </w:rPr>
      </w:pPr>
    </w:p>
    <w:sectPr w:rsidR="002D12B5" w:rsidRPr="009F3023" w:rsidSect="003A6CEA">
      <w:headerReference w:type="first" r:id="rId8"/>
      <w:pgSz w:w="16838" w:h="11906" w:orient="landscape"/>
      <w:pgMar w:top="992" w:right="851" w:bottom="992"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7151" w14:textId="77777777" w:rsidR="00CC5034" w:rsidRDefault="00CC5034" w:rsidP="00FB267F">
      <w:pPr>
        <w:spacing w:after="0" w:line="240" w:lineRule="auto"/>
      </w:pPr>
      <w:r>
        <w:separator/>
      </w:r>
    </w:p>
  </w:endnote>
  <w:endnote w:type="continuationSeparator" w:id="0">
    <w:p w14:paraId="3E61CAB6" w14:textId="77777777" w:rsidR="00CC5034" w:rsidRDefault="00CC5034" w:rsidP="00FB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57FCF" w14:textId="77777777" w:rsidR="00CC5034" w:rsidRDefault="00CC5034" w:rsidP="00FB267F">
      <w:pPr>
        <w:spacing w:after="0" w:line="240" w:lineRule="auto"/>
      </w:pPr>
      <w:r>
        <w:separator/>
      </w:r>
    </w:p>
  </w:footnote>
  <w:footnote w:type="continuationSeparator" w:id="0">
    <w:p w14:paraId="1179B85F" w14:textId="77777777" w:rsidR="00CC5034" w:rsidRDefault="00CC5034" w:rsidP="00FB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7399" w14:textId="161D094B" w:rsidR="00955468" w:rsidRPr="00FB267F" w:rsidRDefault="00955468" w:rsidP="00A3616C">
    <w:pPr>
      <w:pStyle w:val="Header"/>
      <w:jc w:val="center"/>
      <w:rPr>
        <w:rFonts w:ascii="Times New Roman" w:hAnsi="Times New Roman" w:cs="Times New Roman"/>
        <w:b/>
        <w:sz w:val="24"/>
        <w:szCs w:val="24"/>
      </w:rPr>
    </w:pPr>
    <w:r>
      <w:rPr>
        <w:rFonts w:ascii="Times New Roman" w:hAnsi="Times New Roman" w:cs="Times New Roman"/>
        <w:b/>
        <w:sz w:val="24"/>
        <w:szCs w:val="24"/>
      </w:rPr>
      <w:t>Supplementary</w:t>
    </w:r>
    <w:r w:rsidRPr="00FB267F">
      <w:rPr>
        <w:rFonts w:ascii="Times New Roman" w:hAnsi="Times New Roman" w:cs="Times New Roman"/>
        <w:b/>
        <w:sz w:val="24"/>
        <w:szCs w:val="24"/>
      </w:rPr>
      <w:t xml:space="preserve"> </w:t>
    </w:r>
    <w:r w:rsidR="00A3616C">
      <w:rPr>
        <w:rFonts w:ascii="Times New Roman" w:hAnsi="Times New Roman" w:cs="Times New Roman"/>
        <w:b/>
        <w:sz w:val="24"/>
        <w:szCs w:val="24"/>
      </w:rPr>
      <w:t>d</w:t>
    </w:r>
    <w:r w:rsidRPr="00FB267F">
      <w:rPr>
        <w:rFonts w:ascii="Times New Roman" w:hAnsi="Times New Roman" w:cs="Times New Roman"/>
        <w:b/>
        <w:sz w:val="24"/>
        <w:szCs w:val="24"/>
      </w:rPr>
      <w:t>ata</w:t>
    </w:r>
  </w:p>
  <w:p w14:paraId="314375CF" w14:textId="77777777" w:rsidR="00955468" w:rsidRDefault="009554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D0EA0"/>
    <w:multiLevelType w:val="hybridMultilevel"/>
    <w:tmpl w:val="9C10A6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9346E5D"/>
    <w:multiLevelType w:val="hybridMultilevel"/>
    <w:tmpl w:val="D458D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7B5E60"/>
    <w:rsid w:val="00011B17"/>
    <w:rsid w:val="0001774E"/>
    <w:rsid w:val="00030CD3"/>
    <w:rsid w:val="00053E11"/>
    <w:rsid w:val="00070B6B"/>
    <w:rsid w:val="00070F19"/>
    <w:rsid w:val="0007287F"/>
    <w:rsid w:val="000E259B"/>
    <w:rsid w:val="000E5B77"/>
    <w:rsid w:val="0010487E"/>
    <w:rsid w:val="0012747A"/>
    <w:rsid w:val="00147A61"/>
    <w:rsid w:val="00153A9F"/>
    <w:rsid w:val="00195DFF"/>
    <w:rsid w:val="001A02F4"/>
    <w:rsid w:val="001A1E56"/>
    <w:rsid w:val="001D236D"/>
    <w:rsid w:val="001E0DF9"/>
    <w:rsid w:val="001E2391"/>
    <w:rsid w:val="001E245E"/>
    <w:rsid w:val="00221063"/>
    <w:rsid w:val="002451FA"/>
    <w:rsid w:val="00270A54"/>
    <w:rsid w:val="00273516"/>
    <w:rsid w:val="00277572"/>
    <w:rsid w:val="00277E62"/>
    <w:rsid w:val="002851BF"/>
    <w:rsid w:val="002B3BD4"/>
    <w:rsid w:val="002B72B4"/>
    <w:rsid w:val="002C3421"/>
    <w:rsid w:val="002C555F"/>
    <w:rsid w:val="002D12B5"/>
    <w:rsid w:val="002F2AF7"/>
    <w:rsid w:val="00307B51"/>
    <w:rsid w:val="003206D3"/>
    <w:rsid w:val="0033385D"/>
    <w:rsid w:val="00347F37"/>
    <w:rsid w:val="003715D7"/>
    <w:rsid w:val="003716FC"/>
    <w:rsid w:val="00374CAC"/>
    <w:rsid w:val="00384ACE"/>
    <w:rsid w:val="003A1617"/>
    <w:rsid w:val="003A2F11"/>
    <w:rsid w:val="003A5A14"/>
    <w:rsid w:val="003A6CEA"/>
    <w:rsid w:val="003B7470"/>
    <w:rsid w:val="003D388C"/>
    <w:rsid w:val="003D4711"/>
    <w:rsid w:val="003E1AD4"/>
    <w:rsid w:val="0040278A"/>
    <w:rsid w:val="004074A5"/>
    <w:rsid w:val="00415754"/>
    <w:rsid w:val="004159FC"/>
    <w:rsid w:val="00417B2E"/>
    <w:rsid w:val="00433683"/>
    <w:rsid w:val="00460FBD"/>
    <w:rsid w:val="004814B3"/>
    <w:rsid w:val="004821F6"/>
    <w:rsid w:val="004A42DB"/>
    <w:rsid w:val="004A5C79"/>
    <w:rsid w:val="004C2728"/>
    <w:rsid w:val="004C729A"/>
    <w:rsid w:val="00516A4E"/>
    <w:rsid w:val="00542265"/>
    <w:rsid w:val="00546542"/>
    <w:rsid w:val="005700BF"/>
    <w:rsid w:val="00571528"/>
    <w:rsid w:val="0058707C"/>
    <w:rsid w:val="00594187"/>
    <w:rsid w:val="005A7C7A"/>
    <w:rsid w:val="005C3070"/>
    <w:rsid w:val="005D0200"/>
    <w:rsid w:val="005D2ED8"/>
    <w:rsid w:val="005D5F0E"/>
    <w:rsid w:val="005E5664"/>
    <w:rsid w:val="005E7A43"/>
    <w:rsid w:val="00627A8C"/>
    <w:rsid w:val="00632147"/>
    <w:rsid w:val="00636314"/>
    <w:rsid w:val="0063690F"/>
    <w:rsid w:val="0063738E"/>
    <w:rsid w:val="0064405A"/>
    <w:rsid w:val="00675B80"/>
    <w:rsid w:val="00683A9A"/>
    <w:rsid w:val="0069210B"/>
    <w:rsid w:val="00695A85"/>
    <w:rsid w:val="006A3128"/>
    <w:rsid w:val="006B7066"/>
    <w:rsid w:val="006C0D87"/>
    <w:rsid w:val="006C6C77"/>
    <w:rsid w:val="006E5D4A"/>
    <w:rsid w:val="006E5DE8"/>
    <w:rsid w:val="006E702F"/>
    <w:rsid w:val="00714062"/>
    <w:rsid w:val="007377ED"/>
    <w:rsid w:val="00747B76"/>
    <w:rsid w:val="007639CF"/>
    <w:rsid w:val="0077678F"/>
    <w:rsid w:val="00786332"/>
    <w:rsid w:val="0079488C"/>
    <w:rsid w:val="007B5E60"/>
    <w:rsid w:val="007D3368"/>
    <w:rsid w:val="007D5C7A"/>
    <w:rsid w:val="007E230E"/>
    <w:rsid w:val="00820BC5"/>
    <w:rsid w:val="008278D2"/>
    <w:rsid w:val="008B109F"/>
    <w:rsid w:val="008B6702"/>
    <w:rsid w:val="008E709C"/>
    <w:rsid w:val="0094306A"/>
    <w:rsid w:val="00951527"/>
    <w:rsid w:val="00955468"/>
    <w:rsid w:val="00970C62"/>
    <w:rsid w:val="00974679"/>
    <w:rsid w:val="009951A9"/>
    <w:rsid w:val="009B3FA8"/>
    <w:rsid w:val="009E0B16"/>
    <w:rsid w:val="009E54A3"/>
    <w:rsid w:val="009F3023"/>
    <w:rsid w:val="009F72FD"/>
    <w:rsid w:val="00A01C69"/>
    <w:rsid w:val="00A10B1A"/>
    <w:rsid w:val="00A238B1"/>
    <w:rsid w:val="00A3616C"/>
    <w:rsid w:val="00A51ABC"/>
    <w:rsid w:val="00A576F0"/>
    <w:rsid w:val="00A72CD8"/>
    <w:rsid w:val="00A84211"/>
    <w:rsid w:val="00AA347D"/>
    <w:rsid w:val="00AA3E10"/>
    <w:rsid w:val="00AC17E1"/>
    <w:rsid w:val="00AE4020"/>
    <w:rsid w:val="00B300C1"/>
    <w:rsid w:val="00B46447"/>
    <w:rsid w:val="00B5479C"/>
    <w:rsid w:val="00B55DE7"/>
    <w:rsid w:val="00B57BDA"/>
    <w:rsid w:val="00B8275F"/>
    <w:rsid w:val="00B85A68"/>
    <w:rsid w:val="00B91595"/>
    <w:rsid w:val="00BF1B79"/>
    <w:rsid w:val="00BF5A25"/>
    <w:rsid w:val="00BF65B7"/>
    <w:rsid w:val="00BF6C28"/>
    <w:rsid w:val="00C00C93"/>
    <w:rsid w:val="00C56CD4"/>
    <w:rsid w:val="00C610B3"/>
    <w:rsid w:val="00C66393"/>
    <w:rsid w:val="00C75C54"/>
    <w:rsid w:val="00C824C7"/>
    <w:rsid w:val="00CB2985"/>
    <w:rsid w:val="00CC14D5"/>
    <w:rsid w:val="00CC2D8A"/>
    <w:rsid w:val="00CC5034"/>
    <w:rsid w:val="00CE43A3"/>
    <w:rsid w:val="00CE486B"/>
    <w:rsid w:val="00D10614"/>
    <w:rsid w:val="00D17589"/>
    <w:rsid w:val="00D320BE"/>
    <w:rsid w:val="00D35B8E"/>
    <w:rsid w:val="00D423D9"/>
    <w:rsid w:val="00D63474"/>
    <w:rsid w:val="00D63DF8"/>
    <w:rsid w:val="00D64047"/>
    <w:rsid w:val="00D712FE"/>
    <w:rsid w:val="00D93C33"/>
    <w:rsid w:val="00D93DE5"/>
    <w:rsid w:val="00D95F01"/>
    <w:rsid w:val="00DB0C94"/>
    <w:rsid w:val="00DB147D"/>
    <w:rsid w:val="00DC3D32"/>
    <w:rsid w:val="00DD1BD4"/>
    <w:rsid w:val="00DE30EA"/>
    <w:rsid w:val="00DE7FFB"/>
    <w:rsid w:val="00DF18F1"/>
    <w:rsid w:val="00DF621D"/>
    <w:rsid w:val="00E11441"/>
    <w:rsid w:val="00E27F39"/>
    <w:rsid w:val="00E3127E"/>
    <w:rsid w:val="00E71A04"/>
    <w:rsid w:val="00EA33A1"/>
    <w:rsid w:val="00EA469C"/>
    <w:rsid w:val="00EA5C3C"/>
    <w:rsid w:val="00EB0F4B"/>
    <w:rsid w:val="00EC0C27"/>
    <w:rsid w:val="00ED192E"/>
    <w:rsid w:val="00ED3718"/>
    <w:rsid w:val="00ED55A2"/>
    <w:rsid w:val="00EE4295"/>
    <w:rsid w:val="00EE4E25"/>
    <w:rsid w:val="00EE6720"/>
    <w:rsid w:val="00EE782C"/>
    <w:rsid w:val="00EF3F0F"/>
    <w:rsid w:val="00F06CFF"/>
    <w:rsid w:val="00F2391C"/>
    <w:rsid w:val="00F3173F"/>
    <w:rsid w:val="00F42A57"/>
    <w:rsid w:val="00F4617D"/>
    <w:rsid w:val="00F47A00"/>
    <w:rsid w:val="00F57476"/>
    <w:rsid w:val="00F66F08"/>
    <w:rsid w:val="00F70063"/>
    <w:rsid w:val="00F945E3"/>
    <w:rsid w:val="00F97CFF"/>
    <w:rsid w:val="00FA3361"/>
    <w:rsid w:val="00FB267F"/>
    <w:rsid w:val="00FB38BC"/>
    <w:rsid w:val="00FC660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9DF6A74"/>
  <w15:docId w15:val="{06766EA7-CA0D-4B8F-91A9-A4340013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E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E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E60"/>
  </w:style>
  <w:style w:type="paragraph" w:styleId="Footer">
    <w:name w:val="footer"/>
    <w:basedOn w:val="Normal"/>
    <w:link w:val="FooterChar"/>
    <w:uiPriority w:val="99"/>
    <w:unhideWhenUsed/>
    <w:rsid w:val="007B5E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E60"/>
  </w:style>
  <w:style w:type="paragraph" w:styleId="EndnoteText">
    <w:name w:val="endnote text"/>
    <w:basedOn w:val="Normal"/>
    <w:link w:val="EndnoteTextChar"/>
    <w:uiPriority w:val="99"/>
    <w:semiHidden/>
    <w:unhideWhenUsed/>
    <w:rsid w:val="007B5E6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E60"/>
    <w:rPr>
      <w:sz w:val="20"/>
      <w:szCs w:val="20"/>
    </w:rPr>
  </w:style>
  <w:style w:type="character" w:styleId="EndnoteReference">
    <w:name w:val="endnote reference"/>
    <w:basedOn w:val="DefaultParagraphFont"/>
    <w:uiPriority w:val="99"/>
    <w:unhideWhenUsed/>
    <w:rsid w:val="007B5E60"/>
    <w:rPr>
      <w:vertAlign w:val="superscript"/>
    </w:rPr>
  </w:style>
  <w:style w:type="paragraph" w:styleId="BalloonText">
    <w:name w:val="Balloon Text"/>
    <w:basedOn w:val="Normal"/>
    <w:link w:val="BalloonTextChar"/>
    <w:uiPriority w:val="99"/>
    <w:semiHidden/>
    <w:unhideWhenUsed/>
    <w:rsid w:val="007B5E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60"/>
    <w:rPr>
      <w:rFonts w:ascii="Segoe UI" w:hAnsi="Segoe UI" w:cs="Segoe UI"/>
      <w:sz w:val="18"/>
      <w:szCs w:val="18"/>
    </w:rPr>
  </w:style>
  <w:style w:type="paragraph" w:styleId="NoSpacing">
    <w:name w:val="No Spacing"/>
    <w:uiPriority w:val="1"/>
    <w:qFormat/>
    <w:rsid w:val="007B5E60"/>
    <w:pPr>
      <w:spacing w:after="0" w:line="240" w:lineRule="auto"/>
    </w:pPr>
  </w:style>
  <w:style w:type="paragraph" w:styleId="FootnoteText">
    <w:name w:val="footnote text"/>
    <w:basedOn w:val="Normal"/>
    <w:link w:val="FootnoteTextChar"/>
    <w:uiPriority w:val="99"/>
    <w:unhideWhenUsed/>
    <w:rsid w:val="007B5E60"/>
    <w:pPr>
      <w:spacing w:after="0" w:line="240" w:lineRule="auto"/>
    </w:pPr>
    <w:rPr>
      <w:sz w:val="20"/>
      <w:szCs w:val="20"/>
    </w:rPr>
  </w:style>
  <w:style w:type="character" w:customStyle="1" w:styleId="FootnoteTextChar">
    <w:name w:val="Footnote Text Char"/>
    <w:basedOn w:val="DefaultParagraphFont"/>
    <w:link w:val="FootnoteText"/>
    <w:uiPriority w:val="99"/>
    <w:rsid w:val="007B5E60"/>
    <w:rPr>
      <w:sz w:val="20"/>
      <w:szCs w:val="20"/>
    </w:rPr>
  </w:style>
  <w:style w:type="character" w:styleId="FootnoteReference">
    <w:name w:val="footnote reference"/>
    <w:basedOn w:val="DefaultParagraphFont"/>
    <w:uiPriority w:val="99"/>
    <w:unhideWhenUsed/>
    <w:rsid w:val="007B5E60"/>
    <w:rPr>
      <w:vertAlign w:val="superscript"/>
    </w:rPr>
  </w:style>
  <w:style w:type="paragraph" w:customStyle="1" w:styleId="EndNoteBibliography">
    <w:name w:val="EndNote Bibliography"/>
    <w:basedOn w:val="Normal"/>
    <w:link w:val="EndNoteBibliographyChar"/>
    <w:rsid w:val="007B5E6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7B5E60"/>
    <w:rPr>
      <w:rFonts w:ascii="Calibri" w:hAnsi="Calibri" w:cs="Calibri"/>
      <w:noProof/>
      <w:lang w:val="en-US"/>
    </w:rPr>
  </w:style>
  <w:style w:type="character" w:styleId="Hyperlink">
    <w:name w:val="Hyperlink"/>
    <w:basedOn w:val="DefaultParagraphFont"/>
    <w:uiPriority w:val="99"/>
    <w:unhideWhenUsed/>
    <w:rsid w:val="007B5E60"/>
    <w:rPr>
      <w:color w:val="0563C1" w:themeColor="hyperlink"/>
      <w:u w:val="single"/>
    </w:rPr>
  </w:style>
  <w:style w:type="paragraph" w:customStyle="1" w:styleId="EndNoteBibliographyTitle">
    <w:name w:val="EndNote Bibliography Title"/>
    <w:basedOn w:val="Normal"/>
    <w:link w:val="EndNoteBibliographyTitleChar"/>
    <w:rsid w:val="007B5E60"/>
    <w:pPr>
      <w:spacing w:after="0"/>
      <w:jc w:val="center"/>
    </w:pPr>
    <w:rPr>
      <w:rFonts w:ascii="Calibri" w:hAnsi="Calibri" w:cs="Calibri"/>
      <w:noProof/>
      <w:sz w:val="20"/>
      <w:szCs w:val="20"/>
      <w:lang w:val="en-US"/>
    </w:rPr>
  </w:style>
  <w:style w:type="character" w:customStyle="1" w:styleId="EndNoteBibliographyTitleChar">
    <w:name w:val="EndNote Bibliography Title Char"/>
    <w:basedOn w:val="EndnoteTextChar"/>
    <w:link w:val="EndNoteBibliographyTitle"/>
    <w:rsid w:val="007B5E60"/>
    <w:rPr>
      <w:rFonts w:ascii="Calibri" w:hAnsi="Calibri" w:cs="Calibri"/>
      <w:noProof/>
      <w:sz w:val="20"/>
      <w:szCs w:val="20"/>
      <w:lang w:val="en-US"/>
    </w:rPr>
  </w:style>
  <w:style w:type="character" w:customStyle="1" w:styleId="UnresolvedMention1">
    <w:name w:val="Unresolved Mention1"/>
    <w:basedOn w:val="DefaultParagraphFont"/>
    <w:uiPriority w:val="99"/>
    <w:semiHidden/>
    <w:unhideWhenUsed/>
    <w:rsid w:val="007B5E60"/>
    <w:rPr>
      <w:color w:val="808080"/>
      <w:shd w:val="clear" w:color="auto" w:fill="E6E6E6"/>
    </w:rPr>
  </w:style>
  <w:style w:type="character" w:styleId="FollowedHyperlink">
    <w:name w:val="FollowedHyperlink"/>
    <w:basedOn w:val="DefaultParagraphFont"/>
    <w:uiPriority w:val="99"/>
    <w:semiHidden/>
    <w:unhideWhenUsed/>
    <w:rsid w:val="007B5E60"/>
    <w:rPr>
      <w:color w:val="954F72" w:themeColor="followedHyperlink"/>
      <w:u w:val="single"/>
    </w:rPr>
  </w:style>
  <w:style w:type="paragraph" w:styleId="CommentText">
    <w:name w:val="annotation text"/>
    <w:basedOn w:val="Normal"/>
    <w:link w:val="CommentTextChar"/>
    <w:uiPriority w:val="99"/>
    <w:semiHidden/>
    <w:unhideWhenUsed/>
    <w:rsid w:val="007B5E60"/>
    <w:pPr>
      <w:spacing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7B5E60"/>
    <w:rPr>
      <w:rFonts w:eastAsiaTheme="minorEastAsia"/>
      <w:sz w:val="20"/>
      <w:szCs w:val="20"/>
    </w:rPr>
  </w:style>
  <w:style w:type="character" w:styleId="CommentReference">
    <w:name w:val="annotation reference"/>
    <w:basedOn w:val="DefaultParagraphFont"/>
    <w:uiPriority w:val="99"/>
    <w:semiHidden/>
    <w:unhideWhenUsed/>
    <w:rsid w:val="005D0200"/>
    <w:rPr>
      <w:sz w:val="18"/>
      <w:szCs w:val="18"/>
    </w:rPr>
  </w:style>
  <w:style w:type="paragraph" w:styleId="CommentSubject">
    <w:name w:val="annotation subject"/>
    <w:basedOn w:val="CommentText"/>
    <w:next w:val="CommentText"/>
    <w:link w:val="CommentSubjectChar"/>
    <w:uiPriority w:val="99"/>
    <w:semiHidden/>
    <w:unhideWhenUsed/>
    <w:rsid w:val="005D0200"/>
    <w:pPr>
      <w:spacing w:after="160"/>
    </w:pPr>
    <w:rPr>
      <w:rFonts w:eastAsiaTheme="minorHAnsi"/>
      <w:b/>
      <w:bCs/>
    </w:rPr>
  </w:style>
  <w:style w:type="character" w:customStyle="1" w:styleId="CommentSubjectChar">
    <w:name w:val="Comment Subject Char"/>
    <w:basedOn w:val="CommentTextChar"/>
    <w:link w:val="CommentSubject"/>
    <w:uiPriority w:val="99"/>
    <w:semiHidden/>
    <w:rsid w:val="005D0200"/>
    <w:rPr>
      <w:rFonts w:eastAsiaTheme="minorEastAsia"/>
      <w:b/>
      <w:bCs/>
      <w:sz w:val="20"/>
      <w:szCs w:val="20"/>
    </w:rPr>
  </w:style>
  <w:style w:type="table" w:styleId="TableGrid">
    <w:name w:val="Table Grid"/>
    <w:basedOn w:val="TableNormal"/>
    <w:uiPriority w:val="39"/>
    <w:rsid w:val="00CE4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B72B4"/>
    <w:rPr>
      <w:color w:val="605E5C"/>
      <w:shd w:val="clear" w:color="auto" w:fill="E1DFDD"/>
    </w:rPr>
  </w:style>
  <w:style w:type="paragraph" w:styleId="ListParagraph">
    <w:name w:val="List Paragraph"/>
    <w:basedOn w:val="Normal"/>
    <w:uiPriority w:val="34"/>
    <w:qFormat/>
    <w:rsid w:val="00763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76161">
      <w:bodyDiv w:val="1"/>
      <w:marLeft w:val="0"/>
      <w:marRight w:val="0"/>
      <w:marTop w:val="0"/>
      <w:marBottom w:val="0"/>
      <w:divBdr>
        <w:top w:val="none" w:sz="0" w:space="0" w:color="auto"/>
        <w:left w:val="none" w:sz="0" w:space="0" w:color="auto"/>
        <w:bottom w:val="none" w:sz="0" w:space="0" w:color="auto"/>
        <w:right w:val="none" w:sz="0" w:space="0" w:color="auto"/>
      </w:divBdr>
    </w:div>
    <w:div w:id="1215123607">
      <w:bodyDiv w:val="1"/>
      <w:marLeft w:val="0"/>
      <w:marRight w:val="0"/>
      <w:marTop w:val="0"/>
      <w:marBottom w:val="0"/>
      <w:divBdr>
        <w:top w:val="none" w:sz="0" w:space="0" w:color="auto"/>
        <w:left w:val="none" w:sz="0" w:space="0" w:color="auto"/>
        <w:bottom w:val="none" w:sz="0" w:space="0" w:color="auto"/>
        <w:right w:val="none" w:sz="0" w:space="0" w:color="auto"/>
      </w:divBdr>
    </w:div>
    <w:div w:id="124696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DFE96-0DD9-40D6-86DD-17C00B2B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Pages>
  <Words>2234</Words>
  <Characters>12736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Dorrington</dc:creator>
  <cp:keywords/>
  <dc:description/>
  <cp:lastModifiedBy>Nicole Dorrington</cp:lastModifiedBy>
  <cp:revision>131</cp:revision>
  <cp:lastPrinted>2019-05-30T19:52:00Z</cp:lastPrinted>
  <dcterms:created xsi:type="dcterms:W3CDTF">2019-03-02T19:58:00Z</dcterms:created>
  <dcterms:modified xsi:type="dcterms:W3CDTF">2021-07-15T16:31:00Z</dcterms:modified>
</cp:coreProperties>
</file>