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659A" w14:textId="0B926752" w:rsidR="00F93D3C" w:rsidRPr="00F93D3C" w:rsidRDefault="00F93D3C" w:rsidP="00F93D3C">
      <w:pPr>
        <w:jc w:val="both"/>
        <w:rPr>
          <w:sz w:val="20"/>
          <w:szCs w:val="20"/>
        </w:rPr>
      </w:pPr>
      <w:r w:rsidRPr="00F93D3C">
        <w:rPr>
          <w:sz w:val="20"/>
          <w:szCs w:val="20"/>
        </w:rPr>
        <w:t>Table 4</w:t>
      </w:r>
      <w:r>
        <w:rPr>
          <w:sz w:val="20"/>
          <w:szCs w:val="20"/>
        </w:rPr>
        <w:t>a</w:t>
      </w:r>
      <w:r w:rsidRPr="00F93D3C">
        <w:rPr>
          <w:sz w:val="20"/>
          <w:szCs w:val="20"/>
        </w:rPr>
        <w:t xml:space="preserve">. Association between MDS and the time course of </w:t>
      </w:r>
      <w:bookmarkStart w:id="0" w:name="_Hlk64711457"/>
      <w:r w:rsidRPr="00F93D3C">
        <w:rPr>
          <w:sz w:val="20"/>
          <w:szCs w:val="20"/>
        </w:rPr>
        <w:t>SCD score</w:t>
      </w:r>
      <w:bookmarkEnd w:id="0"/>
      <w:r w:rsidRPr="00F93D3C">
        <w:rPr>
          <w:sz w:val="20"/>
          <w:szCs w:val="20"/>
        </w:rPr>
        <w:t xml:space="preserve"> in the </w:t>
      </w:r>
      <w:r w:rsidRPr="00F93D3C">
        <w:rPr>
          <w:sz w:val="20"/>
          <w:szCs w:val="20"/>
          <w:u w:val="single"/>
        </w:rPr>
        <w:t>cognitively normal population at baseline</w:t>
      </w:r>
      <w:r w:rsidRPr="00F93D3C">
        <w:t xml:space="preserve"> </w:t>
      </w:r>
      <w:r w:rsidRPr="00F93D3C">
        <w:rPr>
          <w:sz w:val="20"/>
          <w:szCs w:val="20"/>
          <w:u w:val="single"/>
        </w:rPr>
        <w:t>irrespective of participation in follow-up.</w:t>
      </w:r>
    </w:p>
    <w:p w14:paraId="155CCC58" w14:textId="77777777" w:rsidR="00F93D3C" w:rsidRPr="00F93D3C" w:rsidRDefault="00F93D3C" w:rsidP="00F93D3C">
      <w:pPr>
        <w:rPr>
          <w:sz w:val="20"/>
          <w:szCs w:val="20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098"/>
        <w:gridCol w:w="6552"/>
        <w:gridCol w:w="1559"/>
        <w:gridCol w:w="846"/>
      </w:tblGrid>
      <w:tr w:rsidR="00F93D3C" w:rsidRPr="00F93D3C" w14:paraId="46FD7AB1" w14:textId="77777777" w:rsidTr="00F93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24180823" w14:textId="77777777" w:rsidR="00F93D3C" w:rsidRPr="00F93D3C" w:rsidRDefault="00F93D3C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GEE model</w:t>
            </w:r>
          </w:p>
        </w:tc>
        <w:tc>
          <w:tcPr>
            <w:tcW w:w="655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48FCFB15" w14:textId="77777777" w:rsidR="00F93D3C" w:rsidRPr="00F93D3C" w:rsidRDefault="00F93D3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Adjustment for:</w:t>
            </w:r>
          </w:p>
        </w:tc>
        <w:tc>
          <w:tcPr>
            <w:tcW w:w="1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2BC0A059" w14:textId="77777777" w:rsidR="00F93D3C" w:rsidRPr="00F93D3C" w:rsidRDefault="00F93D3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β (MDS × time)</w:t>
            </w:r>
          </w:p>
        </w:tc>
        <w:tc>
          <w:tcPr>
            <w:tcW w:w="84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17D44F93" w14:textId="77777777" w:rsidR="00F93D3C" w:rsidRPr="00F93D3C" w:rsidRDefault="00F93D3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p</w:t>
            </w:r>
          </w:p>
        </w:tc>
      </w:tr>
      <w:tr w:rsidR="00F93D3C" w:rsidRPr="00F93D3C" w14:paraId="1C9AEDA2" w14:textId="77777777" w:rsidTr="00F9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558AC4D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655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5D6AAD7" w14:textId="77777777" w:rsidR="00F93D3C" w:rsidRPr="00F93D3C" w:rsidRDefault="00F93D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 xml:space="preserve">Sex, age, education, </w:t>
            </w:r>
            <w:r w:rsidRPr="00F93D3C">
              <w:rPr>
                <w:i/>
                <w:iCs/>
                <w:color w:val="auto"/>
                <w:sz w:val="20"/>
                <w:szCs w:val="20"/>
              </w:rPr>
              <w:t>APOE-ε4</w:t>
            </w:r>
            <w:r w:rsidRPr="00F93D3C">
              <w:rPr>
                <w:color w:val="auto"/>
                <w:sz w:val="20"/>
                <w:szCs w:val="20"/>
              </w:rPr>
              <w:t xml:space="preserve"> carriage &amp; follow-up duration</w:t>
            </w:r>
          </w:p>
        </w:tc>
        <w:tc>
          <w:tcPr>
            <w:tcW w:w="1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E80667D" w14:textId="77777777" w:rsidR="00F93D3C" w:rsidRPr="00F93D3C" w:rsidRDefault="00F93D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-0.007</w:t>
            </w:r>
          </w:p>
        </w:tc>
        <w:tc>
          <w:tcPr>
            <w:tcW w:w="84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EE89B4E" w14:textId="77777777" w:rsidR="00F93D3C" w:rsidRPr="00F93D3C" w:rsidRDefault="00F93D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color w:val="auto"/>
                <w:sz w:val="20"/>
                <w:szCs w:val="20"/>
              </w:rPr>
              <w:t>0.013</w:t>
            </w:r>
          </w:p>
        </w:tc>
      </w:tr>
      <w:tr w:rsidR="00F93D3C" w:rsidRPr="00F93D3C" w14:paraId="3F8717F4" w14:textId="77777777" w:rsidTr="00F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E9B21B6" w14:textId="77777777" w:rsidR="00F93D3C" w:rsidRPr="00F93D3C" w:rsidRDefault="00F93D3C">
            <w:pPr>
              <w:spacing w:line="240" w:lineRule="auto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55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069365C" w14:textId="77777777" w:rsidR="00F93D3C" w:rsidRPr="00F93D3C" w:rsidRDefault="00F93D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Sex, age, education, genetic predisposition to cognitive decline &amp; follow-up duration</w:t>
            </w:r>
          </w:p>
        </w:tc>
        <w:tc>
          <w:tcPr>
            <w:tcW w:w="1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DCC22EA" w14:textId="77777777" w:rsidR="00F93D3C" w:rsidRPr="00F93D3C" w:rsidRDefault="00F93D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-0.007</w:t>
            </w:r>
          </w:p>
        </w:tc>
        <w:tc>
          <w:tcPr>
            <w:tcW w:w="84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B643D0E" w14:textId="77777777" w:rsidR="00F93D3C" w:rsidRPr="00F93D3C" w:rsidRDefault="00F93D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color w:val="auto"/>
                <w:sz w:val="20"/>
                <w:szCs w:val="20"/>
              </w:rPr>
              <w:t>0.005</w:t>
            </w:r>
          </w:p>
        </w:tc>
      </w:tr>
      <w:tr w:rsidR="00F93D3C" w:rsidRPr="00F93D3C" w14:paraId="098A8A35" w14:textId="77777777" w:rsidTr="00F9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CAECBA0" w14:textId="77777777" w:rsidR="00F93D3C" w:rsidRPr="00F93D3C" w:rsidRDefault="00F93D3C">
            <w:pPr>
              <w:spacing w:line="240" w:lineRule="auto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55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8C686C1" w14:textId="77777777" w:rsidR="00F93D3C" w:rsidRPr="00F93D3C" w:rsidRDefault="00F93D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Model 2 + energy intake (Kcal/day)</w:t>
            </w:r>
          </w:p>
        </w:tc>
        <w:tc>
          <w:tcPr>
            <w:tcW w:w="1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6B1DFA2" w14:textId="77777777" w:rsidR="00F93D3C" w:rsidRPr="00F93D3C" w:rsidRDefault="00F93D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-0.006</w:t>
            </w:r>
          </w:p>
        </w:tc>
        <w:tc>
          <w:tcPr>
            <w:tcW w:w="84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0DD0160" w14:textId="77777777" w:rsidR="00F93D3C" w:rsidRPr="00F93D3C" w:rsidRDefault="00F93D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color w:val="auto"/>
                <w:sz w:val="20"/>
                <w:szCs w:val="20"/>
              </w:rPr>
              <w:t>0.005</w:t>
            </w:r>
          </w:p>
        </w:tc>
      </w:tr>
      <w:tr w:rsidR="00F93D3C" w:rsidRPr="00F93D3C" w14:paraId="618C5B24" w14:textId="77777777" w:rsidTr="00F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2E4CDED" w14:textId="77777777" w:rsidR="00F93D3C" w:rsidRPr="00F93D3C" w:rsidRDefault="00F93D3C">
            <w:pPr>
              <w:spacing w:line="240" w:lineRule="auto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655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EBCB931" w14:textId="77777777" w:rsidR="00F93D3C" w:rsidRPr="00F93D3C" w:rsidRDefault="00F93D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Model 2 + GDS score</w:t>
            </w:r>
          </w:p>
        </w:tc>
        <w:tc>
          <w:tcPr>
            <w:tcW w:w="1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CA648B9" w14:textId="77777777" w:rsidR="00F93D3C" w:rsidRPr="00F93D3C" w:rsidRDefault="00F93D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-0.006</w:t>
            </w:r>
          </w:p>
        </w:tc>
        <w:tc>
          <w:tcPr>
            <w:tcW w:w="84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2408DCA" w14:textId="77777777" w:rsidR="00F93D3C" w:rsidRPr="00F93D3C" w:rsidRDefault="00F93D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color w:val="auto"/>
                <w:sz w:val="20"/>
                <w:szCs w:val="20"/>
              </w:rPr>
              <w:t>0.005</w:t>
            </w:r>
          </w:p>
        </w:tc>
      </w:tr>
      <w:tr w:rsidR="00F93D3C" w:rsidRPr="00F93D3C" w14:paraId="3BFC3BD6" w14:textId="77777777" w:rsidTr="00F9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0916F55" w14:textId="77777777" w:rsidR="00F93D3C" w:rsidRPr="00F93D3C" w:rsidRDefault="00F93D3C">
            <w:pPr>
              <w:spacing w:line="240" w:lineRule="auto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655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669085D" w14:textId="77777777" w:rsidR="00F93D3C" w:rsidRPr="00F93D3C" w:rsidRDefault="00F93D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 xml:space="preserve">Model 2 + energy intake + GDS score + </w:t>
            </w:r>
            <w:proofErr w:type="spellStart"/>
            <w:r w:rsidRPr="00F93D3C">
              <w:rPr>
                <w:color w:val="auto"/>
                <w:sz w:val="20"/>
                <w:szCs w:val="20"/>
              </w:rPr>
              <w:t>Hachinski</w:t>
            </w:r>
            <w:proofErr w:type="spellEnd"/>
            <w:r w:rsidRPr="00F93D3C">
              <w:rPr>
                <w:color w:val="auto"/>
                <w:sz w:val="20"/>
                <w:szCs w:val="20"/>
              </w:rPr>
              <w:t xml:space="preserve"> score</w:t>
            </w:r>
          </w:p>
        </w:tc>
        <w:tc>
          <w:tcPr>
            <w:tcW w:w="1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98813A0" w14:textId="77777777" w:rsidR="00F93D3C" w:rsidRPr="00F93D3C" w:rsidRDefault="00F93D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-0.006</w:t>
            </w:r>
          </w:p>
        </w:tc>
        <w:tc>
          <w:tcPr>
            <w:tcW w:w="84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465AF20" w14:textId="77777777" w:rsidR="00F93D3C" w:rsidRPr="00F93D3C" w:rsidRDefault="00F93D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color w:val="auto"/>
                <w:sz w:val="20"/>
                <w:szCs w:val="20"/>
              </w:rPr>
              <w:t>0.006</w:t>
            </w:r>
          </w:p>
        </w:tc>
      </w:tr>
    </w:tbl>
    <w:p w14:paraId="56905915" w14:textId="1E29CD24" w:rsidR="00F93D3C" w:rsidRDefault="00F93D3C" w:rsidP="00F93D3C">
      <w:pPr>
        <w:rPr>
          <w:sz w:val="20"/>
          <w:szCs w:val="20"/>
        </w:rPr>
      </w:pPr>
    </w:p>
    <w:p w14:paraId="1F8699B7" w14:textId="77777777" w:rsidR="00F93D3C" w:rsidRDefault="00F93D3C" w:rsidP="00F93D3C">
      <w:pPr>
        <w:jc w:val="both"/>
        <w:rPr>
          <w:sz w:val="20"/>
          <w:szCs w:val="20"/>
        </w:rPr>
      </w:pPr>
      <w:bookmarkStart w:id="1" w:name="_Hlk64654227"/>
      <w:r>
        <w:rPr>
          <w:sz w:val="20"/>
          <w:szCs w:val="20"/>
        </w:rPr>
        <w:t xml:space="preserve">MDS: </w:t>
      </w:r>
      <w:r w:rsidRPr="00E01B72">
        <w:rPr>
          <w:sz w:val="20"/>
          <w:szCs w:val="20"/>
        </w:rPr>
        <w:t>Mediterranean Diet Score</w:t>
      </w:r>
      <w:r>
        <w:rPr>
          <w:sz w:val="20"/>
          <w:szCs w:val="20"/>
        </w:rPr>
        <w:t>, SCD: Subjective Cognitive Decline, GEE: Generalized Estimating Equations</w:t>
      </w:r>
      <w:bookmarkEnd w:id="1"/>
      <w:r>
        <w:rPr>
          <w:sz w:val="20"/>
          <w:szCs w:val="20"/>
        </w:rPr>
        <w:t xml:space="preserve">, </w:t>
      </w:r>
      <w:r w:rsidRPr="004A2DE4">
        <w:rPr>
          <w:i/>
          <w:iCs/>
          <w:sz w:val="20"/>
          <w:szCs w:val="20"/>
        </w:rPr>
        <w:t>APOE:</w:t>
      </w:r>
      <w:r>
        <w:rPr>
          <w:sz w:val="20"/>
          <w:szCs w:val="20"/>
        </w:rPr>
        <w:t xml:space="preserve"> </w:t>
      </w:r>
      <w:r w:rsidRPr="001C4EA2">
        <w:rPr>
          <w:sz w:val="20"/>
          <w:szCs w:val="20"/>
        </w:rPr>
        <w:t>apolipoprotein E gene</w:t>
      </w:r>
      <w:r>
        <w:rPr>
          <w:sz w:val="20"/>
          <w:szCs w:val="20"/>
        </w:rPr>
        <w:t>, GDS: Geriatric Depression Scale.</w:t>
      </w:r>
    </w:p>
    <w:p w14:paraId="09C3CAC4" w14:textId="77777777" w:rsidR="00F93D3C" w:rsidRPr="001C4EA2" w:rsidRDefault="00F93D3C" w:rsidP="00F93D3C">
      <w:pPr>
        <w:jc w:val="both"/>
        <w:rPr>
          <w:sz w:val="20"/>
          <w:szCs w:val="20"/>
        </w:rPr>
      </w:pPr>
      <w:r w:rsidRPr="001C4EA2">
        <w:rPr>
          <w:sz w:val="20"/>
          <w:szCs w:val="20"/>
        </w:rPr>
        <w:t>The table shows the</w:t>
      </w:r>
      <w:r>
        <w:rPr>
          <w:sz w:val="20"/>
          <w:szCs w:val="20"/>
        </w:rPr>
        <w:t xml:space="preserve"> </w:t>
      </w:r>
      <w:r w:rsidRPr="00C84924">
        <w:rPr>
          <w:sz w:val="20"/>
          <w:szCs w:val="20"/>
        </w:rPr>
        <w:t>association between the interaction of MDS with time and the SCD score</w:t>
      </w:r>
      <w:r>
        <w:rPr>
          <w:sz w:val="20"/>
          <w:szCs w:val="20"/>
        </w:rPr>
        <w:t xml:space="preserve">, after adjustment for potential confounders, using GEE. Participants were considered genetically predisposed to cognitive decline if they were </w:t>
      </w:r>
      <w:r w:rsidRPr="00A4087C">
        <w:rPr>
          <w:i/>
          <w:iCs/>
          <w:sz w:val="20"/>
          <w:szCs w:val="20"/>
        </w:rPr>
        <w:t>APOE-</w:t>
      </w:r>
      <w:r w:rsidRPr="00A4087C">
        <w:rPr>
          <w:i/>
          <w:iCs/>
          <w:sz w:val="20"/>
          <w:szCs w:val="20"/>
          <w:lang w:val="el-GR"/>
        </w:rPr>
        <w:t>ε</w:t>
      </w:r>
      <w:r w:rsidRPr="00A4087C"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carriers or reported family history of dementia. </w:t>
      </w:r>
      <w:bookmarkStart w:id="2" w:name="_Hlk64711629"/>
      <w:r>
        <w:rPr>
          <w:sz w:val="20"/>
          <w:szCs w:val="20"/>
        </w:rPr>
        <w:t xml:space="preserve">Baseline values were used for age, energy intake, GDS score and </w:t>
      </w:r>
      <w:proofErr w:type="spellStart"/>
      <w:r>
        <w:rPr>
          <w:sz w:val="20"/>
          <w:szCs w:val="20"/>
        </w:rPr>
        <w:t>Hachinski</w:t>
      </w:r>
      <w:proofErr w:type="spellEnd"/>
      <w:r>
        <w:rPr>
          <w:sz w:val="20"/>
          <w:szCs w:val="20"/>
        </w:rPr>
        <w:t xml:space="preserve"> score.</w:t>
      </w:r>
      <w:bookmarkStart w:id="3" w:name="_Hlk68687940"/>
      <w:bookmarkEnd w:id="2"/>
      <w:r>
        <w:rPr>
          <w:sz w:val="20"/>
          <w:szCs w:val="20"/>
        </w:rPr>
        <w:t xml:space="preserve"> T</w:t>
      </w:r>
      <w:r w:rsidRPr="009E06E3">
        <w:rPr>
          <w:sz w:val="20"/>
          <w:szCs w:val="20"/>
        </w:rPr>
        <w:t xml:space="preserve">he SCD score </w:t>
      </w:r>
      <w:r>
        <w:rPr>
          <w:sz w:val="20"/>
          <w:szCs w:val="20"/>
        </w:rPr>
        <w:t xml:space="preserve">was calculated as the </w:t>
      </w:r>
      <w:r w:rsidRPr="009E06E3">
        <w:rPr>
          <w:sz w:val="20"/>
          <w:szCs w:val="20"/>
        </w:rPr>
        <w:t xml:space="preserve">number of SCD </w:t>
      </w:r>
      <w:r>
        <w:rPr>
          <w:sz w:val="20"/>
          <w:szCs w:val="20"/>
        </w:rPr>
        <w:t xml:space="preserve">cognitive </w:t>
      </w:r>
      <w:r w:rsidRPr="009E06E3">
        <w:rPr>
          <w:sz w:val="20"/>
          <w:szCs w:val="20"/>
        </w:rPr>
        <w:t>domains reported</w:t>
      </w:r>
      <w:r>
        <w:rPr>
          <w:sz w:val="20"/>
          <w:szCs w:val="20"/>
        </w:rPr>
        <w:t xml:space="preserve">. </w:t>
      </w:r>
      <w:bookmarkEnd w:id="3"/>
      <w:r>
        <w:rPr>
          <w:sz w:val="20"/>
          <w:szCs w:val="20"/>
        </w:rPr>
        <w:t xml:space="preserve">Bold p values </w:t>
      </w:r>
      <w:r w:rsidRPr="00BE1501">
        <w:rPr>
          <w:sz w:val="20"/>
          <w:szCs w:val="20"/>
        </w:rPr>
        <w:t>denote a statistically significant result (p&lt;0.05).</w:t>
      </w:r>
    </w:p>
    <w:p w14:paraId="70DE6E18" w14:textId="77777777" w:rsidR="00F93D3C" w:rsidRPr="00F93D3C" w:rsidRDefault="00F93D3C" w:rsidP="00F93D3C">
      <w:pPr>
        <w:rPr>
          <w:sz w:val="20"/>
          <w:szCs w:val="20"/>
        </w:rPr>
      </w:pPr>
    </w:p>
    <w:p w14:paraId="7AB65A62" w14:textId="0A92784E" w:rsidR="00F93D3C" w:rsidRPr="00F93D3C" w:rsidRDefault="00F93D3C" w:rsidP="00F93D3C">
      <w:pPr>
        <w:jc w:val="both"/>
        <w:rPr>
          <w:sz w:val="20"/>
          <w:szCs w:val="20"/>
          <w:u w:val="single"/>
        </w:rPr>
      </w:pPr>
      <w:r w:rsidRPr="00F93D3C">
        <w:rPr>
          <w:sz w:val="20"/>
          <w:szCs w:val="20"/>
        </w:rPr>
        <w:t>Table 5</w:t>
      </w:r>
      <w:r>
        <w:rPr>
          <w:sz w:val="20"/>
          <w:szCs w:val="20"/>
        </w:rPr>
        <w:t>a</w:t>
      </w:r>
      <w:r w:rsidRPr="00F93D3C">
        <w:rPr>
          <w:sz w:val="20"/>
          <w:szCs w:val="20"/>
        </w:rPr>
        <w:t xml:space="preserve">. Association of specific food group consumption and the time course of SCD score in the </w:t>
      </w:r>
      <w:r w:rsidRPr="00F93D3C">
        <w:rPr>
          <w:sz w:val="20"/>
          <w:szCs w:val="20"/>
          <w:u w:val="single"/>
        </w:rPr>
        <w:t>cognitively normal population at baseline irrespective of participation in follow-up.</w:t>
      </w:r>
    </w:p>
    <w:p w14:paraId="40B6670D" w14:textId="77777777" w:rsidR="00F93D3C" w:rsidRPr="00F93D3C" w:rsidRDefault="00F93D3C" w:rsidP="00F93D3C">
      <w:pPr>
        <w:jc w:val="both"/>
        <w:rPr>
          <w:sz w:val="20"/>
          <w:szCs w:val="20"/>
        </w:rPr>
      </w:pPr>
    </w:p>
    <w:tbl>
      <w:tblPr>
        <w:tblStyle w:val="6"/>
        <w:tblW w:w="0" w:type="auto"/>
        <w:jc w:val="center"/>
        <w:tblLook w:val="0480" w:firstRow="0" w:lastRow="0" w:firstColumn="1" w:lastColumn="0" w:noHBand="0" w:noVBand="1"/>
      </w:tblPr>
      <w:tblGrid>
        <w:gridCol w:w="1849"/>
        <w:gridCol w:w="2478"/>
        <w:gridCol w:w="1280"/>
        <w:gridCol w:w="2962"/>
        <w:gridCol w:w="1486"/>
      </w:tblGrid>
      <w:tr w:rsidR="00F93D3C" w:rsidRPr="00F93D3C" w14:paraId="03792CFA" w14:textId="77777777" w:rsidTr="00F9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  <w:left w:val="single" w:sz="4" w:space="0" w:color="666666" w:themeColor="text1" w:themeTint="99"/>
              <w:bottom w:val="single" w:sz="12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09C2488" w14:textId="77777777" w:rsidR="00F93D3C" w:rsidRPr="00F93D3C" w:rsidRDefault="00F93D3C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0146CB6" w14:textId="54E2C110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color w:val="auto"/>
                <w:sz w:val="20"/>
                <w:szCs w:val="20"/>
              </w:rPr>
              <w:t>Adjustment for sex, age, education, genetic predisposition to cognitive decline &amp; follow-up duration</w:t>
            </w:r>
          </w:p>
        </w:tc>
        <w:tc>
          <w:tcPr>
            <w:tcW w:w="0" w:type="auto"/>
            <w:gridSpan w:val="2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0A5CB68" w14:textId="3F17B548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color w:val="auto"/>
                <w:sz w:val="20"/>
                <w:szCs w:val="20"/>
              </w:rPr>
              <w:t>Adjustment for sex, age, education, genetic predisposition to cognitive decline, follow-up duration &amp; energy intake (Kcal/day)</w:t>
            </w:r>
          </w:p>
        </w:tc>
      </w:tr>
      <w:tr w:rsidR="00F93D3C" w:rsidRPr="00F93D3C" w14:paraId="2DE91628" w14:textId="77777777" w:rsidTr="00F93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666666" w:themeColor="text1" w:themeTint="99"/>
              <w:bottom w:val="single" w:sz="12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ABF1E47" w14:textId="77777777" w:rsidR="00F93D3C" w:rsidRPr="00F93D3C" w:rsidRDefault="00F93D3C">
            <w:pPr>
              <w:spacing w:line="240" w:lineRule="auto"/>
              <w:rPr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12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70F9711E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β (intake </w:t>
            </w:r>
            <w:r w:rsidRPr="00F93D3C">
              <w:rPr>
                <w:rFonts w:cstheme="minorHAnsi"/>
                <w:b/>
                <w:bCs/>
                <w:i/>
                <w:iCs/>
                <w:color w:val="auto"/>
                <w:sz w:val="20"/>
                <w:szCs w:val="20"/>
              </w:rPr>
              <w:t>×</w:t>
            </w:r>
            <w:r w:rsidRPr="00F93D3C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time)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12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C75783F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12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192D58A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β (intake </w:t>
            </w:r>
            <w:r w:rsidRPr="00F93D3C">
              <w:rPr>
                <w:rFonts w:cstheme="minorHAnsi"/>
                <w:b/>
                <w:bCs/>
                <w:i/>
                <w:iCs/>
                <w:color w:val="auto"/>
                <w:sz w:val="20"/>
                <w:szCs w:val="20"/>
              </w:rPr>
              <w:t>×</w:t>
            </w:r>
            <w:r w:rsidRPr="00F93D3C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time)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12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916E200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i/>
                <w:iCs/>
                <w:color w:val="auto"/>
                <w:sz w:val="20"/>
                <w:szCs w:val="20"/>
              </w:rPr>
              <w:t>p</w:t>
            </w:r>
          </w:p>
        </w:tc>
      </w:tr>
      <w:tr w:rsidR="00F93D3C" w:rsidRPr="00F93D3C" w14:paraId="23844EFC" w14:textId="77777777" w:rsidTr="00F9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203D58B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Milk, yogurt</w:t>
            </w:r>
          </w:p>
        </w:tc>
        <w:tc>
          <w:tcPr>
            <w:tcW w:w="0" w:type="auto"/>
            <w:tcBorders>
              <w:top w:val="single" w:sz="12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8242D9B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single" w:sz="12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EF673AB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0.357</w:t>
            </w:r>
          </w:p>
        </w:tc>
        <w:tc>
          <w:tcPr>
            <w:tcW w:w="0" w:type="auto"/>
            <w:tcBorders>
              <w:top w:val="single" w:sz="12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FC0313A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single" w:sz="12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B2D4A32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0.385</w:t>
            </w:r>
          </w:p>
        </w:tc>
      </w:tr>
      <w:tr w:rsidR="00F93D3C" w:rsidRPr="00F93D3C" w14:paraId="2014ADBE" w14:textId="77777777" w:rsidTr="00F93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5D6E5D3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Cheese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03BA60C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-0.001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B5DDE65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0.958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B299FD5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6E591BC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0.986</w:t>
            </w:r>
          </w:p>
        </w:tc>
      </w:tr>
      <w:tr w:rsidR="00F93D3C" w:rsidRPr="00F93D3C" w14:paraId="76C0CB69" w14:textId="77777777" w:rsidTr="00F9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45A20B2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Cereals, legumes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0A5423B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0.007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EEA84AE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0.207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5F110B5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0.006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C1AAF39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0.299</w:t>
            </w:r>
          </w:p>
        </w:tc>
      </w:tr>
      <w:tr w:rsidR="00F93D3C" w:rsidRPr="00F93D3C" w14:paraId="116E912F" w14:textId="77777777" w:rsidTr="00F93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D4873B4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Fruit, juice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F8BA445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-0.006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B29C9C6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0.380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D2EA18C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-0.006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0F85200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0.377</w:t>
            </w:r>
          </w:p>
        </w:tc>
      </w:tr>
      <w:tr w:rsidR="00F93D3C" w:rsidRPr="00F93D3C" w14:paraId="0043D1DC" w14:textId="77777777" w:rsidTr="00F9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9C480FA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Vegetables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294ECE8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-0.022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6516450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color w:val="auto"/>
                <w:sz w:val="20"/>
                <w:szCs w:val="20"/>
              </w:rPr>
              <w:t>0.024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B821758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-0.021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8C67358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93D3C">
              <w:rPr>
                <w:b/>
                <w:bCs/>
                <w:color w:val="auto"/>
                <w:sz w:val="20"/>
                <w:szCs w:val="20"/>
              </w:rPr>
              <w:t>0.030</w:t>
            </w:r>
          </w:p>
        </w:tc>
      </w:tr>
      <w:tr w:rsidR="00F93D3C" w:rsidRPr="00F93D3C" w14:paraId="4C911956" w14:textId="77777777" w:rsidTr="00F93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4D6A50F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Red meat, poultry, cold cuts &amp; eggs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9871CDE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0.015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F6B78DE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0.294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908BF2D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F9B1C15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0.321</w:t>
            </w:r>
          </w:p>
        </w:tc>
      </w:tr>
      <w:tr w:rsidR="00F93D3C" w:rsidRPr="00F93D3C" w14:paraId="785871C9" w14:textId="77777777" w:rsidTr="00F9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585CB8F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Fish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8DF2C8E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0.041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4BD03F4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0.100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24D5C3E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0.041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CD87DA1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0.100</w:t>
            </w:r>
          </w:p>
        </w:tc>
      </w:tr>
      <w:tr w:rsidR="00F93D3C" w:rsidRPr="00F93D3C" w14:paraId="0AA56ABA" w14:textId="77777777" w:rsidTr="00F93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412263A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Pastries, cakes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75162CC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8482353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0.542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27FDA54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DE7A4AE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0.420</w:t>
            </w:r>
          </w:p>
        </w:tc>
      </w:tr>
      <w:tr w:rsidR="00F93D3C" w:rsidRPr="00F93D3C" w14:paraId="5073645B" w14:textId="77777777" w:rsidTr="00F9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6FC07F0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Sweeteners, regular soft drinks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DC935AB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B1C8C6D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0.733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144315B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-0.004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0261800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0.753</w:t>
            </w:r>
          </w:p>
        </w:tc>
      </w:tr>
      <w:tr w:rsidR="00F93D3C" w:rsidRPr="00F93D3C" w14:paraId="2F547FBE" w14:textId="77777777" w:rsidTr="00F93D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5DDE547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Coffee, tea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CB1C46F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-0.016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AC9C90B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0.226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A3261FF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-0.018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9E6338E" w14:textId="77777777" w:rsidR="00F93D3C" w:rsidRPr="00F93D3C" w:rsidRDefault="00F9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0.191</w:t>
            </w:r>
          </w:p>
        </w:tc>
      </w:tr>
      <w:tr w:rsidR="00F93D3C" w:rsidRPr="00F93D3C" w14:paraId="5F8D7705" w14:textId="77777777" w:rsidTr="00F9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7B5557E" w14:textId="77777777" w:rsidR="00F93D3C" w:rsidRPr="00F93D3C" w:rsidRDefault="00F93D3C">
            <w:pPr>
              <w:spacing w:line="240" w:lineRule="auto"/>
              <w:rPr>
                <w:i/>
                <w:iCs/>
                <w:color w:val="auto"/>
                <w:sz w:val="20"/>
                <w:szCs w:val="20"/>
              </w:rPr>
            </w:pPr>
            <w:r w:rsidRPr="00F93D3C">
              <w:rPr>
                <w:i/>
                <w:iCs/>
                <w:color w:val="auto"/>
                <w:sz w:val="20"/>
                <w:szCs w:val="20"/>
              </w:rPr>
              <w:t>Alcoholic beverages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29DA8D3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-0.027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5628FA0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12CD952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-0.025</w:t>
            </w:r>
          </w:p>
        </w:tc>
        <w:tc>
          <w:tcPr>
            <w:tcW w:w="0" w:type="auto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09A03B7" w14:textId="77777777" w:rsidR="00F93D3C" w:rsidRPr="00F93D3C" w:rsidRDefault="00F9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93D3C">
              <w:rPr>
                <w:color w:val="auto"/>
                <w:sz w:val="20"/>
                <w:szCs w:val="20"/>
              </w:rPr>
              <w:t>0.100</w:t>
            </w:r>
          </w:p>
        </w:tc>
      </w:tr>
    </w:tbl>
    <w:p w14:paraId="511BD840" w14:textId="77777777" w:rsidR="00F93D3C" w:rsidRPr="00F93D3C" w:rsidRDefault="00F93D3C" w:rsidP="00F93D3C">
      <w:pPr>
        <w:rPr>
          <w:sz w:val="20"/>
          <w:szCs w:val="20"/>
        </w:rPr>
      </w:pPr>
    </w:p>
    <w:p w14:paraId="5E3A45C4" w14:textId="77777777" w:rsidR="00F93D3C" w:rsidRDefault="00F93D3C" w:rsidP="00F93D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SCD: Subjective Cognitive Decline, GEE: Generalized Estimating Equations, </w:t>
      </w:r>
      <w:r w:rsidRPr="004A2DE4">
        <w:rPr>
          <w:i/>
          <w:iCs/>
          <w:sz w:val="20"/>
          <w:szCs w:val="20"/>
        </w:rPr>
        <w:t>APOE:</w:t>
      </w:r>
      <w:r>
        <w:rPr>
          <w:sz w:val="20"/>
          <w:szCs w:val="20"/>
        </w:rPr>
        <w:t xml:space="preserve"> </w:t>
      </w:r>
      <w:r w:rsidRPr="001C4EA2">
        <w:rPr>
          <w:sz w:val="20"/>
          <w:szCs w:val="20"/>
        </w:rPr>
        <w:t>apolipoprotein E gene</w:t>
      </w:r>
      <w:r>
        <w:rPr>
          <w:sz w:val="20"/>
          <w:szCs w:val="20"/>
        </w:rPr>
        <w:t>.</w:t>
      </w:r>
    </w:p>
    <w:p w14:paraId="7C935008" w14:textId="77777777" w:rsidR="00F93D3C" w:rsidRPr="001C4EA2" w:rsidRDefault="00F93D3C" w:rsidP="00F93D3C">
      <w:pPr>
        <w:jc w:val="both"/>
        <w:rPr>
          <w:sz w:val="20"/>
          <w:szCs w:val="20"/>
        </w:rPr>
      </w:pPr>
      <w:r w:rsidRPr="001C4EA2">
        <w:rPr>
          <w:sz w:val="20"/>
          <w:szCs w:val="20"/>
        </w:rPr>
        <w:t xml:space="preserve">The table shows </w:t>
      </w:r>
      <w:r>
        <w:rPr>
          <w:sz w:val="20"/>
          <w:szCs w:val="20"/>
        </w:rPr>
        <w:t xml:space="preserve">two models exploring </w:t>
      </w:r>
      <w:r w:rsidRPr="001C4EA2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bookmarkStart w:id="4" w:name="_Hlk67649008"/>
      <w:r w:rsidRPr="000A4EAD">
        <w:rPr>
          <w:sz w:val="20"/>
          <w:szCs w:val="20"/>
        </w:rPr>
        <w:t>association between the interaction of specific food group consumption with time and the SCD score</w:t>
      </w:r>
      <w:bookmarkEnd w:id="4"/>
      <w:r>
        <w:rPr>
          <w:sz w:val="20"/>
          <w:szCs w:val="20"/>
        </w:rPr>
        <w:t xml:space="preserve">, after adjustment for potential confounders, using GEE. Participants were considered genetically predisposed to cognitive decline if they were </w:t>
      </w:r>
      <w:r w:rsidRPr="00A4087C">
        <w:rPr>
          <w:i/>
          <w:iCs/>
          <w:sz w:val="20"/>
          <w:szCs w:val="20"/>
        </w:rPr>
        <w:t>APOE-</w:t>
      </w:r>
      <w:r w:rsidRPr="00A4087C">
        <w:rPr>
          <w:i/>
          <w:iCs/>
          <w:sz w:val="20"/>
          <w:szCs w:val="20"/>
          <w:lang w:val="el-GR"/>
        </w:rPr>
        <w:t>ε</w:t>
      </w:r>
      <w:r w:rsidRPr="00A4087C"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carriers or reported family history of dementia. Food consumption was expressed in servings/day. Baseline values were used for age and energy intake. The SCD score was calculated as the number of SCD cognitive domains reported. Bold p values </w:t>
      </w:r>
      <w:r w:rsidRPr="00BE1501">
        <w:rPr>
          <w:sz w:val="20"/>
          <w:szCs w:val="20"/>
        </w:rPr>
        <w:t>denote a statistically significant result (p&lt;0.05).</w:t>
      </w:r>
    </w:p>
    <w:p w14:paraId="770B6C62" w14:textId="77777777" w:rsidR="00495702" w:rsidRPr="00F93D3C" w:rsidRDefault="00495702" w:rsidP="00F93D3C"/>
    <w:sectPr w:rsidR="00495702" w:rsidRPr="00F93D3C" w:rsidSect="00476F13">
      <w:pgSz w:w="11906" w:h="16838"/>
      <w:pgMar w:top="1135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8858" w14:textId="77777777" w:rsidR="00103329" w:rsidRDefault="00103329" w:rsidP="00322FA4">
      <w:pPr>
        <w:spacing w:after="0" w:line="240" w:lineRule="auto"/>
      </w:pPr>
      <w:r>
        <w:separator/>
      </w:r>
    </w:p>
  </w:endnote>
  <w:endnote w:type="continuationSeparator" w:id="0">
    <w:p w14:paraId="6BFAF152" w14:textId="77777777" w:rsidR="00103329" w:rsidRDefault="00103329" w:rsidP="0032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43EC" w14:textId="77777777" w:rsidR="00103329" w:rsidRDefault="00103329" w:rsidP="00322FA4">
      <w:pPr>
        <w:spacing w:after="0" w:line="240" w:lineRule="auto"/>
      </w:pPr>
      <w:r>
        <w:separator/>
      </w:r>
    </w:p>
  </w:footnote>
  <w:footnote w:type="continuationSeparator" w:id="0">
    <w:p w14:paraId="653DAA45" w14:textId="77777777" w:rsidR="00103329" w:rsidRDefault="00103329" w:rsidP="0032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03A6"/>
    <w:multiLevelType w:val="hybridMultilevel"/>
    <w:tmpl w:val="0312447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70203"/>
    <w:multiLevelType w:val="hybridMultilevel"/>
    <w:tmpl w:val="A3B27A5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F5"/>
    <w:rsid w:val="000056CF"/>
    <w:rsid w:val="0002639F"/>
    <w:rsid w:val="00031991"/>
    <w:rsid w:val="00032000"/>
    <w:rsid w:val="00047066"/>
    <w:rsid w:val="000557B7"/>
    <w:rsid w:val="00057ED5"/>
    <w:rsid w:val="00082C22"/>
    <w:rsid w:val="0008419F"/>
    <w:rsid w:val="000901B8"/>
    <w:rsid w:val="000E4F4B"/>
    <w:rsid w:val="00101B31"/>
    <w:rsid w:val="00103329"/>
    <w:rsid w:val="0010720F"/>
    <w:rsid w:val="00135F39"/>
    <w:rsid w:val="00181C57"/>
    <w:rsid w:val="00191625"/>
    <w:rsid w:val="001950CD"/>
    <w:rsid w:val="001C58C7"/>
    <w:rsid w:val="001E2B69"/>
    <w:rsid w:val="00203822"/>
    <w:rsid w:val="00235497"/>
    <w:rsid w:val="00240ACA"/>
    <w:rsid w:val="00241CD1"/>
    <w:rsid w:val="00266420"/>
    <w:rsid w:val="00277960"/>
    <w:rsid w:val="0029125A"/>
    <w:rsid w:val="0029782C"/>
    <w:rsid w:val="002C629A"/>
    <w:rsid w:val="002D2278"/>
    <w:rsid w:val="002D6720"/>
    <w:rsid w:val="002E0B2E"/>
    <w:rsid w:val="002E143B"/>
    <w:rsid w:val="002F4D2F"/>
    <w:rsid w:val="00306DB5"/>
    <w:rsid w:val="00322FA4"/>
    <w:rsid w:val="00332EE6"/>
    <w:rsid w:val="003339BD"/>
    <w:rsid w:val="00334CAF"/>
    <w:rsid w:val="00337BFE"/>
    <w:rsid w:val="0034439A"/>
    <w:rsid w:val="003661B3"/>
    <w:rsid w:val="0038777A"/>
    <w:rsid w:val="00393728"/>
    <w:rsid w:val="003A412A"/>
    <w:rsid w:val="003B3150"/>
    <w:rsid w:val="003C0980"/>
    <w:rsid w:val="003D4A04"/>
    <w:rsid w:val="003F23C8"/>
    <w:rsid w:val="003F7EAC"/>
    <w:rsid w:val="00412C7E"/>
    <w:rsid w:val="00425717"/>
    <w:rsid w:val="00436CD3"/>
    <w:rsid w:val="00440225"/>
    <w:rsid w:val="00442F51"/>
    <w:rsid w:val="00455204"/>
    <w:rsid w:val="00475F5A"/>
    <w:rsid w:val="00476F13"/>
    <w:rsid w:val="0048785F"/>
    <w:rsid w:val="004909F9"/>
    <w:rsid w:val="0049263B"/>
    <w:rsid w:val="00494254"/>
    <w:rsid w:val="00495702"/>
    <w:rsid w:val="004A2DE4"/>
    <w:rsid w:val="004A4CA5"/>
    <w:rsid w:val="004B77A2"/>
    <w:rsid w:val="004E69CD"/>
    <w:rsid w:val="00503A8E"/>
    <w:rsid w:val="00511478"/>
    <w:rsid w:val="00517249"/>
    <w:rsid w:val="00525889"/>
    <w:rsid w:val="0053034D"/>
    <w:rsid w:val="0054054D"/>
    <w:rsid w:val="0059189F"/>
    <w:rsid w:val="00591B29"/>
    <w:rsid w:val="00592F19"/>
    <w:rsid w:val="005A768B"/>
    <w:rsid w:val="005B3C1D"/>
    <w:rsid w:val="005C0BC0"/>
    <w:rsid w:val="005D58B5"/>
    <w:rsid w:val="005E78E9"/>
    <w:rsid w:val="006032AA"/>
    <w:rsid w:val="00603C61"/>
    <w:rsid w:val="006147C9"/>
    <w:rsid w:val="00621BF2"/>
    <w:rsid w:val="00626F35"/>
    <w:rsid w:val="00680FF8"/>
    <w:rsid w:val="00696EDE"/>
    <w:rsid w:val="006B40D1"/>
    <w:rsid w:val="006C2A40"/>
    <w:rsid w:val="006E5FC9"/>
    <w:rsid w:val="006F0886"/>
    <w:rsid w:val="006F664F"/>
    <w:rsid w:val="0070279E"/>
    <w:rsid w:val="00713131"/>
    <w:rsid w:val="007358F5"/>
    <w:rsid w:val="007447B6"/>
    <w:rsid w:val="0075353E"/>
    <w:rsid w:val="00783DA2"/>
    <w:rsid w:val="007A2AAC"/>
    <w:rsid w:val="007B5853"/>
    <w:rsid w:val="007E525D"/>
    <w:rsid w:val="007E721B"/>
    <w:rsid w:val="007F71C5"/>
    <w:rsid w:val="008044EB"/>
    <w:rsid w:val="00817A69"/>
    <w:rsid w:val="00817E26"/>
    <w:rsid w:val="008256E6"/>
    <w:rsid w:val="0082699E"/>
    <w:rsid w:val="008409B0"/>
    <w:rsid w:val="00846594"/>
    <w:rsid w:val="008613A6"/>
    <w:rsid w:val="008659E4"/>
    <w:rsid w:val="00880B78"/>
    <w:rsid w:val="0088240F"/>
    <w:rsid w:val="0088430C"/>
    <w:rsid w:val="0089131D"/>
    <w:rsid w:val="008A7E33"/>
    <w:rsid w:val="008B4FB3"/>
    <w:rsid w:val="008D2C02"/>
    <w:rsid w:val="008E3D74"/>
    <w:rsid w:val="0090498A"/>
    <w:rsid w:val="00911845"/>
    <w:rsid w:val="00930F3E"/>
    <w:rsid w:val="009357FB"/>
    <w:rsid w:val="0094119E"/>
    <w:rsid w:val="009439EB"/>
    <w:rsid w:val="0094518D"/>
    <w:rsid w:val="00952266"/>
    <w:rsid w:val="00952326"/>
    <w:rsid w:val="00957AE1"/>
    <w:rsid w:val="00966F64"/>
    <w:rsid w:val="00967478"/>
    <w:rsid w:val="009918FE"/>
    <w:rsid w:val="009E06E3"/>
    <w:rsid w:val="009F0A32"/>
    <w:rsid w:val="009F5AC9"/>
    <w:rsid w:val="00A124F1"/>
    <w:rsid w:val="00A1605B"/>
    <w:rsid w:val="00A17E00"/>
    <w:rsid w:val="00A36357"/>
    <w:rsid w:val="00A53637"/>
    <w:rsid w:val="00A73713"/>
    <w:rsid w:val="00A82346"/>
    <w:rsid w:val="00AA26E4"/>
    <w:rsid w:val="00AA2BA3"/>
    <w:rsid w:val="00AB7E2E"/>
    <w:rsid w:val="00AC3843"/>
    <w:rsid w:val="00AD2AC8"/>
    <w:rsid w:val="00AD2F78"/>
    <w:rsid w:val="00AD6F50"/>
    <w:rsid w:val="00AE61C7"/>
    <w:rsid w:val="00B20B52"/>
    <w:rsid w:val="00B22FFD"/>
    <w:rsid w:val="00B3044D"/>
    <w:rsid w:val="00B52B6B"/>
    <w:rsid w:val="00B54E39"/>
    <w:rsid w:val="00B7152E"/>
    <w:rsid w:val="00B77353"/>
    <w:rsid w:val="00B83229"/>
    <w:rsid w:val="00B96585"/>
    <w:rsid w:val="00BA2EFC"/>
    <w:rsid w:val="00BA465A"/>
    <w:rsid w:val="00BC44AA"/>
    <w:rsid w:val="00BC54E2"/>
    <w:rsid w:val="00BD0DDB"/>
    <w:rsid w:val="00BD1637"/>
    <w:rsid w:val="00BE1501"/>
    <w:rsid w:val="00BE46B0"/>
    <w:rsid w:val="00BF0D8F"/>
    <w:rsid w:val="00BF10F4"/>
    <w:rsid w:val="00BF196B"/>
    <w:rsid w:val="00C00DDE"/>
    <w:rsid w:val="00C36473"/>
    <w:rsid w:val="00C54E5A"/>
    <w:rsid w:val="00C60065"/>
    <w:rsid w:val="00C64041"/>
    <w:rsid w:val="00C643F8"/>
    <w:rsid w:val="00C84924"/>
    <w:rsid w:val="00C86A1B"/>
    <w:rsid w:val="00C9362A"/>
    <w:rsid w:val="00C97854"/>
    <w:rsid w:val="00CC15E3"/>
    <w:rsid w:val="00CC6E9B"/>
    <w:rsid w:val="00CC7E59"/>
    <w:rsid w:val="00CF27A8"/>
    <w:rsid w:val="00D06F36"/>
    <w:rsid w:val="00D124B0"/>
    <w:rsid w:val="00D207EE"/>
    <w:rsid w:val="00D20BD7"/>
    <w:rsid w:val="00D21768"/>
    <w:rsid w:val="00D47AA0"/>
    <w:rsid w:val="00D50CEF"/>
    <w:rsid w:val="00D55231"/>
    <w:rsid w:val="00D5714B"/>
    <w:rsid w:val="00D66CC6"/>
    <w:rsid w:val="00D701A1"/>
    <w:rsid w:val="00D710EB"/>
    <w:rsid w:val="00D76413"/>
    <w:rsid w:val="00D91CEF"/>
    <w:rsid w:val="00DA750F"/>
    <w:rsid w:val="00DB4F9D"/>
    <w:rsid w:val="00DD22B7"/>
    <w:rsid w:val="00DD477B"/>
    <w:rsid w:val="00DD632E"/>
    <w:rsid w:val="00E01B72"/>
    <w:rsid w:val="00E055E2"/>
    <w:rsid w:val="00E05FC9"/>
    <w:rsid w:val="00E31AE1"/>
    <w:rsid w:val="00E40BD3"/>
    <w:rsid w:val="00E74480"/>
    <w:rsid w:val="00E81757"/>
    <w:rsid w:val="00E82155"/>
    <w:rsid w:val="00EA605A"/>
    <w:rsid w:val="00EB0407"/>
    <w:rsid w:val="00ED6702"/>
    <w:rsid w:val="00F03CAC"/>
    <w:rsid w:val="00F10FE7"/>
    <w:rsid w:val="00F50F7C"/>
    <w:rsid w:val="00F53A94"/>
    <w:rsid w:val="00F67F74"/>
    <w:rsid w:val="00F75365"/>
    <w:rsid w:val="00F7657F"/>
    <w:rsid w:val="00F7665B"/>
    <w:rsid w:val="00F80893"/>
    <w:rsid w:val="00F81D8A"/>
    <w:rsid w:val="00F83CC0"/>
    <w:rsid w:val="00F93D3C"/>
    <w:rsid w:val="00FA1CE9"/>
    <w:rsid w:val="00FB19C7"/>
    <w:rsid w:val="00FB4B37"/>
    <w:rsid w:val="00FB71EB"/>
    <w:rsid w:val="00FE2C26"/>
    <w:rsid w:val="00FE65E3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8A5F"/>
  <w15:chartTrackingRefBased/>
  <w15:docId w15:val="{CDA6E48A-4322-47B1-8035-1BEBD448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D3C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7358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List Paragraph"/>
    <w:basedOn w:val="a"/>
    <w:uiPriority w:val="34"/>
    <w:qFormat/>
    <w:rsid w:val="00FB4B37"/>
    <w:pPr>
      <w:spacing w:line="259" w:lineRule="auto"/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22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22FA4"/>
    <w:rPr>
      <w:lang w:val="en-US"/>
    </w:rPr>
  </w:style>
  <w:style w:type="paragraph" w:styleId="a6">
    <w:name w:val="footer"/>
    <w:basedOn w:val="a"/>
    <w:link w:val="Char0"/>
    <w:uiPriority w:val="99"/>
    <w:unhideWhenUsed/>
    <w:rsid w:val="00322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22FA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Vlachos</dc:creator>
  <cp:keywords/>
  <dc:description/>
  <cp:lastModifiedBy>George Vlachos</cp:lastModifiedBy>
  <cp:revision>7</cp:revision>
  <dcterms:created xsi:type="dcterms:W3CDTF">2021-11-30T08:19:00Z</dcterms:created>
  <dcterms:modified xsi:type="dcterms:W3CDTF">2021-11-30T10:34:00Z</dcterms:modified>
</cp:coreProperties>
</file>