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68" w:rsidRDefault="007B5BC1" w:rsidP="00CA2684">
      <w:pPr>
        <w:rPr>
          <w:rFonts w:ascii="Arial" w:hAnsi="Arial" w:cs="Arial"/>
          <w:b/>
          <w:lang w:val="en-GB"/>
        </w:rPr>
      </w:pPr>
      <w:r>
        <w:rPr>
          <w:noProof/>
          <w:lang w:val="en-US"/>
        </w:rPr>
        <w:drawing>
          <wp:inline distT="0" distB="0" distL="0" distR="0" wp14:anchorId="0BE576CA" wp14:editId="36E8861E">
            <wp:extent cx="5343525" cy="2012068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9269" cy="2017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A68" w:rsidRPr="006365F1" w:rsidRDefault="008E6A68" w:rsidP="008E6A68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lang w:val="en-GB"/>
        </w:rPr>
        <w:t xml:space="preserve">S1 Figure: </w:t>
      </w:r>
      <w:r>
        <w:rPr>
          <w:rFonts w:ascii="Arial" w:hAnsi="Arial" w:cs="Arial"/>
          <w:bCs/>
          <w:lang w:val="en-GB"/>
        </w:rPr>
        <w:t>Assessment time point of exposure and outcome</w:t>
      </w:r>
      <w:r w:rsidRPr="006365F1">
        <w:rPr>
          <w:rFonts w:ascii="Arial" w:hAnsi="Arial" w:cs="Arial"/>
          <w:bCs/>
          <w:lang w:val="en-GB"/>
        </w:rPr>
        <w:t xml:space="preserve"> within the DONALD study</w:t>
      </w:r>
    </w:p>
    <w:p w:rsidR="008E6A68" w:rsidRDefault="008E6A68" w:rsidP="008E6A68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Lifestyle factors </w:t>
      </w:r>
      <w:proofErr w:type="gramStart"/>
      <w:r>
        <w:rPr>
          <w:rFonts w:ascii="Arial" w:hAnsi="Arial" w:cs="Arial"/>
          <w:bCs/>
          <w:lang w:val="en-GB"/>
        </w:rPr>
        <w:t>were assessed</w:t>
      </w:r>
      <w:proofErr w:type="gramEnd"/>
      <w:r>
        <w:rPr>
          <w:rFonts w:ascii="Arial" w:hAnsi="Arial" w:cs="Arial"/>
          <w:bCs/>
          <w:lang w:val="en-GB"/>
        </w:rPr>
        <w:t xml:space="preserve"> – if available – repeatedly per individual. Anthropometric markers and blood markers </w:t>
      </w:r>
      <w:proofErr w:type="gramStart"/>
      <w:r>
        <w:rPr>
          <w:rFonts w:ascii="Arial" w:hAnsi="Arial" w:cs="Arial"/>
          <w:bCs/>
          <w:lang w:val="en-GB"/>
        </w:rPr>
        <w:t>were</w:t>
      </w:r>
      <w:r w:rsidRPr="006365F1">
        <w:rPr>
          <w:rFonts w:ascii="Arial" w:hAnsi="Arial" w:cs="Arial"/>
          <w:bCs/>
          <w:lang w:val="en-GB"/>
        </w:rPr>
        <w:t xml:space="preserve"> </w:t>
      </w:r>
      <w:r>
        <w:rPr>
          <w:rFonts w:ascii="Arial" w:hAnsi="Arial" w:cs="Arial"/>
          <w:bCs/>
          <w:lang w:val="en-GB"/>
        </w:rPr>
        <w:t>assessed</w:t>
      </w:r>
      <w:proofErr w:type="gramEnd"/>
      <w:r>
        <w:rPr>
          <w:rFonts w:ascii="Arial" w:hAnsi="Arial" w:cs="Arial"/>
          <w:bCs/>
          <w:lang w:val="en-GB"/>
        </w:rPr>
        <w:t xml:space="preserve"> </w:t>
      </w:r>
      <w:r w:rsidRPr="006365F1">
        <w:rPr>
          <w:rFonts w:ascii="Arial" w:hAnsi="Arial" w:cs="Arial"/>
          <w:bCs/>
          <w:lang w:val="en-GB"/>
        </w:rPr>
        <w:t xml:space="preserve">once per individual. All available assessments of lifestyle factors prior to </w:t>
      </w:r>
      <w:r>
        <w:rPr>
          <w:rFonts w:ascii="Arial" w:hAnsi="Arial" w:cs="Arial"/>
          <w:bCs/>
          <w:lang w:val="en-GB"/>
        </w:rPr>
        <w:t>outcome assessment</w:t>
      </w:r>
      <w:r w:rsidRPr="006365F1">
        <w:rPr>
          <w:rFonts w:ascii="Arial" w:hAnsi="Arial" w:cs="Arial"/>
          <w:bCs/>
          <w:lang w:val="en-GB"/>
        </w:rPr>
        <w:t xml:space="preserve"> </w:t>
      </w:r>
      <w:proofErr w:type="gramStart"/>
      <w:r w:rsidRPr="006365F1">
        <w:rPr>
          <w:rFonts w:ascii="Arial" w:hAnsi="Arial" w:cs="Arial"/>
          <w:bCs/>
          <w:lang w:val="en-GB"/>
        </w:rPr>
        <w:t>were used</w:t>
      </w:r>
      <w:proofErr w:type="gramEnd"/>
      <w:r w:rsidRPr="006365F1">
        <w:rPr>
          <w:rFonts w:ascii="Arial" w:hAnsi="Arial" w:cs="Arial"/>
          <w:bCs/>
          <w:lang w:val="en-GB"/>
        </w:rPr>
        <w:t xml:space="preserve"> to construct the lifestyle score for each individual.</w:t>
      </w:r>
    </w:p>
    <w:p w:rsidR="008E6A68" w:rsidRDefault="008E6A68" w:rsidP="008E6A68">
      <w:pPr>
        <w:rPr>
          <w:rFonts w:ascii="Arial" w:hAnsi="Arial" w:cs="Arial"/>
          <w:b/>
          <w:lang w:val="en-GB"/>
        </w:rPr>
      </w:pPr>
    </w:p>
    <w:p w:rsidR="00883D74" w:rsidRDefault="00883D74" w:rsidP="008E6A68">
      <w:pPr>
        <w:rPr>
          <w:rFonts w:ascii="Arial" w:hAnsi="Arial" w:cs="Arial"/>
          <w:b/>
          <w:lang w:val="en-GB"/>
        </w:rPr>
      </w:pPr>
      <w:bookmarkStart w:id="0" w:name="_GoBack"/>
      <w:bookmarkEnd w:id="0"/>
    </w:p>
    <w:p w:rsidR="00883D74" w:rsidRDefault="00883D74" w:rsidP="008E6A68">
      <w:pPr>
        <w:rPr>
          <w:rFonts w:ascii="Arial" w:hAnsi="Arial" w:cs="Arial"/>
          <w:b/>
          <w:lang w:val="en-GB"/>
        </w:rPr>
      </w:pPr>
    </w:p>
    <w:p w:rsidR="00CA2684" w:rsidRPr="00BE6990" w:rsidRDefault="00CA2684" w:rsidP="00CA2684">
      <w:pPr>
        <w:rPr>
          <w:rFonts w:ascii="Arial" w:hAnsi="Arial" w:cs="Arial"/>
          <w:b/>
          <w:lang w:val="en-GB"/>
        </w:rPr>
      </w:pPr>
      <w:r w:rsidRPr="00BE6990">
        <w:rPr>
          <w:rFonts w:ascii="Arial" w:hAnsi="Arial" w:cs="Arial"/>
          <w:b/>
          <w:lang w:val="en-GB"/>
        </w:rPr>
        <w:t xml:space="preserve">S1 Table: </w:t>
      </w:r>
      <w:r w:rsidRPr="00BE6990">
        <w:rPr>
          <w:rFonts w:ascii="Arial" w:hAnsi="Arial" w:cs="Arial"/>
          <w:lang w:val="en-GB"/>
        </w:rPr>
        <w:t>Participants reference fulfilment across categories of the lifestyle score (in %)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71"/>
        <w:gridCol w:w="1077"/>
        <w:gridCol w:w="1134"/>
        <w:gridCol w:w="1276"/>
        <w:gridCol w:w="1134"/>
        <w:gridCol w:w="1270"/>
      </w:tblGrid>
      <w:tr w:rsidR="008E6A68" w:rsidRPr="00BE6990" w:rsidTr="008E6A68">
        <w:trPr>
          <w:trHeight w:val="315"/>
        </w:trPr>
        <w:tc>
          <w:tcPr>
            <w:tcW w:w="3171" w:type="dxa"/>
            <w:noWrap/>
            <w:hideMark/>
          </w:tcPr>
          <w:p w:rsidR="008E6A68" w:rsidRPr="00BE6990" w:rsidRDefault="008E6A68" w:rsidP="00DC5D6F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4621" w:type="dxa"/>
            <w:gridSpan w:val="4"/>
            <w:noWrap/>
            <w:vAlign w:val="center"/>
            <w:hideMark/>
          </w:tcPr>
          <w:p w:rsidR="008E6A68" w:rsidRPr="00BE6990" w:rsidRDefault="008E6A68" w:rsidP="00DC5D6F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BE6990">
              <w:rPr>
                <w:rFonts w:ascii="Arial" w:hAnsi="Arial" w:cs="Arial"/>
                <w:color w:val="000000"/>
                <w:lang w:val="en-GB"/>
              </w:rPr>
              <w:t>Lifestyle score categories (points)</w:t>
            </w:r>
          </w:p>
        </w:tc>
        <w:tc>
          <w:tcPr>
            <w:tcW w:w="1270" w:type="dxa"/>
          </w:tcPr>
          <w:p w:rsidR="008E6A68" w:rsidRPr="00BE6990" w:rsidRDefault="008E6A68" w:rsidP="00DC5D6F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8E6A68" w:rsidRPr="00BE6990" w:rsidTr="008E6A68">
        <w:trPr>
          <w:trHeight w:val="315"/>
        </w:trPr>
        <w:tc>
          <w:tcPr>
            <w:tcW w:w="3171" w:type="dxa"/>
            <w:noWrap/>
          </w:tcPr>
          <w:p w:rsidR="008E6A68" w:rsidRPr="00BE6990" w:rsidRDefault="008E6A68" w:rsidP="00DC5D6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77" w:type="dxa"/>
            <w:noWrap/>
            <w:vAlign w:val="bottom"/>
          </w:tcPr>
          <w:p w:rsidR="008E6A68" w:rsidRPr="00BE6990" w:rsidRDefault="008E6A68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color w:val="000000"/>
                <w:lang w:val="en-GB"/>
              </w:rPr>
              <w:t>2-2.9</w:t>
            </w:r>
          </w:p>
        </w:tc>
        <w:tc>
          <w:tcPr>
            <w:tcW w:w="1134" w:type="dxa"/>
            <w:noWrap/>
            <w:vAlign w:val="bottom"/>
          </w:tcPr>
          <w:p w:rsidR="008E6A68" w:rsidRPr="00BE6990" w:rsidRDefault="008E6A68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color w:val="000000"/>
                <w:lang w:val="en-GB"/>
              </w:rPr>
              <w:t>2-2.9</w:t>
            </w:r>
          </w:p>
        </w:tc>
        <w:tc>
          <w:tcPr>
            <w:tcW w:w="1276" w:type="dxa"/>
            <w:vAlign w:val="bottom"/>
          </w:tcPr>
          <w:p w:rsidR="008E6A68" w:rsidRPr="00BE6990" w:rsidRDefault="008E6A68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color w:val="000000"/>
                <w:lang w:val="en-GB"/>
              </w:rPr>
              <w:t>2-2.9</w:t>
            </w:r>
          </w:p>
        </w:tc>
        <w:tc>
          <w:tcPr>
            <w:tcW w:w="1134" w:type="dxa"/>
            <w:noWrap/>
            <w:vAlign w:val="bottom"/>
          </w:tcPr>
          <w:p w:rsidR="008E6A68" w:rsidRPr="00BE6990" w:rsidRDefault="008E6A68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color w:val="000000"/>
                <w:lang w:val="en-GB"/>
              </w:rPr>
              <w:t>2-2.9</w:t>
            </w:r>
          </w:p>
        </w:tc>
        <w:tc>
          <w:tcPr>
            <w:tcW w:w="1270" w:type="dxa"/>
          </w:tcPr>
          <w:p w:rsidR="008E6A68" w:rsidRPr="00BE6990" w:rsidRDefault="008E6A68" w:rsidP="00DC5D6F">
            <w:pPr>
              <w:rPr>
                <w:rFonts w:ascii="Arial" w:hAnsi="Arial" w:cs="Arial"/>
                <w:color w:val="000000"/>
                <w:lang w:val="en-GB"/>
              </w:rPr>
            </w:pPr>
            <w:r w:rsidRPr="008E6A68">
              <w:rPr>
                <w:rFonts w:ascii="Arial" w:hAnsi="Arial" w:cs="Arial"/>
                <w:i/>
                <w:lang w:val="en-GB"/>
              </w:rPr>
              <w:t>P</w:t>
            </w:r>
            <w:r w:rsidRPr="008E6A68">
              <w:rPr>
                <w:rFonts w:ascii="Arial" w:hAnsi="Arial" w:cs="Arial"/>
                <w:vertAlign w:val="subscript"/>
                <w:lang w:val="en-GB"/>
              </w:rPr>
              <w:t>trend</w:t>
            </w:r>
            <w:r w:rsidRPr="008E6A68">
              <w:rPr>
                <w:rFonts w:ascii="Arial" w:hAnsi="Arial" w:cs="Arial"/>
                <w:vertAlign w:val="superscript"/>
                <w:lang w:val="en-GB"/>
              </w:rPr>
              <w:t>2</w:t>
            </w:r>
          </w:p>
        </w:tc>
      </w:tr>
      <w:tr w:rsidR="008E6A68" w:rsidRPr="00BE6990" w:rsidTr="008E6A68">
        <w:trPr>
          <w:trHeight w:val="315"/>
        </w:trPr>
        <w:tc>
          <w:tcPr>
            <w:tcW w:w="3171" w:type="dxa"/>
            <w:noWrap/>
            <w:hideMark/>
          </w:tcPr>
          <w:p w:rsidR="008E6A68" w:rsidRPr="00BE6990" w:rsidRDefault="008E6A68" w:rsidP="00DC5D6F">
            <w:pPr>
              <w:rPr>
                <w:rFonts w:ascii="Arial" w:hAnsi="Arial" w:cs="Arial"/>
                <w:vertAlign w:val="superscript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Diet (recommended age-specific portions in ≥3 food groups/d)</w:t>
            </w:r>
            <w:r w:rsidRPr="00BE6990">
              <w:rPr>
                <w:rFonts w:ascii="Arial" w:hAnsi="Arial" w:cs="Arial"/>
                <w:vertAlign w:val="superscript"/>
                <w:lang w:val="en-GB"/>
              </w:rPr>
              <w:t>1</w:t>
            </w:r>
          </w:p>
        </w:tc>
        <w:tc>
          <w:tcPr>
            <w:tcW w:w="1077" w:type="dxa"/>
            <w:noWrap/>
            <w:hideMark/>
          </w:tcPr>
          <w:p w:rsidR="008E6A68" w:rsidRPr="00BE6990" w:rsidRDefault="008E6A68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3.3</w:t>
            </w:r>
          </w:p>
        </w:tc>
        <w:tc>
          <w:tcPr>
            <w:tcW w:w="1134" w:type="dxa"/>
            <w:noWrap/>
          </w:tcPr>
          <w:p w:rsidR="008E6A68" w:rsidRPr="00BE6990" w:rsidRDefault="008E6A68" w:rsidP="00DC5D6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3.0</w:t>
            </w:r>
          </w:p>
        </w:tc>
        <w:tc>
          <w:tcPr>
            <w:tcW w:w="1276" w:type="dxa"/>
          </w:tcPr>
          <w:p w:rsidR="008E6A68" w:rsidRPr="00BE6990" w:rsidRDefault="008E6A68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11.5</w:t>
            </w:r>
          </w:p>
        </w:tc>
        <w:tc>
          <w:tcPr>
            <w:tcW w:w="1134" w:type="dxa"/>
            <w:noWrap/>
          </w:tcPr>
          <w:p w:rsidR="008E6A68" w:rsidRPr="00BE6990" w:rsidRDefault="008E6A68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69.2</w:t>
            </w:r>
          </w:p>
        </w:tc>
        <w:tc>
          <w:tcPr>
            <w:tcW w:w="1270" w:type="dxa"/>
          </w:tcPr>
          <w:p w:rsidR="008E6A68" w:rsidRPr="00BE6990" w:rsidRDefault="008E6A68" w:rsidP="00DC5D6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&lt;0.0001</w:t>
            </w:r>
          </w:p>
        </w:tc>
      </w:tr>
      <w:tr w:rsidR="008E6A68" w:rsidRPr="00BE6990" w:rsidTr="008E6A68">
        <w:trPr>
          <w:trHeight w:val="300"/>
        </w:trPr>
        <w:tc>
          <w:tcPr>
            <w:tcW w:w="3171" w:type="dxa"/>
            <w:noWrap/>
            <w:hideMark/>
          </w:tcPr>
          <w:p w:rsidR="008E6A68" w:rsidRPr="00BE6990" w:rsidRDefault="008E6A68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MVPA (≥ age-specific reference/d)</w:t>
            </w:r>
          </w:p>
        </w:tc>
        <w:tc>
          <w:tcPr>
            <w:tcW w:w="1077" w:type="dxa"/>
            <w:noWrap/>
          </w:tcPr>
          <w:p w:rsidR="008E6A68" w:rsidRPr="00BE6990" w:rsidRDefault="008E6A68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3.3</w:t>
            </w:r>
          </w:p>
        </w:tc>
        <w:tc>
          <w:tcPr>
            <w:tcW w:w="1134" w:type="dxa"/>
            <w:noWrap/>
          </w:tcPr>
          <w:p w:rsidR="008E6A68" w:rsidRPr="00BE6990" w:rsidRDefault="008E6A68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4.0</w:t>
            </w:r>
          </w:p>
        </w:tc>
        <w:tc>
          <w:tcPr>
            <w:tcW w:w="1276" w:type="dxa"/>
          </w:tcPr>
          <w:p w:rsidR="008E6A68" w:rsidRPr="00BE6990" w:rsidRDefault="008E6A68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21.9</w:t>
            </w:r>
          </w:p>
        </w:tc>
        <w:tc>
          <w:tcPr>
            <w:tcW w:w="1134" w:type="dxa"/>
            <w:noWrap/>
          </w:tcPr>
          <w:p w:rsidR="008E6A68" w:rsidRPr="00BE6990" w:rsidRDefault="008E6A68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61.5</w:t>
            </w:r>
          </w:p>
        </w:tc>
        <w:tc>
          <w:tcPr>
            <w:tcW w:w="1270" w:type="dxa"/>
          </w:tcPr>
          <w:p w:rsidR="008E6A68" w:rsidRPr="00BE6990" w:rsidRDefault="008E6A68" w:rsidP="00DC5D6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&lt;0.0001</w:t>
            </w:r>
          </w:p>
        </w:tc>
      </w:tr>
      <w:tr w:rsidR="008E6A68" w:rsidRPr="00BE6990" w:rsidTr="008E6A68">
        <w:trPr>
          <w:trHeight w:val="300"/>
        </w:trPr>
        <w:tc>
          <w:tcPr>
            <w:tcW w:w="3171" w:type="dxa"/>
            <w:noWrap/>
            <w:hideMark/>
          </w:tcPr>
          <w:p w:rsidR="008E6A68" w:rsidRPr="00BE6990" w:rsidRDefault="008E6A68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Sedentary behaviour (≤ age-specific reference/d)</w:t>
            </w:r>
          </w:p>
        </w:tc>
        <w:tc>
          <w:tcPr>
            <w:tcW w:w="1077" w:type="dxa"/>
            <w:noWrap/>
          </w:tcPr>
          <w:p w:rsidR="008E6A68" w:rsidRPr="00BE6990" w:rsidRDefault="008E6A68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0</w:t>
            </w:r>
          </w:p>
        </w:tc>
        <w:tc>
          <w:tcPr>
            <w:tcW w:w="1134" w:type="dxa"/>
            <w:noWrap/>
          </w:tcPr>
          <w:p w:rsidR="008E6A68" w:rsidRPr="00BE6990" w:rsidRDefault="008E6A68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1.0</w:t>
            </w:r>
          </w:p>
        </w:tc>
        <w:tc>
          <w:tcPr>
            <w:tcW w:w="1276" w:type="dxa"/>
          </w:tcPr>
          <w:p w:rsidR="008E6A68" w:rsidRPr="00BE6990" w:rsidRDefault="008E6A68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11.5</w:t>
            </w:r>
          </w:p>
        </w:tc>
        <w:tc>
          <w:tcPr>
            <w:tcW w:w="1134" w:type="dxa"/>
            <w:noWrap/>
          </w:tcPr>
          <w:p w:rsidR="008E6A68" w:rsidRPr="00BE6990" w:rsidRDefault="008E6A68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53.9</w:t>
            </w:r>
          </w:p>
        </w:tc>
        <w:tc>
          <w:tcPr>
            <w:tcW w:w="1270" w:type="dxa"/>
          </w:tcPr>
          <w:p w:rsidR="008E6A68" w:rsidRPr="00BE6990" w:rsidRDefault="008E6A68" w:rsidP="00DC5D6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&lt;0.0001</w:t>
            </w:r>
          </w:p>
        </w:tc>
      </w:tr>
      <w:tr w:rsidR="008E6A68" w:rsidRPr="00BE6990" w:rsidTr="008E6A68">
        <w:trPr>
          <w:trHeight w:val="300"/>
        </w:trPr>
        <w:tc>
          <w:tcPr>
            <w:tcW w:w="3171" w:type="dxa"/>
            <w:noWrap/>
            <w:hideMark/>
          </w:tcPr>
          <w:p w:rsidR="008E6A68" w:rsidRPr="00BE6990" w:rsidRDefault="008E6A68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Sleep duration (within age-specific reference/d)</w:t>
            </w:r>
          </w:p>
        </w:tc>
        <w:tc>
          <w:tcPr>
            <w:tcW w:w="1077" w:type="dxa"/>
            <w:noWrap/>
          </w:tcPr>
          <w:p w:rsidR="008E6A68" w:rsidRPr="00BE6990" w:rsidRDefault="008E6A68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30.0</w:t>
            </w:r>
          </w:p>
        </w:tc>
        <w:tc>
          <w:tcPr>
            <w:tcW w:w="1134" w:type="dxa"/>
            <w:noWrap/>
          </w:tcPr>
          <w:p w:rsidR="008E6A68" w:rsidRPr="00BE6990" w:rsidRDefault="008E6A68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48.5</w:t>
            </w:r>
          </w:p>
        </w:tc>
        <w:tc>
          <w:tcPr>
            <w:tcW w:w="1276" w:type="dxa"/>
          </w:tcPr>
          <w:p w:rsidR="008E6A68" w:rsidRPr="00BE6990" w:rsidRDefault="008E6A68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59.4</w:t>
            </w:r>
          </w:p>
        </w:tc>
        <w:tc>
          <w:tcPr>
            <w:tcW w:w="1134" w:type="dxa"/>
            <w:noWrap/>
          </w:tcPr>
          <w:p w:rsidR="008E6A68" w:rsidRPr="00BE6990" w:rsidRDefault="008E6A68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84.6</w:t>
            </w:r>
          </w:p>
        </w:tc>
        <w:tc>
          <w:tcPr>
            <w:tcW w:w="1270" w:type="dxa"/>
          </w:tcPr>
          <w:p w:rsidR="008E6A68" w:rsidRPr="00BE6990" w:rsidRDefault="008E6A68" w:rsidP="00DC5D6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0.0004</w:t>
            </w:r>
          </w:p>
        </w:tc>
      </w:tr>
      <w:tr w:rsidR="008E6A68" w:rsidRPr="00BE6990" w:rsidTr="008E6A68">
        <w:trPr>
          <w:trHeight w:val="300"/>
        </w:trPr>
        <w:tc>
          <w:tcPr>
            <w:tcW w:w="3171" w:type="dxa"/>
            <w:noWrap/>
            <w:hideMark/>
          </w:tcPr>
          <w:p w:rsidR="008E6A68" w:rsidRPr="00BE6990" w:rsidRDefault="008E6A68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BMI SDS (normal weight)</w:t>
            </w:r>
          </w:p>
        </w:tc>
        <w:tc>
          <w:tcPr>
            <w:tcW w:w="1077" w:type="dxa"/>
            <w:noWrap/>
            <w:hideMark/>
          </w:tcPr>
          <w:p w:rsidR="008E6A68" w:rsidRPr="00BE6990" w:rsidRDefault="008E6A68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16.7</w:t>
            </w:r>
          </w:p>
        </w:tc>
        <w:tc>
          <w:tcPr>
            <w:tcW w:w="1134" w:type="dxa"/>
            <w:noWrap/>
          </w:tcPr>
          <w:p w:rsidR="008E6A68" w:rsidRPr="00BE6990" w:rsidRDefault="008E6A68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63.4</w:t>
            </w:r>
          </w:p>
        </w:tc>
        <w:tc>
          <w:tcPr>
            <w:tcW w:w="1276" w:type="dxa"/>
          </w:tcPr>
          <w:p w:rsidR="008E6A68" w:rsidRPr="00BE6990" w:rsidRDefault="008E6A68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85.4</w:t>
            </w:r>
          </w:p>
        </w:tc>
        <w:tc>
          <w:tcPr>
            <w:tcW w:w="1134" w:type="dxa"/>
            <w:noWrap/>
          </w:tcPr>
          <w:p w:rsidR="008E6A68" w:rsidRPr="00BE6990" w:rsidRDefault="008E6A68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92.3</w:t>
            </w:r>
          </w:p>
        </w:tc>
        <w:tc>
          <w:tcPr>
            <w:tcW w:w="1270" w:type="dxa"/>
          </w:tcPr>
          <w:p w:rsidR="008E6A68" w:rsidRPr="00BE6990" w:rsidRDefault="008E6A68" w:rsidP="00DC5D6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&lt;0.0001</w:t>
            </w:r>
          </w:p>
        </w:tc>
      </w:tr>
    </w:tbl>
    <w:p w:rsidR="00CA2684" w:rsidRPr="00BE6990" w:rsidRDefault="00CA2684" w:rsidP="00CA2684">
      <w:pPr>
        <w:rPr>
          <w:rFonts w:ascii="Arial" w:hAnsi="Arial" w:cs="Arial"/>
          <w:lang w:val="en-GB"/>
        </w:rPr>
      </w:pPr>
      <w:r w:rsidRPr="00BE6990">
        <w:rPr>
          <w:rFonts w:ascii="Arial" w:hAnsi="Arial" w:cs="Arial"/>
          <w:lang w:val="en-GB"/>
        </w:rPr>
        <w:t xml:space="preserve">MVPA: moderate-to-vigorous physical activity, BMI: body mass index, SDS: standard deviation score. </w:t>
      </w:r>
      <w:r w:rsidRPr="00BE6990">
        <w:rPr>
          <w:rFonts w:ascii="Arial" w:hAnsi="Arial" w:cs="Arial"/>
          <w:vertAlign w:val="superscript"/>
          <w:lang w:val="en-GB"/>
        </w:rPr>
        <w:t>1</w:t>
      </w:r>
      <w:r w:rsidRPr="00BE6990">
        <w:rPr>
          <w:rFonts w:ascii="Arial" w:hAnsi="Arial" w:cs="Arial"/>
          <w:lang w:val="en-GB"/>
        </w:rPr>
        <w:t>Age-specific portion</w:t>
      </w:r>
      <w:r w:rsidR="008E6A68">
        <w:rPr>
          <w:rFonts w:ascii="Arial" w:hAnsi="Arial" w:cs="Arial"/>
          <w:lang w:val="en-GB"/>
        </w:rPr>
        <w:t xml:space="preserve"> sizes were published elsewhere</w:t>
      </w:r>
      <w:r w:rsidR="008E6A68">
        <w:rPr>
          <w:rFonts w:ascii="Arial" w:hAnsi="Arial" w:cs="Arial"/>
          <w:lang w:val="en-GB"/>
        </w:rPr>
        <w:fldChar w:fldCharType="begin"/>
      </w:r>
      <w:r w:rsidR="008E6A68">
        <w:rPr>
          <w:rFonts w:ascii="Arial" w:hAnsi="Arial" w:cs="Arial"/>
          <w:lang w:val="en-GB"/>
        </w:rPr>
        <w:instrText xml:space="preserve"> ADDIN EN.CITE &lt;EndNote&gt;&lt;Cite&gt;&lt;Author&gt;Schnermann&lt;/Author&gt;&lt;Year&gt;2021&lt;/Year&gt;&lt;RecNum&gt;317&lt;/RecNum&gt;&lt;DisplayText&gt;&lt;style face="superscript"&gt;(1)&lt;/style&gt;&lt;/DisplayText&gt;&lt;record&gt;&lt;rec-number&gt;317&lt;/rec-number&gt;&lt;foreign-keys&gt;&lt;key app="EN" db-id="d2vteave8dv9vzervvgx0ewp9fa2xpzv2tps" timestamp="1637760549"&gt;317&lt;/key&gt;&lt;/foreign-keys&gt;&lt;ref-type name="Journal Article"&gt;17&lt;/ref-type&gt;&lt;contributors&gt;&lt;authors&gt;&lt;author&gt;Schnermann, M. E.&lt;/author&gt;&lt;author&gt;Schulz, C. A.&lt;/author&gt;&lt;author&gt;Herder, C.&lt;/author&gt;&lt;author&gt;Alexy, U.&lt;/author&gt;&lt;author&gt;Nothlings, U.&lt;/author&gt;&lt;/authors&gt;&lt;/contributors&gt;&lt;auth-address&gt;Institute of Nutrition and Food Sciences, Nutritional Epidemiology, University of Bonn, Bonn, Germany.&amp;#xD;Institute for Clinical Diabetology, German Diabetes Center, Leibniz Center for Diabetes Research at Heinrich Heine University Dusseldorf, Dusseldorf, Germany.&amp;#xD;German Center for Diabetes Research, Dusseldorf, Germany.&amp;#xD;Division of Endocrinology and Diabetology, Medical Faculty, Heinrich Heine University Dusseldorf, Dusseldorf, Germany.&lt;/auth-address&gt;&lt;titles&gt;&lt;title&gt;A lifestyle pattern during adolescence is associated with cardiovascular risk markers in young adults: results from the DONALD cohort study&lt;/title&gt;&lt;secondary-title&gt;J Nutr Sci&lt;/secondary-title&gt;&lt;/titles&gt;&lt;periodical&gt;&lt;full-title&gt;J Nutr Sci&lt;/full-title&gt;&lt;/periodical&gt;&lt;pages&gt;e92&lt;/pages&gt;&lt;volume&gt;10&lt;/volume&gt;&lt;edition&gt;2021/11/05&lt;/edition&gt;&lt;keywords&gt;&lt;keyword&gt;Adolescent lifestyle&lt;/keyword&gt;&lt;keyword&gt;Cardiovascular disease risk&lt;/keyword&gt;&lt;keyword&gt;Combined lifestyle factors&lt;/keyword&gt;&lt;keyword&gt;Lifestyle pattern&lt;/keyword&gt;&lt;keyword&gt;Young adults&lt;/keyword&gt;&lt;/keywords&gt;&lt;dates&gt;&lt;year&gt;2021&lt;/year&gt;&lt;/dates&gt;&lt;isbn&gt;2048-6790 (Electronic)&amp;#xD;2048-6790 (Linking)&lt;/isbn&gt;&lt;accession-num&gt;34733504&lt;/accession-num&gt;&lt;urls&gt;&lt;related-urls&gt;&lt;url&gt;https://www.ncbi.nlm.nih.gov/pubmed/34733504&lt;/url&gt;&lt;/related-urls&gt;&lt;/urls&gt;&lt;custom2&gt;PMC8532054&lt;/custom2&gt;&lt;electronic-resource-num&gt;10.1017/jns.2021.84&lt;/electronic-resource-num&gt;&lt;/record&gt;&lt;/Cite&gt;&lt;/EndNote&gt;</w:instrText>
      </w:r>
      <w:r w:rsidR="008E6A68">
        <w:rPr>
          <w:rFonts w:ascii="Arial" w:hAnsi="Arial" w:cs="Arial"/>
          <w:lang w:val="en-GB"/>
        </w:rPr>
        <w:fldChar w:fldCharType="separate"/>
      </w:r>
      <w:r w:rsidR="008E6A68" w:rsidRPr="008E6A68">
        <w:rPr>
          <w:rFonts w:ascii="Arial" w:hAnsi="Arial" w:cs="Arial"/>
          <w:noProof/>
          <w:vertAlign w:val="superscript"/>
          <w:lang w:val="en-GB"/>
        </w:rPr>
        <w:t>(1)</w:t>
      </w:r>
      <w:r w:rsidR="008E6A68">
        <w:rPr>
          <w:rFonts w:ascii="Arial" w:hAnsi="Arial" w:cs="Arial"/>
          <w:lang w:val="en-GB"/>
        </w:rPr>
        <w:fldChar w:fldCharType="end"/>
      </w:r>
      <w:r w:rsidR="008E6A68">
        <w:rPr>
          <w:rFonts w:ascii="Arial" w:hAnsi="Arial" w:cs="Arial"/>
          <w:lang w:val="en-GB"/>
        </w:rPr>
        <w:t>,</w:t>
      </w:r>
      <w:r w:rsidR="008E6A68" w:rsidRPr="008E6A68">
        <w:rPr>
          <w:rFonts w:ascii="Arial" w:hAnsi="Arial" w:cs="Arial"/>
          <w:color w:val="FF0000"/>
          <w:vertAlign w:val="superscript"/>
          <w:lang w:val="en-GB"/>
        </w:rPr>
        <w:t xml:space="preserve"> </w:t>
      </w:r>
      <w:r w:rsidR="008E6A68" w:rsidRPr="008E6A68">
        <w:rPr>
          <w:rFonts w:ascii="Arial" w:hAnsi="Arial" w:cs="Arial"/>
          <w:vertAlign w:val="superscript"/>
          <w:lang w:val="en-GB"/>
        </w:rPr>
        <w:t>2</w:t>
      </w:r>
      <w:proofErr w:type="spellStart"/>
      <w:r w:rsidR="008E6A68" w:rsidRPr="008E6A68">
        <w:rPr>
          <w:rFonts w:ascii="Arial" w:hAnsi="Arial" w:cs="Arial"/>
          <w:i/>
          <w:lang w:val="en-US"/>
        </w:rPr>
        <w:t>P</w:t>
      </w:r>
      <w:r w:rsidR="008E6A68" w:rsidRPr="008E6A68">
        <w:rPr>
          <w:rFonts w:ascii="Arial" w:hAnsi="Arial" w:cs="Arial"/>
          <w:vertAlign w:val="subscript"/>
          <w:lang w:val="en-US"/>
        </w:rPr>
        <w:t>trend</w:t>
      </w:r>
      <w:proofErr w:type="spellEnd"/>
      <w:r w:rsidR="008E6A68" w:rsidRPr="008E6A68">
        <w:rPr>
          <w:rFonts w:ascii="Arial" w:hAnsi="Arial" w:cs="Arial"/>
          <w:lang w:val="en-US"/>
        </w:rPr>
        <w:t xml:space="preserve"> was calculated using age- and sex-adjusted linear regression models</w:t>
      </w:r>
      <w:r w:rsidR="008E6A68" w:rsidRPr="008E6A68">
        <w:rPr>
          <w:rFonts w:ascii="Arial" w:hAnsi="Arial" w:cs="Arial"/>
          <w:lang w:val="en-GB"/>
        </w:rPr>
        <w:t>.</w:t>
      </w:r>
    </w:p>
    <w:p w:rsidR="00CA2684" w:rsidRPr="00BE6990" w:rsidRDefault="00CA2684" w:rsidP="00CA2684">
      <w:pPr>
        <w:rPr>
          <w:rFonts w:ascii="Arial" w:hAnsi="Arial" w:cs="Arial"/>
          <w:b/>
          <w:lang w:val="en-GB"/>
        </w:rPr>
      </w:pPr>
    </w:p>
    <w:p w:rsidR="008E6A68" w:rsidRDefault="008E6A68">
      <w:pPr>
        <w:rPr>
          <w:rFonts w:ascii="Arial" w:hAnsi="Arial" w:cs="Arial"/>
          <w:b/>
          <w:iCs/>
          <w:lang w:val="en-GB"/>
        </w:rPr>
      </w:pPr>
      <w:r>
        <w:rPr>
          <w:rFonts w:ascii="Arial" w:hAnsi="Arial" w:cs="Arial"/>
          <w:b/>
          <w:i/>
          <w:lang w:val="en-GB"/>
        </w:rPr>
        <w:br w:type="page"/>
      </w:r>
    </w:p>
    <w:p w:rsidR="00CA2684" w:rsidRPr="00BE6990" w:rsidRDefault="00CA2684" w:rsidP="00CA2684">
      <w:pPr>
        <w:pStyle w:val="Beschriftung"/>
        <w:keepNext/>
        <w:rPr>
          <w:rFonts w:ascii="Arial" w:hAnsi="Arial" w:cs="Arial"/>
          <w:i w:val="0"/>
          <w:color w:val="auto"/>
          <w:sz w:val="22"/>
          <w:szCs w:val="22"/>
          <w:lang w:val="en-GB"/>
        </w:rPr>
      </w:pPr>
      <w:r w:rsidRPr="00BE6990">
        <w:rPr>
          <w:rFonts w:ascii="Arial" w:hAnsi="Arial" w:cs="Arial"/>
          <w:b/>
          <w:i w:val="0"/>
          <w:color w:val="auto"/>
          <w:sz w:val="22"/>
          <w:szCs w:val="22"/>
          <w:lang w:val="en-GB"/>
        </w:rPr>
        <w:lastRenderedPageBreak/>
        <w:t>S2 Table:</w:t>
      </w:r>
      <w:r w:rsidRPr="00BE6990">
        <w:rPr>
          <w:rFonts w:ascii="Arial" w:hAnsi="Arial" w:cs="Arial"/>
          <w:bCs/>
          <w:i w:val="0"/>
          <w:color w:val="auto"/>
          <w:sz w:val="22"/>
          <w:szCs w:val="22"/>
          <w:lang w:val="en-GB"/>
        </w:rPr>
        <w:t xml:space="preserve"> Associations between</w:t>
      </w:r>
      <w:r w:rsidRPr="00BE6990">
        <w:rPr>
          <w:rFonts w:ascii="Arial" w:hAnsi="Arial" w:cs="Arial"/>
          <w:i w:val="0"/>
          <w:color w:val="auto"/>
          <w:sz w:val="22"/>
          <w:szCs w:val="22"/>
          <w:lang w:val="en-GB"/>
        </w:rPr>
        <w:t xml:space="preserve"> </w:t>
      </w:r>
      <w:r w:rsidRPr="00BE6990">
        <w:rPr>
          <w:rFonts w:ascii="Arial" w:hAnsi="Arial" w:cs="Arial"/>
          <w:bCs/>
          <w:i w:val="0"/>
          <w:color w:val="auto"/>
          <w:sz w:val="22"/>
          <w:szCs w:val="22"/>
          <w:lang w:val="en-GB"/>
        </w:rPr>
        <w:t>adolescence lifestyle score and fatty liver indices in young adulthood using WHtR</w:t>
      </w:r>
      <w:r w:rsidRPr="00BE6990">
        <w:rPr>
          <w:rFonts w:ascii="Arial" w:hAnsi="Arial" w:cs="Arial"/>
          <w:bCs/>
          <w:i w:val="0"/>
          <w:color w:val="auto"/>
          <w:sz w:val="22"/>
          <w:szCs w:val="22"/>
          <w:vertAlign w:val="superscript"/>
          <w:lang w:val="en-GB"/>
        </w:rPr>
        <w:t>1</w:t>
      </w:r>
      <w:r w:rsidRPr="00BE6990">
        <w:rPr>
          <w:rFonts w:ascii="Arial" w:hAnsi="Arial" w:cs="Arial"/>
          <w:bCs/>
          <w:i w:val="0"/>
          <w:color w:val="auto"/>
          <w:sz w:val="22"/>
          <w:szCs w:val="22"/>
          <w:lang w:val="en-GB"/>
        </w:rPr>
        <w:t xml:space="preserve"> in the adolescent lifestyle score instead of BMI SDS</w:t>
      </w:r>
      <w:r w:rsidRPr="00BE6990">
        <w:rPr>
          <w:rFonts w:ascii="Arial" w:hAnsi="Arial" w:cs="Arial"/>
          <w:i w:val="0"/>
          <w:color w:val="auto"/>
          <w:sz w:val="22"/>
          <w:szCs w:val="22"/>
          <w:vertAlign w:val="superscript"/>
          <w:lang w:val="en-GB"/>
        </w:rPr>
        <w:t>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1"/>
        <w:gridCol w:w="707"/>
        <w:gridCol w:w="2260"/>
        <w:gridCol w:w="1133"/>
        <w:gridCol w:w="2857"/>
        <w:gridCol w:w="1094"/>
      </w:tblGrid>
      <w:tr w:rsidR="00CA2684" w:rsidRPr="00BE6990" w:rsidTr="00DC5D6F">
        <w:tc>
          <w:tcPr>
            <w:tcW w:w="98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0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402" w:type="dxa"/>
            <w:gridSpan w:val="2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Basic model</w:t>
            </w:r>
          </w:p>
        </w:tc>
        <w:tc>
          <w:tcPr>
            <w:tcW w:w="3964" w:type="dxa"/>
            <w:gridSpan w:val="2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 xml:space="preserve">Multivariable adjusted model </w:t>
            </w:r>
          </w:p>
        </w:tc>
      </w:tr>
      <w:tr w:rsidR="00CA2684" w:rsidRPr="00BE6990" w:rsidTr="00DC5D6F">
        <w:tc>
          <w:tcPr>
            <w:tcW w:w="98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0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226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ß-estimate (95% CI)</w:t>
            </w:r>
          </w:p>
        </w:tc>
        <w:tc>
          <w:tcPr>
            <w:tcW w:w="1134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i/>
                <w:lang w:val="en-GB"/>
              </w:rPr>
              <w:t>p</w:t>
            </w:r>
            <w:r w:rsidRPr="00BE6990">
              <w:rPr>
                <w:rFonts w:ascii="Arial" w:hAnsi="Arial" w:cs="Arial"/>
                <w:lang w:val="en-GB"/>
              </w:rPr>
              <w:t>-Value</w:t>
            </w:r>
          </w:p>
        </w:tc>
        <w:tc>
          <w:tcPr>
            <w:tcW w:w="2869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ß-estimate (95% CI)</w:t>
            </w:r>
          </w:p>
        </w:tc>
        <w:tc>
          <w:tcPr>
            <w:tcW w:w="1095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i/>
                <w:lang w:val="en-GB"/>
              </w:rPr>
              <w:t>p</w:t>
            </w:r>
            <w:r w:rsidRPr="00BE6990">
              <w:rPr>
                <w:rFonts w:ascii="Arial" w:hAnsi="Arial" w:cs="Arial"/>
                <w:lang w:val="en-GB"/>
              </w:rPr>
              <w:t>-Value</w:t>
            </w:r>
          </w:p>
        </w:tc>
      </w:tr>
      <w:tr w:rsidR="00CA2684" w:rsidRPr="00BE6990" w:rsidTr="00DC5D6F">
        <w:tc>
          <w:tcPr>
            <w:tcW w:w="988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Overall</w:t>
            </w:r>
          </w:p>
        </w:tc>
        <w:tc>
          <w:tcPr>
            <w:tcW w:w="70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</w:tcPr>
          <w:p w:rsidR="00CA2684" w:rsidRPr="00BE6990" w:rsidRDefault="00CA2684" w:rsidP="00DC5D6F">
            <w:pPr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2869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95" w:type="dxa"/>
          </w:tcPr>
          <w:p w:rsidR="00CA2684" w:rsidRPr="00BE6990" w:rsidRDefault="00CA2684" w:rsidP="00DC5D6F">
            <w:pPr>
              <w:rPr>
                <w:rFonts w:ascii="Arial" w:hAnsi="Arial" w:cs="Arial"/>
                <w:i/>
                <w:lang w:val="en-GB"/>
              </w:rPr>
            </w:pPr>
          </w:p>
        </w:tc>
      </w:tr>
      <w:tr w:rsidR="00CA2684" w:rsidRPr="00BE6990" w:rsidTr="00DC5D6F">
        <w:tc>
          <w:tcPr>
            <w:tcW w:w="98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HSI</w:t>
            </w:r>
          </w:p>
        </w:tc>
        <w:tc>
          <w:tcPr>
            <w:tcW w:w="70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240</w:t>
            </w:r>
          </w:p>
        </w:tc>
        <w:tc>
          <w:tcPr>
            <w:tcW w:w="226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-6.7 (-9.4 to -4.0)</w:t>
            </w:r>
          </w:p>
        </w:tc>
        <w:tc>
          <w:tcPr>
            <w:tcW w:w="1134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&lt;0.0001</w:t>
            </w:r>
          </w:p>
        </w:tc>
        <w:tc>
          <w:tcPr>
            <w:tcW w:w="2869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-5.9 (-8.6 to -3.2)</w:t>
            </w:r>
          </w:p>
        </w:tc>
        <w:tc>
          <w:tcPr>
            <w:tcW w:w="1095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&lt;0.0001</w:t>
            </w:r>
          </w:p>
        </w:tc>
      </w:tr>
      <w:tr w:rsidR="00CA2684" w:rsidRPr="00BE6990" w:rsidTr="00DC5D6F">
        <w:tc>
          <w:tcPr>
            <w:tcW w:w="98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FLI</w:t>
            </w:r>
          </w:p>
        </w:tc>
        <w:tc>
          <w:tcPr>
            <w:tcW w:w="70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240</w:t>
            </w:r>
          </w:p>
        </w:tc>
        <w:tc>
          <w:tcPr>
            <w:tcW w:w="226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-35.1 (-45.1 to -22.9)</w:t>
            </w:r>
          </w:p>
        </w:tc>
        <w:tc>
          <w:tcPr>
            <w:tcW w:w="1134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&lt;0.0001</w:t>
            </w:r>
          </w:p>
        </w:tc>
        <w:tc>
          <w:tcPr>
            <w:tcW w:w="2869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-32.4 (-42.9 to -20.0)</w:t>
            </w:r>
          </w:p>
        </w:tc>
        <w:tc>
          <w:tcPr>
            <w:tcW w:w="1095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&lt;0.0001</w:t>
            </w:r>
          </w:p>
        </w:tc>
      </w:tr>
      <w:tr w:rsidR="00CA2684" w:rsidRPr="00BE6990" w:rsidTr="00DC5D6F">
        <w:tc>
          <w:tcPr>
            <w:tcW w:w="988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Men</w:t>
            </w:r>
          </w:p>
        </w:tc>
        <w:tc>
          <w:tcPr>
            <w:tcW w:w="70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69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95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CA2684" w:rsidRPr="00BE6990" w:rsidTr="00DC5D6F">
        <w:tc>
          <w:tcPr>
            <w:tcW w:w="98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HSI</w:t>
            </w:r>
          </w:p>
        </w:tc>
        <w:tc>
          <w:tcPr>
            <w:tcW w:w="70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124</w:t>
            </w:r>
          </w:p>
        </w:tc>
        <w:tc>
          <w:tcPr>
            <w:tcW w:w="226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-9.4 (-13.1 to -5.5)</w:t>
            </w:r>
          </w:p>
        </w:tc>
        <w:tc>
          <w:tcPr>
            <w:tcW w:w="1134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&lt;0.0001</w:t>
            </w:r>
          </w:p>
        </w:tc>
        <w:tc>
          <w:tcPr>
            <w:tcW w:w="2869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-8.7 (-12.5 to -4.7)</w:t>
            </w:r>
          </w:p>
        </w:tc>
        <w:tc>
          <w:tcPr>
            <w:tcW w:w="1095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0.0001</w:t>
            </w:r>
          </w:p>
        </w:tc>
      </w:tr>
      <w:tr w:rsidR="00CA2684" w:rsidRPr="00BE6990" w:rsidTr="00DC5D6F">
        <w:tc>
          <w:tcPr>
            <w:tcW w:w="98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FLI</w:t>
            </w:r>
          </w:p>
        </w:tc>
        <w:tc>
          <w:tcPr>
            <w:tcW w:w="70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124</w:t>
            </w:r>
          </w:p>
        </w:tc>
        <w:tc>
          <w:tcPr>
            <w:tcW w:w="226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-46.6 (-58.0 to -32.1)</w:t>
            </w:r>
          </w:p>
        </w:tc>
        <w:tc>
          <w:tcPr>
            <w:tcW w:w="1134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&lt;0.0001</w:t>
            </w:r>
          </w:p>
        </w:tc>
        <w:tc>
          <w:tcPr>
            <w:tcW w:w="2869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-45.2 (-57.2 to -30.0)</w:t>
            </w:r>
          </w:p>
        </w:tc>
        <w:tc>
          <w:tcPr>
            <w:tcW w:w="1095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&lt;0.0001</w:t>
            </w:r>
          </w:p>
        </w:tc>
      </w:tr>
      <w:tr w:rsidR="00CA2684" w:rsidRPr="00BE6990" w:rsidTr="00DC5D6F">
        <w:tc>
          <w:tcPr>
            <w:tcW w:w="988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Women</w:t>
            </w:r>
          </w:p>
        </w:tc>
        <w:tc>
          <w:tcPr>
            <w:tcW w:w="70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69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95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CA2684" w:rsidRPr="00BE6990" w:rsidTr="00DC5D6F">
        <w:tc>
          <w:tcPr>
            <w:tcW w:w="98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HSI</w:t>
            </w:r>
          </w:p>
        </w:tc>
        <w:tc>
          <w:tcPr>
            <w:tcW w:w="70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116</w:t>
            </w:r>
          </w:p>
        </w:tc>
        <w:tc>
          <w:tcPr>
            <w:tcW w:w="226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-2.9 (-6.5 to 0.9)</w:t>
            </w:r>
          </w:p>
        </w:tc>
        <w:tc>
          <w:tcPr>
            <w:tcW w:w="1134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0.13</w:t>
            </w:r>
          </w:p>
        </w:tc>
        <w:tc>
          <w:tcPr>
            <w:tcW w:w="2869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-2.1 (-5.7 to 1.7)</w:t>
            </w:r>
          </w:p>
        </w:tc>
        <w:tc>
          <w:tcPr>
            <w:tcW w:w="1095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0.27</w:t>
            </w:r>
          </w:p>
        </w:tc>
      </w:tr>
      <w:tr w:rsidR="00CA2684" w:rsidRPr="00BE6990" w:rsidTr="00DC5D6F">
        <w:tc>
          <w:tcPr>
            <w:tcW w:w="98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FLI</w:t>
            </w:r>
          </w:p>
        </w:tc>
        <w:tc>
          <w:tcPr>
            <w:tcW w:w="70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116</w:t>
            </w:r>
          </w:p>
        </w:tc>
        <w:tc>
          <w:tcPr>
            <w:tcW w:w="226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-14.7 (-33.4 to 9.1)</w:t>
            </w:r>
          </w:p>
        </w:tc>
        <w:tc>
          <w:tcPr>
            <w:tcW w:w="1134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0.20</w:t>
            </w:r>
          </w:p>
        </w:tc>
        <w:tc>
          <w:tcPr>
            <w:tcW w:w="2869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-12.6 (-31.9 to 12.2)</w:t>
            </w:r>
          </w:p>
        </w:tc>
        <w:tc>
          <w:tcPr>
            <w:tcW w:w="1095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0.29</w:t>
            </w:r>
          </w:p>
        </w:tc>
      </w:tr>
    </w:tbl>
    <w:p w:rsidR="00CA2684" w:rsidRPr="00BE6990" w:rsidRDefault="00CA2684" w:rsidP="00CA2684">
      <w:pPr>
        <w:rPr>
          <w:rFonts w:ascii="Arial" w:hAnsi="Arial" w:cs="Arial"/>
          <w:lang w:val="en-GB"/>
        </w:rPr>
        <w:sectPr w:rsidR="00CA2684" w:rsidRPr="00BE6990" w:rsidSect="00CA2684">
          <w:headerReference w:type="default" r:id="rId7"/>
          <w:type w:val="continuous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  <w:r w:rsidRPr="00BE6990">
        <w:rPr>
          <w:rFonts w:ascii="Arial" w:hAnsi="Arial" w:cs="Arial"/>
          <w:lang w:val="en-GB"/>
        </w:rPr>
        <w:t>Associations were analysed using multiple linear regression. Values displayed in bold are significant at 0.05 significance level. Basic model: adjusted for age and sex (for all subjects only), Multivariable adjusted model: Basic model + additionally adjusted for maternal overweight. HSI: hepatic steatosis index, FLI: fatty liver index</w:t>
      </w:r>
      <w:r w:rsidRPr="00BE6990">
        <w:rPr>
          <w:rFonts w:ascii="Arial" w:hAnsi="Arial" w:cs="Arial"/>
          <w:color w:val="000000"/>
          <w:lang w:val="en-GB"/>
        </w:rPr>
        <w:t xml:space="preserve">. </w:t>
      </w:r>
      <w:proofErr w:type="spellStart"/>
      <w:r w:rsidRPr="00BE6990">
        <w:rPr>
          <w:rFonts w:ascii="Arial" w:hAnsi="Arial" w:cs="Arial"/>
          <w:color w:val="000000"/>
          <w:lang w:val="en-GB"/>
        </w:rPr>
        <w:t>WHtR</w:t>
      </w:r>
      <w:proofErr w:type="spellEnd"/>
      <w:r w:rsidRPr="00BE6990">
        <w:rPr>
          <w:rFonts w:ascii="Arial" w:hAnsi="Arial" w:cs="Arial"/>
          <w:color w:val="000000"/>
          <w:lang w:val="en-GB"/>
        </w:rPr>
        <w:t>: waist-to-height ratio.</w:t>
      </w:r>
      <w:r w:rsidRPr="00BE6990">
        <w:rPr>
          <w:rFonts w:ascii="Arial" w:hAnsi="Arial" w:cs="Arial"/>
          <w:lang w:val="en-GB"/>
        </w:rPr>
        <w:t xml:space="preserve"> </w:t>
      </w:r>
      <w:r w:rsidRPr="00BE6990">
        <w:rPr>
          <w:rFonts w:ascii="Arial" w:hAnsi="Arial" w:cs="Arial"/>
          <w:vertAlign w:val="superscript"/>
          <w:lang w:val="en-GB"/>
        </w:rPr>
        <w:t>1</w:t>
      </w:r>
      <w:r w:rsidRPr="00BE6990">
        <w:rPr>
          <w:rFonts w:ascii="Arial" w:hAnsi="Arial" w:cs="Arial"/>
          <w:lang w:val="en-GB"/>
        </w:rPr>
        <w:t xml:space="preserve">Lifestyle score consists of the factors diet, moderate-to-vigorous physical activity, sedentary behaviour, sleep duration and </w:t>
      </w:r>
      <w:proofErr w:type="spellStart"/>
      <w:r w:rsidRPr="00BE6990">
        <w:rPr>
          <w:rFonts w:ascii="Arial" w:hAnsi="Arial" w:cs="Arial"/>
          <w:lang w:val="en-GB"/>
        </w:rPr>
        <w:t>WHtR</w:t>
      </w:r>
      <w:proofErr w:type="spellEnd"/>
      <w:r w:rsidRPr="00BE6990">
        <w:rPr>
          <w:rFonts w:ascii="Arial" w:hAnsi="Arial" w:cs="Arial"/>
          <w:lang w:val="en-GB"/>
        </w:rPr>
        <w:t>.</w:t>
      </w:r>
      <w:r w:rsidRPr="00BE6990">
        <w:rPr>
          <w:rFonts w:ascii="Arial" w:hAnsi="Arial" w:cs="Arial"/>
          <w:vertAlign w:val="superscript"/>
          <w:lang w:val="en-GB"/>
        </w:rPr>
        <w:t xml:space="preserve"> 2</w:t>
      </w:r>
      <w:r w:rsidRPr="00BE6990">
        <w:rPr>
          <w:rFonts w:ascii="Arial" w:hAnsi="Arial" w:cs="Arial"/>
          <w:lang w:val="en-GB"/>
        </w:rPr>
        <w:t xml:space="preserve">Log transformed ß values </w:t>
      </w:r>
      <w:proofErr w:type="gramStart"/>
      <w:r w:rsidRPr="00BE6990">
        <w:rPr>
          <w:rFonts w:ascii="Arial" w:hAnsi="Arial" w:cs="Arial"/>
          <w:lang w:val="en-GB"/>
        </w:rPr>
        <w:t>were back transformed</w:t>
      </w:r>
      <w:proofErr w:type="gramEnd"/>
      <w:r w:rsidRPr="00BE6990">
        <w:rPr>
          <w:rFonts w:ascii="Arial" w:hAnsi="Arial" w:cs="Arial"/>
          <w:lang w:val="en-GB"/>
        </w:rPr>
        <w:t xml:space="preserve">. </w:t>
      </w:r>
    </w:p>
    <w:p w:rsidR="00CA2684" w:rsidRPr="00BE6990" w:rsidRDefault="00CA2684" w:rsidP="00CA2684">
      <w:pPr>
        <w:pStyle w:val="Beschriftung"/>
        <w:keepNext/>
        <w:rPr>
          <w:rFonts w:ascii="Arial" w:hAnsi="Arial" w:cs="Arial"/>
          <w:i w:val="0"/>
          <w:color w:val="auto"/>
          <w:sz w:val="22"/>
          <w:lang w:val="en-GB"/>
        </w:rPr>
      </w:pPr>
      <w:r w:rsidRPr="00BE6990">
        <w:rPr>
          <w:rFonts w:ascii="Arial" w:hAnsi="Arial" w:cs="Arial"/>
          <w:b/>
          <w:i w:val="0"/>
          <w:color w:val="auto"/>
          <w:sz w:val="22"/>
          <w:lang w:val="en-GB"/>
        </w:rPr>
        <w:lastRenderedPageBreak/>
        <w:t>S3 Table:</w:t>
      </w:r>
      <w:r w:rsidRPr="00BE6990">
        <w:rPr>
          <w:rFonts w:ascii="Arial" w:hAnsi="Arial" w:cs="Arial"/>
          <w:i w:val="0"/>
          <w:color w:val="auto"/>
          <w:sz w:val="22"/>
          <w:lang w:val="en-GB"/>
        </w:rPr>
        <w:t xml:space="preserve"> Associations between modified version of the adolescence lifestyle score and fatty liver indices in young adulthood</w:t>
      </w:r>
      <w:r w:rsidRPr="00BE6990">
        <w:rPr>
          <w:rFonts w:ascii="Arial" w:hAnsi="Arial" w:cs="Arial"/>
          <w:i w:val="0"/>
          <w:color w:val="auto"/>
          <w:sz w:val="22"/>
          <w:vertAlign w:val="superscript"/>
          <w:lang w:val="en-GB"/>
        </w:rPr>
        <w:t>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7"/>
        <w:gridCol w:w="1298"/>
        <w:gridCol w:w="1298"/>
        <w:gridCol w:w="1298"/>
        <w:gridCol w:w="1298"/>
        <w:gridCol w:w="1298"/>
        <w:gridCol w:w="1298"/>
        <w:gridCol w:w="1298"/>
        <w:gridCol w:w="1298"/>
        <w:gridCol w:w="1298"/>
        <w:gridCol w:w="1298"/>
      </w:tblGrid>
      <w:tr w:rsidR="00CA2684" w:rsidRPr="007B5BC1" w:rsidTr="00DC5D6F">
        <w:tc>
          <w:tcPr>
            <w:tcW w:w="1297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96" w:type="dxa"/>
            <w:gridSpan w:val="2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Adolescent lifestyle score without diet</w:t>
            </w:r>
          </w:p>
        </w:tc>
        <w:tc>
          <w:tcPr>
            <w:tcW w:w="2596" w:type="dxa"/>
            <w:gridSpan w:val="2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Adolescent lifestyle score without MVPA</w:t>
            </w:r>
          </w:p>
        </w:tc>
        <w:tc>
          <w:tcPr>
            <w:tcW w:w="2596" w:type="dxa"/>
            <w:gridSpan w:val="2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Adolescent lifestyle score without sedentary behaviour</w:t>
            </w:r>
          </w:p>
        </w:tc>
        <w:tc>
          <w:tcPr>
            <w:tcW w:w="2596" w:type="dxa"/>
            <w:gridSpan w:val="2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Adolescent lifestyle score without sleep duration</w:t>
            </w:r>
          </w:p>
        </w:tc>
        <w:tc>
          <w:tcPr>
            <w:tcW w:w="2596" w:type="dxa"/>
            <w:gridSpan w:val="2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Adolescent lifestyle score without BMI SDS</w:t>
            </w:r>
          </w:p>
        </w:tc>
      </w:tr>
      <w:tr w:rsidR="00CA2684" w:rsidRPr="00BE6990" w:rsidTr="00DC5D6F">
        <w:tc>
          <w:tcPr>
            <w:tcW w:w="1297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ß (95% CI)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i/>
                <w:lang w:val="en-GB"/>
              </w:rPr>
              <w:t>P</w:t>
            </w:r>
            <w:r w:rsidRPr="00BE6990">
              <w:rPr>
                <w:rFonts w:ascii="Arial" w:hAnsi="Arial" w:cs="Arial"/>
                <w:lang w:val="en-GB"/>
              </w:rPr>
              <w:t>-value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ß (95% CI)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i/>
                <w:lang w:val="en-GB"/>
              </w:rPr>
              <w:t>P</w:t>
            </w:r>
            <w:r w:rsidRPr="00BE6990">
              <w:rPr>
                <w:rFonts w:ascii="Arial" w:hAnsi="Arial" w:cs="Arial"/>
                <w:lang w:val="en-GB"/>
              </w:rPr>
              <w:t>-value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ß (95% CI)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i/>
                <w:lang w:val="en-GB"/>
              </w:rPr>
              <w:t>P</w:t>
            </w:r>
            <w:r w:rsidRPr="00BE6990">
              <w:rPr>
                <w:rFonts w:ascii="Arial" w:hAnsi="Arial" w:cs="Arial"/>
                <w:lang w:val="en-GB"/>
              </w:rPr>
              <w:t>-value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ß (95% CI)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i/>
                <w:lang w:val="en-GB"/>
              </w:rPr>
              <w:t>P</w:t>
            </w:r>
            <w:r w:rsidRPr="00BE6990">
              <w:rPr>
                <w:rFonts w:ascii="Arial" w:hAnsi="Arial" w:cs="Arial"/>
                <w:lang w:val="en-GB"/>
              </w:rPr>
              <w:t>-value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ß (95% CI)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i/>
                <w:lang w:val="en-GB"/>
              </w:rPr>
              <w:t>P</w:t>
            </w:r>
            <w:r w:rsidRPr="00BE6990">
              <w:rPr>
                <w:rFonts w:ascii="Arial" w:hAnsi="Arial" w:cs="Arial"/>
                <w:lang w:val="en-GB"/>
              </w:rPr>
              <w:t>-value</w:t>
            </w:r>
          </w:p>
        </w:tc>
      </w:tr>
      <w:tr w:rsidR="00CA2684" w:rsidRPr="00BE6990" w:rsidTr="00DC5D6F">
        <w:tc>
          <w:tcPr>
            <w:tcW w:w="1297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Overall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i/>
                <w:lang w:val="en-GB"/>
              </w:rPr>
            </w:pPr>
          </w:p>
        </w:tc>
      </w:tr>
      <w:tr w:rsidR="00CA2684" w:rsidRPr="00BE6990" w:rsidTr="00DC5D6F">
        <w:tc>
          <w:tcPr>
            <w:tcW w:w="1297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HSI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-6.0 (-9.0 to -3.0)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0.0002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-8.1 (-11.1 to -4.9)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&lt;0.0001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-6.9 (-9.8 to -4.0)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&lt;0.0001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-5.6 (-8.4 to -2.8)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0.0002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-2.8 (-5.4 to -0.2)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0.0350</w:t>
            </w:r>
          </w:p>
        </w:tc>
      </w:tr>
      <w:tr w:rsidR="00CA2684" w:rsidRPr="00BE6990" w:rsidTr="00DC5D6F">
        <w:tc>
          <w:tcPr>
            <w:tcW w:w="1297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FLI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-37.7 (-48.8 to -24.2)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&lt;0.0001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-40.3 (-51.4 to -26.7)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&lt;0.0001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-38.0 (-48.8 to -24.9)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&lt;0.0001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-28.2 (-39.9 to -14.1)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0.0003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-17.6 (-30.0 to -3.0)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0.0201</w:t>
            </w:r>
          </w:p>
        </w:tc>
      </w:tr>
      <w:tr w:rsidR="00CA2684" w:rsidRPr="00BE6990" w:rsidTr="00DC5D6F">
        <w:tc>
          <w:tcPr>
            <w:tcW w:w="1297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Men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</w:p>
        </w:tc>
      </w:tr>
      <w:tr w:rsidR="00CA2684" w:rsidRPr="00BE6990" w:rsidTr="00DC5D6F">
        <w:tc>
          <w:tcPr>
            <w:tcW w:w="1297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HSI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-7.7 (-12.0 to -3.3)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0.0010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-10.8 (-15.2 to -6.3)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&lt;0.0001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-9.1 (-13.2 to -4.8)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0.0001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-7.5 (-11.5 to -3.4)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0.0005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-3.1 (-7.0 to 0.8)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0.12</w:t>
            </w:r>
          </w:p>
        </w:tc>
      </w:tr>
      <w:tr w:rsidR="00CA2684" w:rsidRPr="00BE6990" w:rsidTr="00DC5D6F">
        <w:tc>
          <w:tcPr>
            <w:tcW w:w="1297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FLI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-49.9 (-61.5 to -34.8)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&lt;0.0001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-50.3 (-62.8 to -33.8)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&lt;0.0001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-45.8 (-58.4 to -29.3)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&lt;0.0001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-37.7 (-51.3 to -20.3)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0.0002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-20.2 (-35.7 to -1.1)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0.0393</w:t>
            </w:r>
          </w:p>
        </w:tc>
      </w:tr>
      <w:tr w:rsidR="00CA2684" w:rsidRPr="00BE6990" w:rsidTr="00DC5D6F">
        <w:tc>
          <w:tcPr>
            <w:tcW w:w="1297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Women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</w:p>
        </w:tc>
      </w:tr>
      <w:tr w:rsidR="00CA2684" w:rsidRPr="00BE6990" w:rsidTr="00DC5D6F">
        <w:tc>
          <w:tcPr>
            <w:tcW w:w="1297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HSI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-4.1 (-8.2 to 0.1)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0.06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-3.9 (-8.1 to 0.5)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0.08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-3.4 (-7.4 to 0.9)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0.11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-2.8 (-6.6 to 1.1)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0.16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-1.7 (-5.0 to 1.8)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0.34</w:t>
            </w:r>
          </w:p>
        </w:tc>
      </w:tr>
      <w:tr w:rsidR="00CA2684" w:rsidRPr="00BE6990" w:rsidTr="00DC5D6F">
        <w:tc>
          <w:tcPr>
            <w:tcW w:w="1297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FLI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-20.7 (-40.7 to 6.1)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0.12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-21.6 (-41.9 to 5.7)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0.11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-23.3 (-42.3 to 1.9)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0.07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-11.5 (-31.9 to 15.1)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0.36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-8.4 (-28.5 to 17.3)</w:t>
            </w:r>
          </w:p>
        </w:tc>
        <w:tc>
          <w:tcPr>
            <w:tcW w:w="129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0.48</w:t>
            </w:r>
          </w:p>
        </w:tc>
      </w:tr>
    </w:tbl>
    <w:p w:rsidR="00CA2684" w:rsidRPr="00BE6990" w:rsidRDefault="00CA2684" w:rsidP="00CA2684">
      <w:pPr>
        <w:rPr>
          <w:rFonts w:ascii="Arial" w:hAnsi="Arial" w:cs="Arial"/>
          <w:vertAlign w:val="superscript"/>
          <w:lang w:val="en-GB"/>
        </w:rPr>
        <w:sectPr w:rsidR="00CA2684" w:rsidRPr="00BE6990" w:rsidSect="00CA2684">
          <w:headerReference w:type="default" r:id="rId8"/>
          <w:type w:val="continuous"/>
          <w:pgSz w:w="16838" w:h="11906" w:orient="landscape"/>
          <w:pgMar w:top="1417" w:right="1134" w:bottom="1417" w:left="1417" w:header="708" w:footer="708" w:gutter="0"/>
          <w:cols w:space="708"/>
          <w:docGrid w:linePitch="360"/>
        </w:sectPr>
      </w:pPr>
      <w:r w:rsidRPr="00BE6990">
        <w:rPr>
          <w:rFonts w:ascii="Arial" w:hAnsi="Arial" w:cs="Arial"/>
          <w:lang w:val="en-GB"/>
        </w:rPr>
        <w:t xml:space="preserve">Linear regression model was adjusted for age, sex (for all subjects only), maternal overweight and the omitted lifestyle factor (e.g. hours while sitting (h/d) or sleep duration (h/d)). Values displayed in bold are significant at 0.05 significance level. MVPA: moderate-to-vigorous physical activity, BMI: body mass index, SDS: standard deviation score, HSI: hepatic steatosis index, FLI: fatty liver index. </w:t>
      </w:r>
      <w:r w:rsidRPr="00BE6990">
        <w:rPr>
          <w:rFonts w:ascii="Arial" w:hAnsi="Arial" w:cs="Arial"/>
          <w:vertAlign w:val="superscript"/>
          <w:lang w:val="en-GB"/>
        </w:rPr>
        <w:t>1</w:t>
      </w:r>
      <w:r w:rsidRPr="00BE6990">
        <w:rPr>
          <w:rFonts w:ascii="Arial" w:hAnsi="Arial" w:cs="Arial"/>
          <w:lang w:val="en-GB"/>
        </w:rPr>
        <w:t>Log transformed ß values were back transformed.</w:t>
      </w:r>
      <w:r w:rsidRPr="00BE6990">
        <w:rPr>
          <w:rFonts w:ascii="Arial" w:hAnsi="Arial" w:cs="Arial"/>
          <w:vertAlign w:val="superscript"/>
          <w:lang w:val="en-GB"/>
        </w:rPr>
        <w:t xml:space="preserve"> </w:t>
      </w:r>
    </w:p>
    <w:p w:rsidR="00CA2684" w:rsidRPr="00BE6990" w:rsidRDefault="00CA2684" w:rsidP="00CA2684">
      <w:pPr>
        <w:rPr>
          <w:rFonts w:ascii="Arial" w:hAnsi="Arial" w:cs="Arial"/>
          <w:lang w:val="en-GB"/>
        </w:rPr>
      </w:pPr>
      <w:r w:rsidRPr="00BE6990">
        <w:rPr>
          <w:rFonts w:ascii="Arial" w:hAnsi="Arial" w:cs="Arial"/>
          <w:b/>
          <w:lang w:val="en-GB"/>
        </w:rPr>
        <w:lastRenderedPageBreak/>
        <w:t>S4 Table</w:t>
      </w:r>
      <w:r w:rsidRPr="00BE6990">
        <w:rPr>
          <w:rFonts w:ascii="Arial" w:hAnsi="Arial" w:cs="Arial"/>
          <w:lang w:val="en-GB"/>
        </w:rPr>
        <w:t>: Association between adolescent lifestyle score and fatty liver indices in young adulthood in different subsamples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015"/>
        <w:gridCol w:w="1658"/>
        <w:gridCol w:w="992"/>
        <w:gridCol w:w="2268"/>
        <w:gridCol w:w="1134"/>
      </w:tblGrid>
      <w:tr w:rsidR="00CA2684" w:rsidRPr="00BE6990" w:rsidTr="00DC5D6F">
        <w:tc>
          <w:tcPr>
            <w:tcW w:w="3015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Subsample</w:t>
            </w:r>
          </w:p>
        </w:tc>
        <w:tc>
          <w:tcPr>
            <w:tcW w:w="165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Risk factor</w:t>
            </w:r>
          </w:p>
        </w:tc>
        <w:tc>
          <w:tcPr>
            <w:tcW w:w="992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226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ß (95% CI)</w:t>
            </w:r>
          </w:p>
        </w:tc>
        <w:tc>
          <w:tcPr>
            <w:tcW w:w="1134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i/>
                <w:lang w:val="en-GB"/>
              </w:rPr>
              <w:t>P</w:t>
            </w:r>
            <w:r w:rsidRPr="00BE6990">
              <w:rPr>
                <w:rFonts w:ascii="Arial" w:hAnsi="Arial" w:cs="Arial"/>
                <w:lang w:val="en-GB"/>
              </w:rPr>
              <w:t>-value</w:t>
            </w:r>
          </w:p>
        </w:tc>
      </w:tr>
      <w:tr w:rsidR="00CA2684" w:rsidRPr="00BE6990" w:rsidTr="00DC5D6F">
        <w:tc>
          <w:tcPr>
            <w:tcW w:w="3015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eastAsia="Times New Roman" w:hAnsi="Arial" w:cs="Arial"/>
                <w:color w:val="000000"/>
                <w:lang w:val="en-GB"/>
              </w:rPr>
              <w:t>≥2 assessments of each factor</w:t>
            </w:r>
          </w:p>
        </w:tc>
        <w:tc>
          <w:tcPr>
            <w:tcW w:w="1658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Overall</w:t>
            </w:r>
          </w:p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HSI</w:t>
            </w:r>
          </w:p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FLI</w:t>
            </w:r>
          </w:p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Men</w:t>
            </w:r>
          </w:p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HSI</w:t>
            </w:r>
          </w:p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FLI</w:t>
            </w:r>
          </w:p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Women</w:t>
            </w:r>
            <w:r w:rsidRPr="00BE6990">
              <w:rPr>
                <w:rFonts w:ascii="Arial" w:hAnsi="Arial" w:cs="Arial"/>
                <w:lang w:val="en-GB"/>
              </w:rPr>
              <w:br/>
              <w:t>HSI</w:t>
            </w:r>
          </w:p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FLI</w:t>
            </w:r>
          </w:p>
        </w:tc>
        <w:tc>
          <w:tcPr>
            <w:tcW w:w="992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</w:p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221</w:t>
            </w:r>
          </w:p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221</w:t>
            </w:r>
          </w:p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</w:p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117</w:t>
            </w:r>
          </w:p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117</w:t>
            </w:r>
          </w:p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</w:p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104</w:t>
            </w:r>
          </w:p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104</w:t>
            </w:r>
          </w:p>
        </w:tc>
        <w:tc>
          <w:tcPr>
            <w:tcW w:w="226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</w:p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-6.4 (-9.1 to -3.6)</w:t>
            </w:r>
          </w:p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-37.0 (-47.1 to -24.9)</w:t>
            </w:r>
          </w:p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</w:p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-8.5 (-12.4 to -4.5)</w:t>
            </w:r>
          </w:p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-45.1 (-47.1 to -24.9)</w:t>
            </w:r>
          </w:p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</w:p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-2.8 (-12.4 to 4.5)</w:t>
            </w:r>
          </w:p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-21.2 (-38.9 to 1.7)</w:t>
            </w:r>
          </w:p>
        </w:tc>
        <w:tc>
          <w:tcPr>
            <w:tcW w:w="1134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</w:p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&lt;0.0001</w:t>
            </w:r>
          </w:p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&lt;0.0001</w:t>
            </w:r>
          </w:p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</w:p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0.0001</w:t>
            </w:r>
          </w:p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&lt;0.0001</w:t>
            </w:r>
          </w:p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</w:p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0.15</w:t>
            </w:r>
          </w:p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0.07</w:t>
            </w:r>
          </w:p>
        </w:tc>
      </w:tr>
      <w:tr w:rsidR="00CA2684" w:rsidRPr="00BE6990" w:rsidTr="00DC5D6F">
        <w:trPr>
          <w:trHeight w:val="583"/>
        </w:trPr>
        <w:tc>
          <w:tcPr>
            <w:tcW w:w="3015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More correct than potentially underreported reported 3dWR</w:t>
            </w:r>
          </w:p>
        </w:tc>
        <w:tc>
          <w:tcPr>
            <w:tcW w:w="1658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Overall</w:t>
            </w:r>
          </w:p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HSI</w:t>
            </w:r>
          </w:p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FLI</w:t>
            </w:r>
          </w:p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Men</w:t>
            </w:r>
          </w:p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HSI</w:t>
            </w:r>
          </w:p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FLI</w:t>
            </w:r>
          </w:p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Women</w:t>
            </w:r>
            <w:r w:rsidRPr="00BE6990">
              <w:rPr>
                <w:rFonts w:ascii="Arial" w:hAnsi="Arial" w:cs="Arial"/>
                <w:lang w:val="en-GB"/>
              </w:rPr>
              <w:br/>
              <w:t>HSI</w:t>
            </w:r>
          </w:p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FLI</w:t>
            </w:r>
          </w:p>
        </w:tc>
        <w:tc>
          <w:tcPr>
            <w:tcW w:w="992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</w:p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217</w:t>
            </w:r>
          </w:p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217</w:t>
            </w:r>
          </w:p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</w:p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107</w:t>
            </w:r>
          </w:p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107</w:t>
            </w:r>
          </w:p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</w:p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110</w:t>
            </w:r>
          </w:p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110</w:t>
            </w:r>
          </w:p>
        </w:tc>
        <w:tc>
          <w:tcPr>
            <w:tcW w:w="2268" w:type="dxa"/>
          </w:tcPr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</w:p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-5.4 (-8.1 to -2.6)</w:t>
            </w:r>
          </w:p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-29.2 (-40.9 to -15.1)</w:t>
            </w:r>
          </w:p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</w:p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-7.1 (-11.0 to -2.9)</w:t>
            </w:r>
          </w:p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-37.9 (-51.8 to -20.1)</w:t>
            </w:r>
          </w:p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</w:p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-2.9 (-6.6 to 1.1)</w:t>
            </w:r>
          </w:p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-13.5 (-33.9 to 13.2)</w:t>
            </w:r>
          </w:p>
        </w:tc>
        <w:tc>
          <w:tcPr>
            <w:tcW w:w="1134" w:type="dxa"/>
          </w:tcPr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</w:p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0.0003</w:t>
            </w:r>
          </w:p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0.0002</w:t>
            </w:r>
          </w:p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</w:p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0.0012</w:t>
            </w:r>
          </w:p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  <w:r w:rsidRPr="00BE6990">
              <w:rPr>
                <w:rFonts w:ascii="Arial" w:hAnsi="Arial" w:cs="Arial"/>
                <w:b/>
                <w:lang w:val="en-GB"/>
              </w:rPr>
              <w:t>0.0003</w:t>
            </w:r>
          </w:p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</w:p>
          <w:p w:rsidR="00CA2684" w:rsidRPr="00BE6990" w:rsidRDefault="00CA2684" w:rsidP="00DC5D6F">
            <w:pPr>
              <w:rPr>
                <w:rFonts w:ascii="Arial" w:hAnsi="Arial" w:cs="Arial"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0.15</w:t>
            </w:r>
          </w:p>
          <w:p w:rsidR="00CA2684" w:rsidRPr="00BE6990" w:rsidRDefault="00CA2684" w:rsidP="00DC5D6F">
            <w:pPr>
              <w:rPr>
                <w:rFonts w:ascii="Arial" w:hAnsi="Arial" w:cs="Arial"/>
                <w:b/>
                <w:lang w:val="en-GB"/>
              </w:rPr>
            </w:pPr>
            <w:r w:rsidRPr="00BE6990">
              <w:rPr>
                <w:rFonts w:ascii="Arial" w:hAnsi="Arial" w:cs="Arial"/>
                <w:lang w:val="en-GB"/>
              </w:rPr>
              <w:t>0.29</w:t>
            </w:r>
          </w:p>
        </w:tc>
      </w:tr>
    </w:tbl>
    <w:p w:rsidR="00CA2684" w:rsidRPr="00BE6990" w:rsidRDefault="00CA2684" w:rsidP="00CA2684">
      <w:pPr>
        <w:rPr>
          <w:rFonts w:ascii="Arial" w:hAnsi="Arial" w:cs="Arial"/>
          <w:lang w:val="en-GB"/>
        </w:rPr>
      </w:pPr>
      <w:r w:rsidRPr="00BE6990">
        <w:rPr>
          <w:rFonts w:ascii="Arial" w:hAnsi="Arial" w:cs="Arial"/>
          <w:lang w:val="en-GB"/>
        </w:rPr>
        <w:t xml:space="preserve">Linear regression model </w:t>
      </w:r>
      <w:proofErr w:type="gramStart"/>
      <w:r w:rsidRPr="00BE6990">
        <w:rPr>
          <w:rFonts w:ascii="Arial" w:hAnsi="Arial" w:cs="Arial"/>
          <w:lang w:val="en-GB"/>
        </w:rPr>
        <w:t>was adjusted</w:t>
      </w:r>
      <w:proofErr w:type="gramEnd"/>
      <w:r w:rsidRPr="00BE6990">
        <w:rPr>
          <w:rFonts w:ascii="Arial" w:hAnsi="Arial" w:cs="Arial"/>
          <w:lang w:val="en-GB"/>
        </w:rPr>
        <w:t xml:space="preserve"> for age, sex (for all subjects only) and maternal overweight. Values displayed in bold are significant at 0.05 significance level. HSI: Hepatic steatoses index, FLI: Fatty liver index. </w:t>
      </w:r>
      <w:r w:rsidRPr="00BE6990">
        <w:rPr>
          <w:rFonts w:ascii="Arial" w:hAnsi="Arial" w:cs="Arial"/>
          <w:vertAlign w:val="superscript"/>
          <w:lang w:val="en-GB"/>
        </w:rPr>
        <w:t>1</w:t>
      </w:r>
      <w:r w:rsidRPr="00BE6990">
        <w:rPr>
          <w:rFonts w:ascii="Arial" w:hAnsi="Arial" w:cs="Arial"/>
          <w:lang w:val="en-GB"/>
        </w:rPr>
        <w:t>Log transformed ß values were back transformed.</w:t>
      </w:r>
    </w:p>
    <w:p w:rsidR="008E6A68" w:rsidRPr="007B5BC1" w:rsidRDefault="008E6A68">
      <w:pPr>
        <w:rPr>
          <w:lang w:val="en-US"/>
        </w:rPr>
      </w:pPr>
    </w:p>
    <w:p w:rsidR="008E6A68" w:rsidRPr="007B5BC1" w:rsidRDefault="008E6A68">
      <w:pPr>
        <w:rPr>
          <w:lang w:val="en-US"/>
        </w:rPr>
      </w:pPr>
    </w:p>
    <w:p w:rsidR="008E6A68" w:rsidRPr="008E6A68" w:rsidRDefault="008E6A68" w:rsidP="008E6A68">
      <w:pPr>
        <w:pStyle w:val="EndNoteBibliography"/>
        <w:rPr>
          <w:rFonts w:ascii="Arial" w:hAnsi="Arial" w:cs="Arial"/>
        </w:rPr>
      </w:pPr>
      <w:r w:rsidRPr="008E6A68">
        <w:rPr>
          <w:rFonts w:ascii="Arial" w:hAnsi="Arial" w:cs="Arial"/>
        </w:rPr>
        <w:fldChar w:fldCharType="begin"/>
      </w:r>
      <w:r w:rsidRPr="008E6A68">
        <w:rPr>
          <w:rFonts w:ascii="Arial" w:hAnsi="Arial" w:cs="Arial"/>
        </w:rPr>
        <w:instrText xml:space="preserve"> ADDIN EN.REFLIST </w:instrText>
      </w:r>
      <w:r w:rsidRPr="008E6A68">
        <w:rPr>
          <w:rFonts w:ascii="Arial" w:hAnsi="Arial" w:cs="Arial"/>
        </w:rPr>
        <w:fldChar w:fldCharType="separate"/>
      </w:r>
      <w:r w:rsidRPr="008E6A68">
        <w:rPr>
          <w:rFonts w:ascii="Arial" w:hAnsi="Arial" w:cs="Arial"/>
        </w:rPr>
        <w:t>1.</w:t>
      </w:r>
      <w:r w:rsidRPr="008E6A68">
        <w:rPr>
          <w:rFonts w:ascii="Arial" w:hAnsi="Arial" w:cs="Arial"/>
        </w:rPr>
        <w:tab/>
        <w:t>Schnermann ME, Schulz CA, Herder C, et al. (2021) A lifestyle pattern during adolescence is associated with cardiovascular risk markers in young adults: results from the DONALD cohort study. J Nutr Sci;10:e92.</w:t>
      </w:r>
    </w:p>
    <w:p w:rsidR="00F20824" w:rsidRDefault="008E6A68">
      <w:r w:rsidRPr="008E6A68">
        <w:rPr>
          <w:rFonts w:ascii="Arial" w:hAnsi="Arial" w:cs="Arial"/>
        </w:rPr>
        <w:fldChar w:fldCharType="end"/>
      </w:r>
    </w:p>
    <w:sectPr w:rsidR="00F20824" w:rsidSect="00CA2684">
      <w:headerReference w:type="default" r:id="rId9"/>
      <w:type w:val="continuous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913" w:rsidRDefault="00883D74">
      <w:pPr>
        <w:spacing w:after="0" w:line="240" w:lineRule="auto"/>
      </w:pPr>
      <w:r>
        <w:separator/>
      </w:r>
    </w:p>
  </w:endnote>
  <w:endnote w:type="continuationSeparator" w:id="0">
    <w:p w:rsidR="00C86913" w:rsidRDefault="00883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913" w:rsidRDefault="00883D74">
      <w:pPr>
        <w:spacing w:after="0" w:line="240" w:lineRule="auto"/>
      </w:pPr>
      <w:r>
        <w:separator/>
      </w:r>
    </w:p>
  </w:footnote>
  <w:footnote w:type="continuationSeparator" w:id="0">
    <w:p w:rsidR="00C86913" w:rsidRDefault="00883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F8" w:rsidRDefault="007B5B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F8" w:rsidRDefault="007B5BC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F8" w:rsidRDefault="007B5BC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2vteave8dv9vzervvgx0ewp9fa2xpzv2tps&quot;&gt;Datenbank Publikationen&lt;record-ids&gt;&lt;item&gt;317&lt;/item&gt;&lt;/record-ids&gt;&lt;/item&gt;&lt;/Libraries&gt;"/>
  </w:docVars>
  <w:rsids>
    <w:rsidRoot w:val="00CA2684"/>
    <w:rsid w:val="005A65B5"/>
    <w:rsid w:val="007B5BC1"/>
    <w:rsid w:val="00883D74"/>
    <w:rsid w:val="008E6A68"/>
    <w:rsid w:val="00C86913"/>
    <w:rsid w:val="00CA2684"/>
    <w:rsid w:val="00F2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CC851-B8B6-49BE-8599-96FFDB20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A268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CA268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A26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2684"/>
  </w:style>
  <w:style w:type="table" w:styleId="Tabellenraster">
    <w:name w:val="Table Grid"/>
    <w:basedOn w:val="NormaleTabelle"/>
    <w:uiPriority w:val="39"/>
    <w:rsid w:val="00CA2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CA2684"/>
  </w:style>
  <w:style w:type="paragraph" w:customStyle="1" w:styleId="EndNoteBibliographyTitle">
    <w:name w:val="EndNote Bibliography Title"/>
    <w:basedOn w:val="Standard"/>
    <w:link w:val="EndNoteBibliographyTitleZchn"/>
    <w:rsid w:val="008E6A68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8E6A68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8E6A68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8E6A68"/>
    <w:rPr>
      <w:rFonts w:ascii="Calibri" w:hAnsi="Calibri" w:cs="Calibri"/>
      <w:noProof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6A6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E6A6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E6A68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6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IEL; Universität Bonn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 Schnermann</dc:creator>
  <cp:keywords/>
  <dc:description/>
  <cp:lastModifiedBy>Maike Schnermann</cp:lastModifiedBy>
  <cp:revision>4</cp:revision>
  <dcterms:created xsi:type="dcterms:W3CDTF">2022-02-03T14:49:00Z</dcterms:created>
  <dcterms:modified xsi:type="dcterms:W3CDTF">2022-03-24T16:44:00Z</dcterms:modified>
</cp:coreProperties>
</file>