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12A3" w14:textId="77777777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Supplement</w:t>
      </w:r>
    </w:p>
    <w:p w14:paraId="5B2F12A4" w14:textId="77777777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Supplementary Results</w:t>
      </w:r>
    </w:p>
    <w:p w14:paraId="5B2F12A5" w14:textId="77777777" w:rsidR="00920600" w:rsidRDefault="00F342A9">
      <w:pPr>
        <w:spacing w:line="360" w:lineRule="auto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1 Diabetes</w:t>
      </w:r>
    </w:p>
    <w:p w14:paraId="5B2F12A6" w14:textId="77777777" w:rsidR="00920600" w:rsidRDefault="00F342A9">
      <w:pPr>
        <w:spacing w:line="360" w:lineRule="auto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1.1 Energy partition model</w:t>
      </w:r>
    </w:p>
    <w:p w14:paraId="61EA45F3" w14:textId="73B582E8" w:rsidR="00D047CB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When considering the energy partition model, food substitution results were </w:t>
      </w:r>
      <w:proofErr w:type="gramStart"/>
      <w:r>
        <w:rPr>
          <w:rFonts w:ascii="Cambria" w:eastAsia="Cambria" w:hAnsi="Cambria" w:cs="Cambria"/>
          <w:sz w:val="28"/>
          <w:szCs w:val="28"/>
        </w:rPr>
        <w:t>similar to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that for the main model. Replacement of processed meat for red meat or vegetables was associated with a reduced risk of diabetes (supplementary table </w:t>
      </w:r>
      <w:r w:rsidR="00D674E7">
        <w:rPr>
          <w:rFonts w:ascii="Cambria" w:eastAsia="Cambria" w:hAnsi="Cambria" w:cs="Cambria"/>
          <w:sz w:val="28"/>
          <w:szCs w:val="28"/>
        </w:rPr>
        <w:t>1</w:t>
      </w:r>
      <w:r>
        <w:rPr>
          <w:rFonts w:ascii="Cambria" w:eastAsia="Cambria" w:hAnsi="Cambria" w:cs="Cambria"/>
          <w:sz w:val="28"/>
          <w:szCs w:val="28"/>
        </w:rPr>
        <w:t xml:space="preserve">). </w:t>
      </w:r>
    </w:p>
    <w:p w14:paraId="5B2F12A8" w14:textId="77777777" w:rsidR="00920600" w:rsidRDefault="00F342A9">
      <w:pPr>
        <w:spacing w:line="360" w:lineRule="auto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1.2 Second FFQ</w:t>
      </w:r>
    </w:p>
    <w:p w14:paraId="5B2F12A9" w14:textId="7964E48E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When considering the second FFQ among survivors, some differences in the diet </w:t>
      </w:r>
      <w:proofErr w:type="gramStart"/>
      <w:r>
        <w:rPr>
          <w:rFonts w:ascii="Cambria" w:eastAsia="Cambria" w:hAnsi="Cambria" w:cs="Cambria"/>
          <w:sz w:val="28"/>
          <w:szCs w:val="28"/>
        </w:rPr>
        <w:t>were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noted in comparison to the cohort at baseline.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Compared to the first FFQ, processed meat intake was similar at the second FFQ (FFQ1: 22 g/day vs FFQ2: </w:t>
      </w:r>
      <w:r w:rsidR="006405C3">
        <w:rPr>
          <w:rFonts w:ascii="Cambria" w:eastAsia="Cambria" w:hAnsi="Cambria" w:cs="Cambria"/>
          <w:sz w:val="28"/>
          <w:szCs w:val="28"/>
        </w:rPr>
        <w:t>20</w:t>
      </w:r>
      <w:r>
        <w:rPr>
          <w:rFonts w:ascii="Cambria" w:eastAsia="Cambria" w:hAnsi="Cambria" w:cs="Cambria"/>
          <w:sz w:val="28"/>
          <w:szCs w:val="28"/>
        </w:rPr>
        <w:t xml:space="preserve"> g/day). Intakes of all fish types</w:t>
      </w:r>
      <w:r w:rsidR="006405C3">
        <w:rPr>
          <w:rFonts w:ascii="Cambria" w:eastAsia="Cambria" w:hAnsi="Cambria" w:cs="Cambria"/>
          <w:sz w:val="28"/>
          <w:szCs w:val="28"/>
        </w:rPr>
        <w:t>, and pulses</w:t>
      </w:r>
      <w:r>
        <w:rPr>
          <w:rFonts w:ascii="Cambria" w:eastAsia="Cambria" w:hAnsi="Cambria" w:cs="Cambria"/>
          <w:sz w:val="28"/>
          <w:szCs w:val="28"/>
        </w:rPr>
        <w:t xml:space="preserve"> were comparable (</w:t>
      </w:r>
      <w:proofErr w:type="gramStart"/>
      <w:r>
        <w:rPr>
          <w:rFonts w:ascii="Cambria" w:eastAsia="Cambria" w:hAnsi="Cambria" w:cs="Cambria"/>
          <w:sz w:val="28"/>
          <w:szCs w:val="28"/>
        </w:rPr>
        <w:t>lean  fish</w:t>
      </w:r>
      <w:proofErr w:type="gramEnd"/>
      <w:r>
        <w:rPr>
          <w:rFonts w:ascii="Cambria" w:eastAsia="Cambria" w:hAnsi="Cambria" w:cs="Cambria"/>
          <w:sz w:val="28"/>
          <w:szCs w:val="28"/>
        </w:rPr>
        <w:t>: 17 vs 1</w:t>
      </w:r>
      <w:r w:rsidR="006405C3">
        <w:rPr>
          <w:rFonts w:ascii="Cambria" w:eastAsia="Cambria" w:hAnsi="Cambria" w:cs="Cambria"/>
          <w:sz w:val="28"/>
          <w:szCs w:val="28"/>
        </w:rPr>
        <w:t>9</w:t>
      </w:r>
      <w:r>
        <w:rPr>
          <w:rFonts w:ascii="Cambria" w:eastAsia="Cambria" w:hAnsi="Cambria" w:cs="Cambria"/>
          <w:sz w:val="28"/>
          <w:szCs w:val="28"/>
        </w:rPr>
        <w:t xml:space="preserve"> g/day, fatty fish: </w:t>
      </w:r>
      <w:r w:rsidR="006405C3"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</w:rPr>
        <w:t xml:space="preserve"> vs 6 g/day</w:t>
      </w:r>
      <w:r w:rsidR="006405C3">
        <w:rPr>
          <w:rFonts w:ascii="Cambria" w:eastAsia="Cambria" w:hAnsi="Cambria" w:cs="Cambria"/>
          <w:sz w:val="28"/>
          <w:szCs w:val="28"/>
        </w:rPr>
        <w:t xml:space="preserve">, pulses </w:t>
      </w:r>
      <w:r w:rsidR="00D047CB">
        <w:rPr>
          <w:rFonts w:ascii="Cambria" w:eastAsia="Cambria" w:hAnsi="Cambria" w:cs="Cambria"/>
          <w:sz w:val="28"/>
          <w:szCs w:val="28"/>
        </w:rPr>
        <w:t>13 vs 13 g/day</w:t>
      </w:r>
      <w:r>
        <w:rPr>
          <w:rFonts w:ascii="Cambria" w:eastAsia="Cambria" w:hAnsi="Cambria" w:cs="Cambria"/>
          <w:sz w:val="28"/>
          <w:szCs w:val="28"/>
        </w:rPr>
        <w:t>). Red meat, egg and poultry intakes were lower (red meat: 30 vs 15 g / day, eggs: 2</w:t>
      </w:r>
      <w:r w:rsidR="00D047CB">
        <w:rPr>
          <w:rFonts w:ascii="Cambria" w:eastAsia="Cambria" w:hAnsi="Cambria" w:cs="Cambria"/>
          <w:sz w:val="28"/>
          <w:szCs w:val="28"/>
        </w:rPr>
        <w:t>1</w:t>
      </w:r>
      <w:r>
        <w:rPr>
          <w:rFonts w:ascii="Cambria" w:eastAsia="Cambria" w:hAnsi="Cambria" w:cs="Cambria"/>
          <w:sz w:val="28"/>
          <w:szCs w:val="28"/>
        </w:rPr>
        <w:t xml:space="preserve"> vs 1</w:t>
      </w:r>
      <w:r w:rsidR="00D047CB"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</w:rPr>
        <w:t xml:space="preserve"> g/day; poultry 15 vs 10 g/day). Vegetable intakes increased (171 vs 202 g/day). </w:t>
      </w:r>
    </w:p>
    <w:p w14:paraId="5B2F12AA" w14:textId="77777777" w:rsidR="00920600" w:rsidRDefault="00920600">
      <w:pPr>
        <w:spacing w:line="360" w:lineRule="auto"/>
        <w:rPr>
          <w:rFonts w:ascii="Cambria" w:eastAsia="Cambria" w:hAnsi="Cambria" w:cs="Cambria"/>
          <w:sz w:val="28"/>
          <w:szCs w:val="28"/>
        </w:rPr>
      </w:pPr>
    </w:p>
    <w:p w14:paraId="5B2F12AB" w14:textId="77777777" w:rsidR="00920600" w:rsidRDefault="00F342A9">
      <w:pPr>
        <w:spacing w:line="360" w:lineRule="auto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2 Hypertension</w:t>
      </w:r>
    </w:p>
    <w:p w14:paraId="5B2F12AC" w14:textId="77777777" w:rsidR="00920600" w:rsidRDefault="00F342A9">
      <w:pPr>
        <w:spacing w:line="360" w:lineRule="auto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2.1 Energy partition model</w:t>
      </w:r>
    </w:p>
    <w:p w14:paraId="5B2F12AD" w14:textId="2EA12442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When considering the energy partition model, food substitution results were </w:t>
      </w:r>
      <w:proofErr w:type="gramStart"/>
      <w:r>
        <w:rPr>
          <w:rFonts w:ascii="Cambria" w:eastAsia="Cambria" w:hAnsi="Cambria" w:cs="Cambria"/>
          <w:sz w:val="28"/>
          <w:szCs w:val="28"/>
        </w:rPr>
        <w:t>similar to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that for the main model. Replacement of processed meat for fatty fish or vegetables was associated with a reduced risk of hypertension (supplementary table </w:t>
      </w:r>
      <w:r w:rsidR="00D674E7">
        <w:rPr>
          <w:rFonts w:ascii="Cambria" w:eastAsia="Cambria" w:hAnsi="Cambria" w:cs="Cambria"/>
          <w:sz w:val="28"/>
          <w:szCs w:val="28"/>
        </w:rPr>
        <w:t>1</w:t>
      </w:r>
      <w:r>
        <w:rPr>
          <w:rFonts w:ascii="Cambria" w:eastAsia="Cambria" w:hAnsi="Cambria" w:cs="Cambria"/>
          <w:sz w:val="28"/>
          <w:szCs w:val="28"/>
        </w:rPr>
        <w:t>). Replacement of processed meat for lean fish was associated with a borderline increased risk of hypertension.</w:t>
      </w:r>
    </w:p>
    <w:p w14:paraId="5B2F12AE" w14:textId="77777777" w:rsidR="00920600" w:rsidRDefault="00F342A9">
      <w:pPr>
        <w:spacing w:line="360" w:lineRule="auto"/>
        <w:rPr>
          <w:rFonts w:ascii="Cambria" w:eastAsia="Cambria" w:hAnsi="Cambria" w:cs="Cambria"/>
          <w:i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>2.2 Second FFQ</w:t>
      </w:r>
    </w:p>
    <w:p w14:paraId="5B2F12AF" w14:textId="6E3053CF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When considering the second FFQ among survivors, some differences in the diet were noted.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Compared to the first FFQ, processed meat intake was similar at the second FFQ (FFQ1: 2</w:t>
      </w:r>
      <w:r w:rsidR="00D047CB">
        <w:rPr>
          <w:rFonts w:ascii="Cambria" w:eastAsia="Cambria" w:hAnsi="Cambria" w:cs="Cambria"/>
          <w:sz w:val="28"/>
          <w:szCs w:val="28"/>
        </w:rPr>
        <w:t>2</w:t>
      </w:r>
      <w:r>
        <w:rPr>
          <w:rFonts w:ascii="Cambria" w:eastAsia="Cambria" w:hAnsi="Cambria" w:cs="Cambria"/>
          <w:sz w:val="28"/>
          <w:szCs w:val="28"/>
        </w:rPr>
        <w:t xml:space="preserve"> g/day vs FFQ2: 1</w:t>
      </w:r>
      <w:r w:rsidR="00D047CB">
        <w:rPr>
          <w:rFonts w:ascii="Cambria" w:eastAsia="Cambria" w:hAnsi="Cambria" w:cs="Cambria"/>
          <w:sz w:val="28"/>
          <w:szCs w:val="28"/>
        </w:rPr>
        <w:t>9</w:t>
      </w:r>
      <w:r>
        <w:rPr>
          <w:rFonts w:ascii="Cambria" w:eastAsia="Cambria" w:hAnsi="Cambria" w:cs="Cambria"/>
          <w:sz w:val="28"/>
          <w:szCs w:val="28"/>
        </w:rPr>
        <w:t xml:space="preserve"> g/day). Intakes of all fish types</w:t>
      </w:r>
      <w:r w:rsidR="00D047CB">
        <w:rPr>
          <w:rFonts w:ascii="Cambria" w:eastAsia="Cambria" w:hAnsi="Cambria" w:cs="Cambria"/>
          <w:sz w:val="28"/>
          <w:szCs w:val="28"/>
        </w:rPr>
        <w:t xml:space="preserve"> and pulses</w:t>
      </w:r>
      <w:r>
        <w:rPr>
          <w:rFonts w:ascii="Cambria" w:eastAsia="Cambria" w:hAnsi="Cambria" w:cs="Cambria"/>
          <w:sz w:val="28"/>
          <w:szCs w:val="28"/>
        </w:rPr>
        <w:t xml:space="preserve"> were comparable (lean fish: 17 vs 18 g/day, fatty fish: </w:t>
      </w:r>
      <w:r w:rsidR="00D047CB"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</w:rPr>
        <w:t xml:space="preserve"> vs 6 g/day</w:t>
      </w:r>
      <w:r w:rsidR="00D047CB">
        <w:rPr>
          <w:rFonts w:ascii="Cambria" w:eastAsia="Cambria" w:hAnsi="Cambria" w:cs="Cambria"/>
          <w:sz w:val="28"/>
          <w:szCs w:val="28"/>
        </w:rPr>
        <w:t>,</w:t>
      </w:r>
      <w:r w:rsidR="00D047CB" w:rsidRPr="00D047CB">
        <w:rPr>
          <w:rFonts w:ascii="Cambria" w:eastAsia="Cambria" w:hAnsi="Cambria" w:cs="Cambria"/>
          <w:sz w:val="28"/>
          <w:szCs w:val="28"/>
        </w:rPr>
        <w:t xml:space="preserve"> </w:t>
      </w:r>
      <w:r w:rsidR="00D047CB">
        <w:rPr>
          <w:rFonts w:ascii="Cambria" w:eastAsia="Cambria" w:hAnsi="Cambria" w:cs="Cambria"/>
          <w:sz w:val="28"/>
          <w:szCs w:val="28"/>
        </w:rPr>
        <w:t>pulses 13 vs 13 g/day</w:t>
      </w:r>
      <w:r>
        <w:rPr>
          <w:rFonts w:ascii="Cambria" w:eastAsia="Cambria" w:hAnsi="Cambria" w:cs="Cambria"/>
          <w:sz w:val="28"/>
          <w:szCs w:val="28"/>
        </w:rPr>
        <w:t>), however red meat, egg and poultry intakes were lower (red meat: 30 vs 15 g/</w:t>
      </w:r>
      <w:proofErr w:type="gramStart"/>
      <w:r>
        <w:rPr>
          <w:rFonts w:ascii="Cambria" w:eastAsia="Cambria" w:hAnsi="Cambria" w:cs="Cambria"/>
          <w:sz w:val="28"/>
          <w:szCs w:val="28"/>
        </w:rPr>
        <w:t>day,  eggs</w:t>
      </w:r>
      <w:proofErr w:type="gramEnd"/>
      <w:r>
        <w:rPr>
          <w:rFonts w:ascii="Cambria" w:eastAsia="Cambria" w:hAnsi="Cambria" w:cs="Cambria"/>
          <w:sz w:val="28"/>
          <w:szCs w:val="28"/>
        </w:rPr>
        <w:t>: 20 vs 1</w:t>
      </w:r>
      <w:r w:rsidR="00D047CB">
        <w:rPr>
          <w:rFonts w:ascii="Cambria" w:eastAsia="Cambria" w:hAnsi="Cambria" w:cs="Cambria"/>
          <w:sz w:val="28"/>
          <w:szCs w:val="28"/>
        </w:rPr>
        <w:t>6</w:t>
      </w:r>
      <w:r>
        <w:rPr>
          <w:rFonts w:ascii="Cambria" w:eastAsia="Cambria" w:hAnsi="Cambria" w:cs="Cambria"/>
          <w:sz w:val="28"/>
          <w:szCs w:val="28"/>
        </w:rPr>
        <w:t xml:space="preserve"> g/day, chicken: 15 vs 10 g/day). Vegetable intakes increased (171 vs 203 g/day).  </w:t>
      </w:r>
      <w:r>
        <w:br w:type="page"/>
      </w:r>
    </w:p>
    <w:p w14:paraId="5B2F12B0" w14:textId="77777777" w:rsidR="00920600" w:rsidRDefault="00F342A9">
      <w:pPr>
        <w:spacing w:line="36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Supplementary tables</w:t>
      </w:r>
    </w:p>
    <w:p w14:paraId="5B2F13D6" w14:textId="6972A9EB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Supplementary table </w:t>
      </w:r>
      <w:r w:rsidR="00545EAD">
        <w:rPr>
          <w:rFonts w:ascii="Cambria" w:eastAsia="Cambria" w:hAnsi="Cambria" w:cs="Cambria"/>
          <w:sz w:val="28"/>
          <w:szCs w:val="28"/>
        </w:rPr>
        <w:t>1</w:t>
      </w:r>
      <w:r>
        <w:rPr>
          <w:rFonts w:ascii="Cambria" w:eastAsia="Cambria" w:hAnsi="Cambria" w:cs="Cambria"/>
          <w:sz w:val="28"/>
          <w:szCs w:val="28"/>
        </w:rPr>
        <w:t>: Results of the energy partition model</w:t>
      </w:r>
    </w:p>
    <w:tbl>
      <w:tblPr>
        <w:tblStyle w:val="aa"/>
        <w:tblW w:w="10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360"/>
        <w:gridCol w:w="1290"/>
        <w:gridCol w:w="1290"/>
        <w:gridCol w:w="1290"/>
        <w:gridCol w:w="1290"/>
        <w:gridCol w:w="1341"/>
        <w:gridCol w:w="1341"/>
        <w:gridCol w:w="382"/>
      </w:tblGrid>
      <w:tr w:rsidR="00617DE1" w14:paraId="5B2F13D8" w14:textId="4954105C" w:rsidTr="002D45CB">
        <w:trPr>
          <w:trHeight w:val="300"/>
        </w:trPr>
        <w:tc>
          <w:tcPr>
            <w:tcW w:w="10586" w:type="dxa"/>
            <w:gridSpan w:val="9"/>
          </w:tcPr>
          <w:p w14:paraId="39046E17" w14:textId="55DD445D" w:rsidR="00617DE1" w:rsidRDefault="00617DE1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Diabetes</w:t>
            </w:r>
          </w:p>
        </w:tc>
      </w:tr>
      <w:tr w:rsidR="006B488F" w14:paraId="5B2F13E1" w14:textId="1FD269E1" w:rsidTr="00617DE1">
        <w:trPr>
          <w:gridAfter w:val="1"/>
          <w:wAfter w:w="382" w:type="dxa"/>
          <w:trHeight w:val="300"/>
        </w:trPr>
        <w:tc>
          <w:tcPr>
            <w:tcW w:w="1002" w:type="dxa"/>
          </w:tcPr>
          <w:p w14:paraId="5B2F13D9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B2F13DB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fatty fish</w:t>
            </w:r>
          </w:p>
        </w:tc>
        <w:tc>
          <w:tcPr>
            <w:tcW w:w="1290" w:type="dxa"/>
          </w:tcPr>
          <w:p w14:paraId="5B2F13DC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lean fish</w:t>
            </w:r>
          </w:p>
        </w:tc>
        <w:tc>
          <w:tcPr>
            <w:tcW w:w="1290" w:type="dxa"/>
          </w:tcPr>
          <w:p w14:paraId="5B2F13DD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poultry</w:t>
            </w:r>
          </w:p>
        </w:tc>
        <w:tc>
          <w:tcPr>
            <w:tcW w:w="1290" w:type="dxa"/>
          </w:tcPr>
          <w:p w14:paraId="5B2F13DE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red meat</w:t>
            </w:r>
          </w:p>
        </w:tc>
        <w:tc>
          <w:tcPr>
            <w:tcW w:w="1290" w:type="dxa"/>
          </w:tcPr>
          <w:p w14:paraId="5B2F13DF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eggs</w:t>
            </w:r>
          </w:p>
        </w:tc>
        <w:tc>
          <w:tcPr>
            <w:tcW w:w="1341" w:type="dxa"/>
          </w:tcPr>
          <w:p w14:paraId="5B2F13E0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vegetables</w:t>
            </w:r>
          </w:p>
        </w:tc>
        <w:tc>
          <w:tcPr>
            <w:tcW w:w="1341" w:type="dxa"/>
          </w:tcPr>
          <w:p w14:paraId="66349A8D" w14:textId="24AE0BF0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pulses</w:t>
            </w:r>
          </w:p>
        </w:tc>
      </w:tr>
      <w:tr w:rsidR="006B488F" w14:paraId="5B2F13EA" w14:textId="1E5740A9" w:rsidTr="00617DE1">
        <w:trPr>
          <w:gridAfter w:val="1"/>
          <w:wAfter w:w="382" w:type="dxa"/>
          <w:trHeight w:val="300"/>
        </w:trPr>
        <w:tc>
          <w:tcPr>
            <w:tcW w:w="1002" w:type="dxa"/>
          </w:tcPr>
          <w:p w14:paraId="5B2F13E2" w14:textId="77777777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150 kcal serving</w:t>
            </w:r>
          </w:p>
        </w:tc>
        <w:tc>
          <w:tcPr>
            <w:tcW w:w="1360" w:type="dxa"/>
          </w:tcPr>
          <w:p w14:paraId="5B2F13E4" w14:textId="12195E21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93 [0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81: 1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03]</w:t>
            </w:r>
          </w:p>
        </w:tc>
        <w:tc>
          <w:tcPr>
            <w:tcW w:w="1290" w:type="dxa"/>
          </w:tcPr>
          <w:p w14:paraId="5B2F13E5" w14:textId="0C96298E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 [0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91: 1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08]</w:t>
            </w:r>
          </w:p>
        </w:tc>
        <w:tc>
          <w:tcPr>
            <w:tcW w:w="1290" w:type="dxa"/>
          </w:tcPr>
          <w:p w14:paraId="5B2F13E6" w14:textId="16A8722B" w:rsidR="006B488F" w:rsidRDefault="002215A7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1.</w:t>
            </w:r>
            <w:r w:rsidR="006B488F">
              <w:rPr>
                <w:rFonts w:ascii="Cambria" w:eastAsia="Cambria" w:hAnsi="Cambria" w:cs="Cambria"/>
                <w:sz w:val="28"/>
                <w:szCs w:val="28"/>
              </w:rPr>
              <w:t>01 [0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 w:rsidR="006B488F">
              <w:rPr>
                <w:rFonts w:ascii="Cambria" w:eastAsia="Cambria" w:hAnsi="Cambria" w:cs="Cambria"/>
                <w:sz w:val="28"/>
                <w:szCs w:val="28"/>
              </w:rPr>
              <w:t>96: 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 w:rsidR="006B488F">
              <w:rPr>
                <w:rFonts w:ascii="Cambria" w:eastAsia="Cambria" w:hAnsi="Cambria" w:cs="Cambria"/>
                <w:sz w:val="28"/>
                <w:szCs w:val="28"/>
              </w:rPr>
              <w:t>07]</w:t>
            </w:r>
          </w:p>
        </w:tc>
        <w:tc>
          <w:tcPr>
            <w:tcW w:w="1290" w:type="dxa"/>
          </w:tcPr>
          <w:p w14:paraId="5B2F13E7" w14:textId="7C1CAD31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98 [0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96: 1.00*]</w:t>
            </w:r>
          </w:p>
        </w:tc>
        <w:tc>
          <w:tcPr>
            <w:tcW w:w="1290" w:type="dxa"/>
          </w:tcPr>
          <w:p w14:paraId="5B2F13E8" w14:textId="3C4EC73F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98 [0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95: 1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02]</w:t>
            </w:r>
          </w:p>
        </w:tc>
        <w:tc>
          <w:tcPr>
            <w:tcW w:w="1341" w:type="dxa"/>
          </w:tcPr>
          <w:p w14:paraId="5B2F13E9" w14:textId="2E570016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94 [0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91: 0</w:t>
            </w:r>
            <w:r w:rsidR="002215A7"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97]</w:t>
            </w:r>
          </w:p>
        </w:tc>
        <w:tc>
          <w:tcPr>
            <w:tcW w:w="1341" w:type="dxa"/>
          </w:tcPr>
          <w:p w14:paraId="14584587" w14:textId="4D2D4B13" w:rsidR="006B488F" w:rsidRDefault="006B488F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0.97 [0.93: 1.00]</w:t>
            </w:r>
          </w:p>
        </w:tc>
      </w:tr>
      <w:tr w:rsidR="00617DE1" w14:paraId="5B2F13EC" w14:textId="74ECB085" w:rsidTr="007C7400">
        <w:trPr>
          <w:trHeight w:val="300"/>
        </w:trPr>
        <w:tc>
          <w:tcPr>
            <w:tcW w:w="10586" w:type="dxa"/>
            <w:gridSpan w:val="9"/>
          </w:tcPr>
          <w:p w14:paraId="373CD647" w14:textId="2365968C" w:rsidR="00617DE1" w:rsidRDefault="00617DE1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Hypertension</w:t>
            </w:r>
          </w:p>
        </w:tc>
      </w:tr>
      <w:tr w:rsidR="006B488F" w14:paraId="5B2F13F5" w14:textId="1F506FC9" w:rsidTr="00617DE1">
        <w:trPr>
          <w:gridAfter w:val="1"/>
          <w:wAfter w:w="382" w:type="dxa"/>
          <w:trHeight w:val="300"/>
        </w:trPr>
        <w:tc>
          <w:tcPr>
            <w:tcW w:w="1002" w:type="dxa"/>
          </w:tcPr>
          <w:p w14:paraId="5B2F13ED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B2F13EF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fatty fish</w:t>
            </w:r>
          </w:p>
        </w:tc>
        <w:tc>
          <w:tcPr>
            <w:tcW w:w="1290" w:type="dxa"/>
          </w:tcPr>
          <w:p w14:paraId="5B2F13F0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lean fish</w:t>
            </w:r>
          </w:p>
        </w:tc>
        <w:tc>
          <w:tcPr>
            <w:tcW w:w="1290" w:type="dxa"/>
          </w:tcPr>
          <w:p w14:paraId="5B2F13F1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poultry</w:t>
            </w:r>
          </w:p>
        </w:tc>
        <w:tc>
          <w:tcPr>
            <w:tcW w:w="1290" w:type="dxa"/>
          </w:tcPr>
          <w:p w14:paraId="5B2F13F2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red meat</w:t>
            </w:r>
          </w:p>
        </w:tc>
        <w:tc>
          <w:tcPr>
            <w:tcW w:w="1290" w:type="dxa"/>
          </w:tcPr>
          <w:p w14:paraId="5B2F13F3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eggs</w:t>
            </w:r>
          </w:p>
        </w:tc>
        <w:tc>
          <w:tcPr>
            <w:tcW w:w="1341" w:type="dxa"/>
          </w:tcPr>
          <w:p w14:paraId="5B2F13F4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vegetables</w:t>
            </w:r>
          </w:p>
        </w:tc>
        <w:tc>
          <w:tcPr>
            <w:tcW w:w="1341" w:type="dxa"/>
          </w:tcPr>
          <w:p w14:paraId="6BDD41E4" w14:textId="1EE45C44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Processed meat for pulses</w:t>
            </w:r>
          </w:p>
        </w:tc>
      </w:tr>
      <w:tr w:rsidR="006B488F" w14:paraId="5B2F13FE" w14:textId="7474CBCC" w:rsidTr="00617DE1">
        <w:trPr>
          <w:gridAfter w:val="1"/>
          <w:wAfter w:w="382" w:type="dxa"/>
          <w:trHeight w:val="300"/>
        </w:trPr>
        <w:tc>
          <w:tcPr>
            <w:tcW w:w="1002" w:type="dxa"/>
          </w:tcPr>
          <w:p w14:paraId="5B2F13F6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150 kcal serving</w:t>
            </w:r>
          </w:p>
        </w:tc>
        <w:tc>
          <w:tcPr>
            <w:tcW w:w="1360" w:type="dxa"/>
          </w:tcPr>
          <w:p w14:paraId="5B2F13F8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0.92 [0.86: 0.96]</w:t>
            </w:r>
          </w:p>
        </w:tc>
        <w:tc>
          <w:tcPr>
            <w:tcW w:w="1290" w:type="dxa"/>
          </w:tcPr>
          <w:p w14:paraId="5B2F13F9" w14:textId="5AAB15CC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1.04 [1.00: 1.08]</w:t>
            </w:r>
          </w:p>
        </w:tc>
        <w:tc>
          <w:tcPr>
            <w:tcW w:w="1290" w:type="dxa"/>
          </w:tcPr>
          <w:p w14:paraId="5B2F13FA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1.01 [0.98: 1.03]</w:t>
            </w:r>
          </w:p>
        </w:tc>
        <w:tc>
          <w:tcPr>
            <w:tcW w:w="1290" w:type="dxa"/>
          </w:tcPr>
          <w:p w14:paraId="5B2F13FB" w14:textId="707009B9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1.00 [0.98: 1.00]</w:t>
            </w:r>
          </w:p>
        </w:tc>
        <w:tc>
          <w:tcPr>
            <w:tcW w:w="1290" w:type="dxa"/>
          </w:tcPr>
          <w:p w14:paraId="5B2F13FC" w14:textId="77777777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1.00 [0.99: 1.02]</w:t>
            </w:r>
          </w:p>
        </w:tc>
        <w:tc>
          <w:tcPr>
            <w:tcW w:w="1341" w:type="dxa"/>
          </w:tcPr>
          <w:p w14:paraId="5B2F13FD" w14:textId="1531FD83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bookmarkStart w:id="1" w:name="_heading=h.1fob9te" w:colFirst="0" w:colLast="0"/>
            <w:bookmarkEnd w:id="1"/>
            <w:r>
              <w:rPr>
                <w:rFonts w:ascii="Cambria" w:eastAsia="Cambria" w:hAnsi="Cambria" w:cs="Cambria"/>
                <w:sz w:val="28"/>
                <w:szCs w:val="28"/>
              </w:rPr>
              <w:t>0.97 [0.96: 0.99]</w:t>
            </w:r>
          </w:p>
        </w:tc>
        <w:tc>
          <w:tcPr>
            <w:tcW w:w="1341" w:type="dxa"/>
          </w:tcPr>
          <w:p w14:paraId="3FBB4720" w14:textId="34B30C39" w:rsidR="006B488F" w:rsidRDefault="006B488F" w:rsidP="00617DE1">
            <w:pPr>
              <w:spacing w:line="360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0.99 [0.97: 1.01]</w:t>
            </w:r>
          </w:p>
        </w:tc>
      </w:tr>
    </w:tbl>
    <w:p w14:paraId="046F5802" w14:textId="0E06A4A9" w:rsidR="00F342A9" w:rsidRPr="00CF5492" w:rsidRDefault="00F342A9" w:rsidP="00F342A9">
      <w:p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Hazard ration and 95 % confidence intervals for food replacement</w:t>
      </w:r>
      <w:r w:rsidR="002215A7">
        <w:rPr>
          <w:rFonts w:ascii="Cambria" w:eastAsia="Cambria" w:hAnsi="Cambria" w:cs="Cambria"/>
          <w:sz w:val="24"/>
          <w:szCs w:val="24"/>
        </w:rPr>
        <w:t xml:space="preserve"> estimates</w:t>
      </w:r>
      <w:r>
        <w:rPr>
          <w:rFonts w:ascii="Cambria" w:eastAsia="Cambria" w:hAnsi="Cambria" w:cs="Cambria"/>
          <w:sz w:val="24"/>
          <w:szCs w:val="24"/>
        </w:rPr>
        <w:t xml:space="preserve"> (HR [95 CI]). </w:t>
      </w:r>
      <w:r w:rsidRPr="00CF5492">
        <w:rPr>
          <w:rFonts w:ascii="Cambria" w:eastAsia="Cambria" w:hAnsi="Cambria" w:cs="Cambria"/>
          <w:sz w:val="24"/>
          <w:szCs w:val="24"/>
        </w:rPr>
        <w:t>Adjusted</w:t>
      </w:r>
      <w:r>
        <w:rPr>
          <w:rFonts w:ascii="Cambria" w:eastAsia="Cambria" w:hAnsi="Cambria" w:cs="Cambria"/>
          <w:sz w:val="24"/>
          <w:szCs w:val="24"/>
        </w:rPr>
        <w:t xml:space="preserve"> for</w:t>
      </w:r>
      <w:r w:rsidRPr="00CF5492">
        <w:rPr>
          <w:rFonts w:ascii="Cambria" w:eastAsia="Cambria" w:hAnsi="Cambria" w:cs="Cambria"/>
          <w:sz w:val="24"/>
          <w:szCs w:val="24"/>
        </w:rPr>
        <w:t xml:space="preserve"> BMI, physical activity, total calories, smoking status, </w:t>
      </w:r>
      <w:r>
        <w:rPr>
          <w:rFonts w:ascii="Cambria" w:eastAsia="Cambria" w:hAnsi="Cambria" w:cs="Cambria"/>
          <w:sz w:val="24"/>
          <w:szCs w:val="24"/>
        </w:rPr>
        <w:t xml:space="preserve">total energy intake, </w:t>
      </w:r>
      <w:r w:rsidRPr="00CF5492">
        <w:rPr>
          <w:rFonts w:ascii="Cambria" w:eastAsia="Cambria" w:hAnsi="Cambria" w:cs="Cambria"/>
          <w:sz w:val="24"/>
          <w:szCs w:val="24"/>
        </w:rPr>
        <w:t>alcohol intake,</w:t>
      </w:r>
      <w:r>
        <w:rPr>
          <w:rFonts w:ascii="Cambria" w:eastAsia="Cambria" w:hAnsi="Cambria" w:cs="Cambria"/>
          <w:sz w:val="24"/>
          <w:szCs w:val="24"/>
        </w:rPr>
        <w:t xml:space="preserve"> sugar sweetened beverage intake,</w:t>
      </w:r>
      <w:r w:rsidRPr="00CF5492">
        <w:rPr>
          <w:rFonts w:ascii="Cambria" w:eastAsia="Cambria" w:hAnsi="Cambria" w:cs="Cambria"/>
          <w:sz w:val="24"/>
          <w:szCs w:val="24"/>
        </w:rPr>
        <w:t xml:space="preserve"> education level, family history of cardiovascular disease, and prevalent hypertension/diabetes in the case of studying the other disease.</w:t>
      </w:r>
    </w:p>
    <w:p w14:paraId="5B2F13FF" w14:textId="14F5BB80" w:rsidR="00920600" w:rsidRDefault="00F342A9" w:rsidP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 w:rsidRPr="00CF5492">
        <w:rPr>
          <w:rFonts w:ascii="Cambria" w:eastAsia="Cambria" w:hAnsi="Cambria" w:cs="Cambria"/>
          <w:sz w:val="24"/>
          <w:szCs w:val="24"/>
        </w:rPr>
        <w:t>*</w:t>
      </w:r>
      <w:proofErr w:type="gramStart"/>
      <w:r w:rsidRPr="00CF5492">
        <w:rPr>
          <w:rFonts w:ascii="Cambria" w:eastAsia="Cambria" w:hAnsi="Cambria" w:cs="Cambria"/>
          <w:sz w:val="24"/>
          <w:szCs w:val="24"/>
        </w:rPr>
        <w:t>rounded</w:t>
      </w:r>
      <w:proofErr w:type="gramEnd"/>
      <w:r w:rsidRPr="00CF5492">
        <w:rPr>
          <w:rFonts w:ascii="Cambria" w:eastAsia="Cambria" w:hAnsi="Cambria" w:cs="Cambria"/>
          <w:sz w:val="24"/>
          <w:szCs w:val="24"/>
        </w:rPr>
        <w:t xml:space="preserve"> up to 1.00</w:t>
      </w:r>
      <w:r>
        <w:br w:type="page"/>
      </w:r>
    </w:p>
    <w:p w14:paraId="5B2F1400" w14:textId="77777777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Supplementary figure 1 – Flow chart of inclusion and exclusion in the study</w:t>
      </w:r>
    </w:p>
    <w:p w14:paraId="5B2F1401" w14:textId="77777777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5B2F1405" wp14:editId="5B2F1406">
            <wp:extent cx="5726165" cy="407705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165" cy="4077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5B2F1402" w14:textId="480CABA6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Supplementary figure 2 – Simplified directed acyclic graph showing modelling assumptions for the secondary analysis</w:t>
      </w:r>
      <w:r w:rsidR="00F25F50">
        <w:rPr>
          <w:rFonts w:ascii="Cambria" w:eastAsia="Cambria" w:hAnsi="Cambria" w:cs="Cambria"/>
          <w:sz w:val="28"/>
          <w:szCs w:val="28"/>
        </w:rPr>
        <w:t>, with baseline at the return of the second FFQ</w:t>
      </w:r>
    </w:p>
    <w:p w14:paraId="5B2F1403" w14:textId="77777777" w:rsidR="00920600" w:rsidRDefault="00F342A9">
      <w:pPr>
        <w:spacing w:line="36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5B2F1407" wp14:editId="5B2F1408">
            <wp:extent cx="5730240" cy="3644265"/>
            <wp:effectExtent l="0" t="0" r="0" b="0"/>
            <wp:docPr id="8" name="image1.png" descr="SanDisk SDSSDHII480G Media:Users:conormacdonald:Desktop:Screen Shot 2022-01-07 at 15.54.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Disk SDSSDHII480G Media:Users:conormacdonald:Desktop:Screen Shot 2022-01-07 at 15.54.5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64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2F1404" w14:textId="77777777" w:rsidR="00920600" w:rsidRDefault="00920600"/>
    <w:sectPr w:rsidR="0092060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114C" w14:textId="77777777" w:rsidR="00936C59" w:rsidRDefault="00936C59">
      <w:pPr>
        <w:spacing w:line="240" w:lineRule="auto"/>
      </w:pPr>
      <w:r>
        <w:separator/>
      </w:r>
    </w:p>
  </w:endnote>
  <w:endnote w:type="continuationSeparator" w:id="0">
    <w:p w14:paraId="43E3D8E8" w14:textId="77777777" w:rsidR="00936C59" w:rsidRDefault="0093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AD0C" w14:textId="77777777" w:rsidR="00936C59" w:rsidRDefault="00936C59">
      <w:pPr>
        <w:spacing w:line="240" w:lineRule="auto"/>
      </w:pPr>
      <w:r>
        <w:separator/>
      </w:r>
    </w:p>
  </w:footnote>
  <w:footnote w:type="continuationSeparator" w:id="0">
    <w:p w14:paraId="4EB1EF4C" w14:textId="77777777" w:rsidR="00936C59" w:rsidRDefault="00936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1409" w14:textId="77777777" w:rsidR="00920600" w:rsidRDefault="00F342A9">
    <w:pPr>
      <w:spacing w:line="360" w:lineRule="auto"/>
      <w:rPr>
        <w:rFonts w:ascii="Cambria" w:eastAsia="Cambria" w:hAnsi="Cambria" w:cs="Cambria"/>
        <w:sz w:val="28"/>
        <w:szCs w:val="28"/>
      </w:rPr>
    </w:pPr>
    <w:r>
      <w:t xml:space="preserve">THAO - </w:t>
    </w:r>
    <w:r>
      <w:rPr>
        <w:rFonts w:ascii="Cambria" w:eastAsia="Cambria" w:hAnsi="Cambria" w:cs="Cambria"/>
        <w:sz w:val="28"/>
        <w:szCs w:val="28"/>
      </w:rPr>
      <w:t>Replacing processed meat with other protein foods may reduce the risk of hypertension and diabetes</w:t>
    </w:r>
  </w:p>
  <w:p w14:paraId="5B2F140A" w14:textId="77777777" w:rsidR="00920600" w:rsidRDefault="00920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7C6"/>
    <w:multiLevelType w:val="multilevel"/>
    <w:tmpl w:val="862CE1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3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00"/>
    <w:rsid w:val="000F4AB1"/>
    <w:rsid w:val="001058F3"/>
    <w:rsid w:val="001A16CC"/>
    <w:rsid w:val="001B2B96"/>
    <w:rsid w:val="001B5D23"/>
    <w:rsid w:val="002215A7"/>
    <w:rsid w:val="002618E3"/>
    <w:rsid w:val="00263D35"/>
    <w:rsid w:val="00382FB8"/>
    <w:rsid w:val="003D4FFC"/>
    <w:rsid w:val="00406534"/>
    <w:rsid w:val="00442EFB"/>
    <w:rsid w:val="00461838"/>
    <w:rsid w:val="00482AD4"/>
    <w:rsid w:val="004A733A"/>
    <w:rsid w:val="005026DC"/>
    <w:rsid w:val="00545EAD"/>
    <w:rsid w:val="005701C4"/>
    <w:rsid w:val="00577D8B"/>
    <w:rsid w:val="00613820"/>
    <w:rsid w:val="00617DE1"/>
    <w:rsid w:val="00623DB8"/>
    <w:rsid w:val="006255E8"/>
    <w:rsid w:val="006405C3"/>
    <w:rsid w:val="006B488F"/>
    <w:rsid w:val="006F52F5"/>
    <w:rsid w:val="0076208C"/>
    <w:rsid w:val="00764690"/>
    <w:rsid w:val="007900C3"/>
    <w:rsid w:val="008128C5"/>
    <w:rsid w:val="008868E1"/>
    <w:rsid w:val="00920600"/>
    <w:rsid w:val="009330C7"/>
    <w:rsid w:val="00936C59"/>
    <w:rsid w:val="00A71469"/>
    <w:rsid w:val="00B36874"/>
    <w:rsid w:val="00BE3E1C"/>
    <w:rsid w:val="00C76452"/>
    <w:rsid w:val="00D047CB"/>
    <w:rsid w:val="00D37E06"/>
    <w:rsid w:val="00D674E7"/>
    <w:rsid w:val="00E20925"/>
    <w:rsid w:val="00E5112D"/>
    <w:rsid w:val="00E91986"/>
    <w:rsid w:val="00EB5003"/>
    <w:rsid w:val="00F25F50"/>
    <w:rsid w:val="00F342A9"/>
    <w:rsid w:val="00F62D9B"/>
    <w:rsid w:val="00F9072F"/>
    <w:rsid w:val="00FB3489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12A3"/>
  <w15:docId w15:val="{22DC777A-1AF2-4C96-87BD-7D753FA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6604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85"/>
    <w:rPr>
      <w:rFonts w:ascii="Tahoma" w:eastAsia="Arial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6604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85"/>
    <w:rPr>
      <w:rFonts w:ascii="Arial" w:eastAsia="Arial" w:hAnsi="Arial" w:cs="Arial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604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85"/>
    <w:rPr>
      <w:rFonts w:ascii="Arial" w:eastAsia="Arial" w:hAnsi="Arial" w:cs="Arial"/>
      <w:lang w:eastAsia="fr-F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3DB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TYP2ULVqzgz2K/zKnFRwEfpFdg==">AMUW2mVIB0UCA6K4oO/Gdrz+rldw3VTyZ5RUsNNvDhBEUKJGqfmwyZaxUiTSA3T9U0JagcN0wUXWwI+pQKVm9D1/Aa0zsbwWG5y+Hi3EkAAcx1sZxoTU9G7Gf68PGVvb/mc5OzXEJADwwqwnYUAH5TaY9FFSL548/w==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MacDonald</dc:creator>
  <cp:lastModifiedBy>Conor Macdonald</cp:lastModifiedBy>
  <cp:revision>3</cp:revision>
  <dcterms:created xsi:type="dcterms:W3CDTF">2022-07-14T14:25:00Z</dcterms:created>
  <dcterms:modified xsi:type="dcterms:W3CDTF">2022-07-14T14:26:00Z</dcterms:modified>
</cp:coreProperties>
</file>