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E5B5" w14:textId="3C949897" w:rsidR="00784E04" w:rsidRPr="002E2F08" w:rsidRDefault="00784E04" w:rsidP="00326416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  <w:r w:rsidRPr="002E2F08">
        <w:rPr>
          <w:rFonts w:ascii="Times New Roman" w:hAnsi="Times New Roman" w:cs="Times New Roman"/>
          <w:b/>
          <w:lang w:val="en-GB"/>
        </w:rPr>
        <w:t>Table S</w:t>
      </w:r>
      <w:r w:rsidR="00A451A3">
        <w:rPr>
          <w:rFonts w:ascii="Times New Roman" w:hAnsi="Times New Roman" w:cs="Times New Roman"/>
          <w:b/>
          <w:lang w:val="en-GB"/>
        </w:rPr>
        <w:t>3</w:t>
      </w:r>
      <w:r w:rsidRPr="002E2F08">
        <w:rPr>
          <w:rFonts w:ascii="Times New Roman" w:hAnsi="Times New Roman" w:cs="Times New Roman"/>
          <w:b/>
          <w:lang w:val="en-GB"/>
        </w:rPr>
        <w:t xml:space="preserve">: </w:t>
      </w:r>
      <w:r w:rsidR="00326416" w:rsidRPr="00326416">
        <w:rPr>
          <w:rFonts w:ascii="Times New Roman" w:hAnsi="Times New Roman" w:cs="Times New Roman"/>
          <w:b/>
          <w:iCs/>
          <w:lang w:val="en-GB"/>
        </w:rPr>
        <w:t xml:space="preserve">Risk of bias (according to the Effective Public Health Practice Project (EPHPP) quality assessment </w:t>
      </w:r>
      <w:r w:rsidR="00326416">
        <w:rPr>
          <w:rFonts w:ascii="Times New Roman" w:hAnsi="Times New Roman" w:cs="Times New Roman"/>
          <w:b/>
          <w:iCs/>
          <w:lang w:val="en-GB"/>
        </w:rPr>
        <w:t>of the studies</w:t>
      </w:r>
      <w:r w:rsidR="00326416" w:rsidRPr="00326416">
        <w:rPr>
          <w:rFonts w:ascii="Times New Roman" w:hAnsi="Times New Roman" w:cs="Times New Roman"/>
          <w:b/>
          <w:i/>
          <w:lang w:val="en-GB"/>
        </w:rPr>
        <w:t xml:space="preserve"> </w:t>
      </w:r>
      <w:r w:rsidRPr="002E2F08">
        <w:rPr>
          <w:rFonts w:ascii="Times New Roman" w:hAnsi="Times New Roman" w:cs="Times New Roman"/>
          <w:i/>
          <w:sz w:val="20"/>
          <w:lang w:val="en-GB"/>
        </w:rPr>
        <w:t>(ordered by study ID)</w:t>
      </w:r>
      <w:r w:rsidRPr="002E2F08">
        <w:rPr>
          <w:rFonts w:ascii="Times New Roman" w:hAnsi="Times New Roman" w:cs="Times New Roman"/>
          <w:b/>
          <w:noProof/>
          <w:lang w:eastAsia="nb-NO"/>
        </w:rPr>
        <w:t xml:space="preserve"> </w:t>
      </w:r>
    </w:p>
    <w:p w14:paraId="39F219CF" w14:textId="77777777" w:rsidR="00F31754" w:rsidRPr="002E2F08" w:rsidRDefault="00F31754" w:rsidP="00F31754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17D4F7DD" w14:textId="4DD9811B" w:rsidR="004467A9" w:rsidRPr="002E2F08" w:rsidRDefault="004467A9" w:rsidP="002E2F08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</w:pPr>
      <w:proofErr w:type="spellStart"/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t>Barnick</w:t>
      </w:r>
      <w:proofErr w:type="spellEnd"/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t xml:space="preserve"> et al, 2014 </w:t>
      </w: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fldChar w:fldCharType="begin"/>
      </w:r>
      <w:r w:rsidR="00EC154B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instrText xml:space="preserve"> ADDIN EN.CITE &lt;EndNote&gt;&lt;Cite&gt;&lt;Author&gt;Barnick&lt;/Author&gt;&lt;Year&gt;2014&lt;/Year&gt;&lt;RecNum&gt;31&lt;/RecNum&gt;&lt;DisplayText&gt;&lt;style face="superscript"&gt;1&lt;/style&gt;&lt;/DisplayText&gt;&lt;record&gt;&lt;rec-number&gt;31&lt;/rec-number&gt;&lt;foreign-keys&gt;&lt;key app="EN" db-id="9wxsrdav5ezx02edpduvear6sdreax05tdw0" timestamp="1612803682"&gt;31&lt;/key&gt;&lt;/foreign-keys&gt;&lt;ref-type name="Journal Article"&gt;17&lt;/ref-type&gt;&lt;contributors&gt;&lt;authors&gt;&lt;author&gt;Barnick, Anjali&lt;/author&gt;&lt;/authors&gt;&lt;/contributors&gt;&lt;titles&gt;&lt;title&gt;The Impact of a School Gardening Program on Nutrition Attitudes, Behaviors and Interests Amongst Fourth Grade Students&lt;/title&gt;&lt;/titles&gt;&lt;dates&gt;&lt;year&gt;2014&lt;/year&gt;&lt;/dates&gt;&lt;urls&gt;&lt;/urls&gt;&lt;/record&gt;&lt;/Cite&gt;&lt;/EndNote&gt;</w:instrText>
      </w: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fldChar w:fldCharType="separate"/>
      </w:r>
      <w:r w:rsidR="002E2F08" w:rsidRPr="002E2F08">
        <w:rPr>
          <w:rFonts w:ascii="Times New Roman" w:eastAsiaTheme="minorHAnsi" w:hAnsi="Times New Roman" w:cs="Times New Roman"/>
          <w:b/>
          <w:bCs/>
          <w:noProof/>
          <w:color w:val="0D0D0D" w:themeColor="text1" w:themeTint="F2"/>
          <w:sz w:val="20"/>
          <w:szCs w:val="20"/>
          <w:vertAlign w:val="superscript"/>
          <w:lang w:bidi="fa-IR"/>
        </w:rPr>
        <w:t>1</w:t>
      </w: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fldChar w:fldCharType="end"/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5526"/>
      </w:tblGrid>
      <w:tr w:rsidR="004467A9" w:rsidRPr="002E2F08" w14:paraId="0545469D" w14:textId="77777777" w:rsidTr="00DD0EB0">
        <w:trPr>
          <w:trHeight w:val="340"/>
        </w:trPr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8559977" w14:textId="77777777" w:rsidR="004467A9" w:rsidRPr="002E2F08" w:rsidRDefault="004467A9" w:rsidP="00DD0EB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Bias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ED58E7" w14:textId="77777777" w:rsidR="004467A9" w:rsidRPr="002E2F08" w:rsidRDefault="004467A9" w:rsidP="00DD0EB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Authors’ judgement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A785442" w14:textId="77777777" w:rsidR="004467A9" w:rsidRPr="002E2F08" w:rsidRDefault="004467A9" w:rsidP="00DD0EB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Support for judgement</w:t>
            </w:r>
          </w:p>
        </w:tc>
      </w:tr>
      <w:tr w:rsidR="004467A9" w:rsidRPr="002E2F08" w14:paraId="2E2FF8F2" w14:textId="77777777" w:rsidTr="003C789F">
        <w:trPr>
          <w:trHeight w:val="531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4DB2B852" w14:textId="77777777" w:rsidR="004467A9" w:rsidRPr="002E2F08" w:rsidRDefault="004467A9" w:rsidP="00DD0EB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Selection bias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C55FFF9" w14:textId="77777777" w:rsidR="004467A9" w:rsidRPr="002E2F08" w:rsidRDefault="004876E1" w:rsidP="00DD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6A49D9A8" w14:textId="77777777" w:rsidR="004467A9" w:rsidRPr="002E2F08" w:rsidRDefault="00EF0E34" w:rsidP="008E5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8E58D0"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selected individuals are at least somewhat likely to be representative of the target population and the percentage of participation </w:t>
            </w:r>
            <w:r w:rsidR="004F5D97"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was not described</w:t>
            </w:r>
          </w:p>
        </w:tc>
      </w:tr>
      <w:tr w:rsidR="004467A9" w:rsidRPr="002E2F08" w14:paraId="7603FF76" w14:textId="77777777" w:rsidTr="00B514FF">
        <w:trPr>
          <w:trHeight w:val="28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016E1982" w14:textId="77777777" w:rsidR="004467A9" w:rsidRPr="002E2F08" w:rsidRDefault="004467A9" w:rsidP="00DD0EB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Study design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7D54F8A" w14:textId="77777777" w:rsidR="004467A9" w:rsidRPr="002E2F08" w:rsidRDefault="004876E1" w:rsidP="00DD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4D594DA1" w14:textId="1AB5C8CB" w:rsidR="004467A9" w:rsidRPr="002E2F08" w:rsidRDefault="00571157" w:rsidP="004F5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sz w:val="20"/>
                <w:szCs w:val="20"/>
                <w:lang w:bidi="fa-IR"/>
              </w:rPr>
              <w:t>quasi-experimental pre-post test</w:t>
            </w:r>
          </w:p>
        </w:tc>
      </w:tr>
      <w:tr w:rsidR="004467A9" w:rsidRPr="002E2F08" w14:paraId="36BD0C0E" w14:textId="77777777" w:rsidTr="00B514FF">
        <w:trPr>
          <w:trHeight w:val="28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126C5A3D" w14:textId="77777777" w:rsidR="004467A9" w:rsidRPr="002E2F08" w:rsidRDefault="004467A9" w:rsidP="00DD0EB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Confounders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1CEA01D" w14:textId="77777777" w:rsidR="004467A9" w:rsidRPr="002E2F08" w:rsidRDefault="00643F86" w:rsidP="00DD0EB0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AdvOT863180fb" w:hAnsi="AdvOT863180fb" w:cs="AdvOT863180fb"/>
                <w:sz w:val="20"/>
                <w:szCs w:val="20"/>
                <w:lang w:bidi="fa-IR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4EE15D17" w14:textId="77777777" w:rsidR="004467A9" w:rsidRPr="002E2F08" w:rsidRDefault="004F5D97" w:rsidP="004F5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Control of confounders was not described</w:t>
            </w:r>
          </w:p>
        </w:tc>
      </w:tr>
      <w:tr w:rsidR="004467A9" w:rsidRPr="002E2F08" w14:paraId="2AD31781" w14:textId="77777777" w:rsidTr="00B514FF">
        <w:trPr>
          <w:trHeight w:val="28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0D84409E" w14:textId="77777777" w:rsidR="004467A9" w:rsidRPr="002E2F08" w:rsidRDefault="004467A9" w:rsidP="00DD0EB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Blinding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5AFA479" w14:textId="77777777" w:rsidR="004467A9" w:rsidRPr="002E2F08" w:rsidRDefault="004876E1" w:rsidP="00DD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AdvOT863180fb" w:hAnsi="AdvOT863180fb" w:cs="AdvOT863180fb"/>
                <w:sz w:val="20"/>
                <w:szCs w:val="20"/>
                <w:lang w:bidi="fa-IR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5E457CD6" w14:textId="77777777" w:rsidR="004467A9" w:rsidRPr="002E2F08" w:rsidRDefault="00EF0E34" w:rsidP="00DD0EB0">
            <w:pPr>
              <w:pStyle w:val="NoSpacing"/>
              <w:jc w:val="lowKashida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blinding </w:t>
            </w:r>
            <w:r w:rsidR="00770539"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was not described</w:t>
            </w:r>
          </w:p>
        </w:tc>
      </w:tr>
      <w:tr w:rsidR="004467A9" w:rsidRPr="002E2F08" w14:paraId="34F6A568" w14:textId="77777777" w:rsidTr="00DD0EB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7F3969B4" w14:textId="77777777" w:rsidR="004467A9" w:rsidRPr="002E2F08" w:rsidRDefault="004467A9" w:rsidP="00DD0EB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Data collection methods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8992749" w14:textId="77777777" w:rsidR="004467A9" w:rsidRPr="002E2F08" w:rsidRDefault="004467A9" w:rsidP="00B80A41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684EFF8" w14:textId="77777777" w:rsidR="004467A9" w:rsidRPr="002E2F08" w:rsidRDefault="00B80A41" w:rsidP="00B80A41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both reliability and validity of checklist for data collection were not described</w:t>
            </w:r>
          </w:p>
        </w:tc>
      </w:tr>
      <w:tr w:rsidR="004467A9" w:rsidRPr="002E2F08" w14:paraId="4E67D9FD" w14:textId="77777777" w:rsidTr="00B514FF">
        <w:trPr>
          <w:trHeight w:val="144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753455FA" w14:textId="77777777" w:rsidR="004467A9" w:rsidRPr="002E2F08" w:rsidRDefault="004467A9" w:rsidP="00DD0EB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Withdrawals and drop-outs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3D357CC" w14:textId="77777777" w:rsidR="004467A9" w:rsidRPr="002E2F08" w:rsidRDefault="004876E1" w:rsidP="00DD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  <w:r w:rsidR="004467A9"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DDC103E" w14:textId="77777777" w:rsidR="004467A9" w:rsidRPr="002E2F08" w:rsidRDefault="00533A2D" w:rsidP="00DD0EB0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Can't tell</w:t>
            </w:r>
          </w:p>
        </w:tc>
      </w:tr>
      <w:tr w:rsidR="004467A9" w:rsidRPr="002E2F08" w14:paraId="4B7C233D" w14:textId="77777777" w:rsidTr="003C789F">
        <w:trPr>
          <w:trHeight w:val="116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012292FC" w14:textId="48F111D7" w:rsidR="004467A9" w:rsidRPr="002E2F08" w:rsidRDefault="004467A9" w:rsidP="00DD0EB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Global rating for this </w:t>
            </w:r>
            <w:r w:rsidR="00F63499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paper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66D7962" w14:textId="77777777" w:rsidR="004467A9" w:rsidRPr="002E2F08" w:rsidRDefault="004876E1" w:rsidP="00DD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  <w:r w:rsidR="004467A9"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50D6620B" w14:textId="77777777" w:rsidR="004467A9" w:rsidRPr="002E2F08" w:rsidRDefault="00EF0E34" w:rsidP="00DD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there </w:t>
            </w:r>
            <w:r w:rsidR="004876E1"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 four weak</w:t>
            </w:r>
          </w:p>
        </w:tc>
      </w:tr>
      <w:tr w:rsidR="004467A9" w:rsidRPr="002E2F08" w14:paraId="664D1D30" w14:textId="77777777" w:rsidTr="00DD0EB0">
        <w:trPr>
          <w:trHeight w:val="340"/>
        </w:trPr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460B838" w14:textId="77777777" w:rsidR="004467A9" w:rsidRPr="002E2F08" w:rsidRDefault="004467A9" w:rsidP="00DD0EB0">
            <w:pPr>
              <w:pStyle w:val="NoSpacing"/>
              <w:rPr>
                <w:rFonts w:ascii="Times New Roman" w:eastAsia="Calibri Light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Overall assessment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82D1C" w14:textId="77777777" w:rsidR="004467A9" w:rsidRPr="002E2F08" w:rsidRDefault="004876E1" w:rsidP="00DD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>weak</w:t>
            </w:r>
            <w:r w:rsidR="004467A9" w:rsidRPr="002E2F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52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C377340" w14:textId="77777777" w:rsidR="004467A9" w:rsidRPr="002E2F08" w:rsidRDefault="004467A9" w:rsidP="00DD0EB0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lang w:val="en-GB"/>
              </w:rPr>
            </w:pPr>
          </w:p>
        </w:tc>
      </w:tr>
    </w:tbl>
    <w:p w14:paraId="3765AA75" w14:textId="77777777" w:rsidR="004467A9" w:rsidRPr="002E2F08" w:rsidRDefault="004467A9" w:rsidP="00F31754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</w:pPr>
    </w:p>
    <w:p w14:paraId="734F1FCA" w14:textId="79508912" w:rsidR="007B7416" w:rsidRPr="002E2F08" w:rsidRDefault="00E45D51" w:rsidP="007B741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  <w:r w:rsidRPr="00E45D51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t>Beckman et all</w:t>
      </w:r>
      <w:r w:rsidR="007B7416" w:rsidRPr="00E45D51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t>, 2007</w:t>
      </w:r>
      <w:r w:rsidR="007B7416"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t xml:space="preserve"> </w:t>
      </w:r>
      <w:r w:rsidR="007B7416"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begin"/>
      </w:r>
      <w:r w:rsidR="00EC154B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instrText xml:space="preserve"> ADDIN EN.CITE &lt;EndNote&gt;&lt;Cite&gt;&lt;Author&gt;Lautenschlager&lt;/Author&gt;&lt;Year&gt;2007&lt;/Year&gt;&lt;RecNum&gt;40&lt;/RecNum&gt;&lt;DisplayText&gt;&lt;style face="superscript"&gt;2&lt;/style&gt;&lt;/DisplayText&gt;&lt;record&gt;&lt;rec-number&gt;40&lt;/rec-number&gt;&lt;foreign-keys&gt;&lt;key app="EN" db-id="9wxsrdav5ezx02edpduvear6sdreax05tdw0" timestamp="1612803701"&gt;40&lt;/key&gt;&lt;/foreign-keys&gt;&lt;ref-type name="Journal Article"&gt;17&lt;/ref-type&gt;&lt;contributors&gt;&lt;authors&gt;&lt;author&gt;Lautenschlager, Lauren&lt;/author&gt;&lt;author&gt;Smith, Chery&lt;/author&gt;&lt;/authors&gt;&lt;/contributors&gt;&lt;titles&gt;&lt;title&gt;Beliefs, knowledge, and values held by inner-city youth about gardening, nutrition, and cooking&lt;/title&gt;&lt;secondary-title&gt;Agriculture and Human Values&lt;/secondary-title&gt;&lt;/titles&gt;&lt;periodical&gt;&lt;full-title&gt;Agriculture and Human Values&lt;/full-title&gt;&lt;/periodical&gt;&lt;pages&gt;245&lt;/pages&gt;&lt;volume&gt;24&lt;/volume&gt;&lt;number&gt;2&lt;/number&gt;&lt;dates&gt;&lt;year&gt;2007&lt;/year&gt;&lt;/dates&gt;&lt;isbn&gt;0889-048X&lt;/isbn&gt;&lt;urls&gt;&lt;/urls&gt;&lt;/record&gt;&lt;/Cite&gt;&lt;/EndNote&gt;</w:instrText>
      </w:r>
      <w:r w:rsidR="007B7416"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separate"/>
      </w:r>
      <w:r w:rsidR="00EC154B" w:rsidRPr="00EC154B">
        <w:rPr>
          <w:rFonts w:ascii="Times New Roman" w:eastAsiaTheme="minorHAnsi" w:hAnsi="Times New Roman" w:cs="Times New Roman"/>
          <w:b/>
          <w:bCs/>
          <w:noProof/>
          <w:sz w:val="20"/>
          <w:szCs w:val="20"/>
          <w:vertAlign w:val="superscript"/>
          <w:lang w:bidi="fa-IR"/>
        </w:rPr>
        <w:t>2</w:t>
      </w:r>
      <w:r w:rsidR="007B7416"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end"/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5526"/>
      </w:tblGrid>
      <w:tr w:rsidR="007B7416" w:rsidRPr="002E2F08" w14:paraId="358B12C9" w14:textId="77777777" w:rsidTr="00E54143">
        <w:trPr>
          <w:trHeight w:val="340"/>
        </w:trPr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ED0F6D5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Bias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9A2EE8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Authors’ judgement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30658D7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Support for judgement</w:t>
            </w:r>
          </w:p>
        </w:tc>
      </w:tr>
      <w:tr w:rsidR="007B7416" w:rsidRPr="002E2F08" w14:paraId="3D3B10D0" w14:textId="77777777" w:rsidTr="00B514FF">
        <w:trPr>
          <w:trHeight w:val="26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335C8B54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Selection bias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059D4FC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114C7542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>ninety-six youth completed the pre-survey</w:t>
            </w:r>
          </w:p>
        </w:tc>
      </w:tr>
      <w:tr w:rsidR="007B7416" w:rsidRPr="002E2F08" w14:paraId="5CCECF1D" w14:textId="77777777" w:rsidTr="00B514FF">
        <w:trPr>
          <w:trHeight w:val="68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1E00C760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Study design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EED6254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13E1E9B0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>case-control study</w:t>
            </w:r>
          </w:p>
        </w:tc>
      </w:tr>
      <w:tr w:rsidR="007B7416" w:rsidRPr="002E2F08" w14:paraId="1BEA6C0C" w14:textId="77777777" w:rsidTr="00B514FF">
        <w:trPr>
          <w:trHeight w:val="28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04EC84FF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Confounders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0B6EEFA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4FA931D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>Control of confounders was not described</w:t>
            </w:r>
          </w:p>
        </w:tc>
      </w:tr>
      <w:tr w:rsidR="007B7416" w:rsidRPr="002E2F08" w14:paraId="3DD44A17" w14:textId="77777777" w:rsidTr="00B514FF">
        <w:trPr>
          <w:trHeight w:val="28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0B3FC34A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Blinding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833A78B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60AF3D6C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 </w:t>
            </w: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Blinding of teachers and students not possible.</w:t>
            </w:r>
            <w:r w:rsidRPr="002E2F08">
              <w:rPr>
                <w:rFonts w:ascii="Times New Roman" w:hAnsi="Times New Roman" w:cs="Times New Roman"/>
                <w:color w:val="00B050"/>
                <w:lang w:val="en-GB"/>
              </w:rPr>
              <w:t xml:space="preserve"> </w:t>
            </w:r>
          </w:p>
        </w:tc>
      </w:tr>
      <w:tr w:rsidR="007B7416" w:rsidRPr="002E2F08" w14:paraId="194E4EE0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142B1B17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Data collection methods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4BB06D0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26014204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 xml:space="preserve">data collection tools were not shown to be valid. </w:t>
            </w:r>
          </w:p>
        </w:tc>
      </w:tr>
      <w:tr w:rsidR="007B7416" w:rsidRPr="002E2F08" w14:paraId="2B2205FD" w14:textId="77777777" w:rsidTr="00B514FF">
        <w:trPr>
          <w:trHeight w:val="52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6C349C6C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Withdrawals and drop-outs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961CC27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77E1C3D0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 </w:t>
            </w: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>69% completed the post-survey</w:t>
            </w:r>
          </w:p>
        </w:tc>
      </w:tr>
      <w:tr w:rsidR="007B7416" w:rsidRPr="002E2F08" w14:paraId="445239FC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34C8577" w14:textId="182EC3FF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Global rating for this </w:t>
            </w:r>
            <w:r w:rsidR="00F63499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paper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9A8F5CE" w14:textId="77777777" w:rsidR="007B7416" w:rsidRPr="002E2F08" w:rsidRDefault="007B7416" w:rsidP="00E54143">
            <w:pPr>
              <w:rPr>
                <w:rFonts w:ascii="Times New Roman" w:hAnsi="Times New Roman" w:cs="Times New Roman"/>
                <w:color w:val="00B050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21EAB5EE" w14:textId="77777777" w:rsidR="007B7416" w:rsidRPr="002E2F08" w:rsidRDefault="007B7416" w:rsidP="00E54143">
            <w:pPr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>It has two weak</w:t>
            </w:r>
          </w:p>
        </w:tc>
      </w:tr>
      <w:tr w:rsidR="007B7416" w:rsidRPr="002E2F08" w14:paraId="20A1D4D8" w14:textId="77777777" w:rsidTr="003C789F">
        <w:trPr>
          <w:trHeight w:val="28"/>
        </w:trPr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187602D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Overall assessment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159D7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A606F7D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lang w:val="en-GB"/>
              </w:rPr>
            </w:pPr>
          </w:p>
        </w:tc>
      </w:tr>
    </w:tbl>
    <w:p w14:paraId="4A6C933A" w14:textId="77777777" w:rsidR="003C789F" w:rsidRDefault="003C789F" w:rsidP="007B74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</w:pPr>
    </w:p>
    <w:p w14:paraId="3741918E" w14:textId="0F1827AD" w:rsidR="007B7416" w:rsidRPr="002E2F08" w:rsidRDefault="007B7416" w:rsidP="007B74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t xml:space="preserve">Block et al, 2012 </w:t>
      </w: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fldChar w:fldCharType="begin"/>
      </w:r>
      <w:r w:rsidR="00EC154B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instrText xml:space="preserve"> ADDIN EN.CITE &lt;EndNote&gt;&lt;Cite&gt;&lt;Author&gt;Block&lt;/Author&gt;&lt;Year&gt;2012&lt;/Year&gt;&lt;RecNum&gt;26&lt;/RecNum&gt;&lt;DisplayText&gt;&lt;style face="superscript"&gt;3&lt;/style&gt;&lt;/DisplayText&gt;&lt;record&gt;&lt;rec-number&gt;26&lt;/rec-number&gt;&lt;foreign-keys&gt;&lt;key app="EN" db-id="9wxsrdav5ezx02edpduvear6sdreax05tdw0" timestamp="1612803670"&gt;26&lt;/key&gt;&lt;/foreign-keys&gt;&lt;ref-type name="Journal Article"&gt;17&lt;/ref-type&gt;&lt;contributors&gt;&lt;authors&gt;&lt;author&gt;Block, Karen&lt;/author&gt;&lt;author&gt;Gibbs, Lisa&lt;/author&gt;&lt;author&gt;Staiger, Petra K&lt;/author&gt;&lt;author&gt;Gold, Lisa&lt;/author&gt;&lt;author&gt;Johnson, Britt&lt;/author&gt;&lt;author&gt;Macfarlane, Susie&lt;/author&gt;&lt;author&gt;Long, Caroline&lt;/author&gt;&lt;author&gt;Townsend, Mardie&lt;/author&gt;&lt;/authors&gt;&lt;/contributors&gt;&lt;titles&gt;&lt;title&gt;Growing community: the impact of the Stephanie Alexander Kitchen Garden Program on the social and learning environment in primary schools&lt;/title&gt;&lt;secondary-title&gt;Health Education &amp;amp; Behavior&lt;/secondary-title&gt;&lt;/titles&gt;&lt;periodical&gt;&lt;full-title&gt;Health Education &amp;amp; Behavior&lt;/full-title&gt;&lt;/periodical&gt;&lt;pages&gt;419-432&lt;/pages&gt;&lt;volume&gt;39&lt;/volume&gt;&lt;number&gt;4&lt;/number&gt;&lt;dates&gt;&lt;year&gt;2012&lt;/year&gt;&lt;/dates&gt;&lt;isbn&gt;1090-1981&lt;/isbn&gt;&lt;urls&gt;&lt;/urls&gt;&lt;electronic-resource-num&gt;http://dx.doi.org/10.1177/1090198111422937&lt;/electronic-resource-num&gt;&lt;/record&gt;&lt;/Cite&gt;&lt;/EndNote&gt;</w:instrText>
      </w: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fldChar w:fldCharType="separate"/>
      </w:r>
      <w:r w:rsidR="00EC154B" w:rsidRPr="00EC154B">
        <w:rPr>
          <w:rFonts w:ascii="Times New Roman" w:eastAsiaTheme="minorHAnsi" w:hAnsi="Times New Roman" w:cs="Times New Roman"/>
          <w:b/>
          <w:bCs/>
          <w:noProof/>
          <w:color w:val="0D0D0D" w:themeColor="text1" w:themeTint="F2"/>
          <w:sz w:val="20"/>
          <w:szCs w:val="20"/>
          <w:vertAlign w:val="superscript"/>
          <w:lang w:bidi="fa-IR"/>
        </w:rPr>
        <w:t>3</w:t>
      </w: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fldChar w:fldCharType="end"/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5526"/>
      </w:tblGrid>
      <w:tr w:rsidR="007B7416" w:rsidRPr="002E2F08" w14:paraId="1A0B6B3A" w14:textId="77777777" w:rsidTr="00E54143">
        <w:trPr>
          <w:trHeight w:val="340"/>
        </w:trPr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D56AC4C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Bias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1C91A9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Authors’ judgement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00CE71F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Support for judgement</w:t>
            </w:r>
          </w:p>
        </w:tc>
      </w:tr>
      <w:tr w:rsidR="007B7416" w:rsidRPr="002E2F08" w14:paraId="1F030276" w14:textId="77777777" w:rsidTr="003C789F">
        <w:trPr>
          <w:trHeight w:val="64"/>
        </w:trPr>
        <w:tc>
          <w:tcPr>
            <w:tcW w:w="2410" w:type="dxa"/>
            <w:tcBorders>
              <w:left w:val="nil"/>
              <w:right w:val="single" w:sz="12" w:space="0" w:color="auto"/>
            </w:tcBorders>
            <w:vAlign w:val="center"/>
          </w:tcPr>
          <w:p w14:paraId="431D572D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Selection bias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A641A6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20315127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Percentage of selected individuals agreed to participate is more than 80%.</w:t>
            </w:r>
          </w:p>
        </w:tc>
      </w:tr>
      <w:tr w:rsidR="007B7416" w:rsidRPr="002E2F08" w14:paraId="6739E5BE" w14:textId="77777777" w:rsidTr="003C789F">
        <w:trPr>
          <w:trHeight w:val="44"/>
        </w:trPr>
        <w:tc>
          <w:tcPr>
            <w:tcW w:w="2410" w:type="dxa"/>
            <w:tcBorders>
              <w:left w:val="nil"/>
              <w:right w:val="single" w:sz="12" w:space="0" w:color="auto"/>
            </w:tcBorders>
            <w:vAlign w:val="center"/>
          </w:tcPr>
          <w:p w14:paraId="518232AC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Study design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EC71B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1F890963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 is a randomised controlled study</w:t>
            </w:r>
          </w:p>
        </w:tc>
      </w:tr>
      <w:tr w:rsidR="007B7416" w:rsidRPr="002E2F08" w14:paraId="549AF3B5" w14:textId="77777777" w:rsidTr="003C789F">
        <w:trPr>
          <w:trHeight w:val="28"/>
        </w:trPr>
        <w:tc>
          <w:tcPr>
            <w:tcW w:w="2410" w:type="dxa"/>
            <w:tcBorders>
              <w:left w:val="nil"/>
              <w:right w:val="single" w:sz="12" w:space="0" w:color="auto"/>
            </w:tcBorders>
            <w:vAlign w:val="center"/>
          </w:tcPr>
          <w:p w14:paraId="332F8E81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Confounders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7AB498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786EFADD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Adjustment for baseline and clustering somewhat (&lt;80%) was done.</w:t>
            </w:r>
          </w:p>
        </w:tc>
      </w:tr>
      <w:tr w:rsidR="007B7416" w:rsidRPr="002E2F08" w14:paraId="3351BD06" w14:textId="77777777" w:rsidTr="00B514FF">
        <w:trPr>
          <w:trHeight w:val="197"/>
        </w:trPr>
        <w:tc>
          <w:tcPr>
            <w:tcW w:w="2410" w:type="dxa"/>
            <w:tcBorders>
              <w:left w:val="nil"/>
              <w:right w:val="single" w:sz="12" w:space="0" w:color="auto"/>
            </w:tcBorders>
            <w:vAlign w:val="center"/>
          </w:tcPr>
          <w:p w14:paraId="578457AB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Blinding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43110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67AE28C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Blinding of teachers and students not possible.</w:t>
            </w:r>
            <w:r w:rsidRPr="002E2F08">
              <w:rPr>
                <w:rFonts w:ascii="Times New Roman" w:hAnsi="Times New Roman" w:cs="Times New Roman"/>
                <w:color w:val="00B050"/>
                <w:lang w:val="en-GB"/>
              </w:rPr>
              <w:t xml:space="preserve"> </w:t>
            </w:r>
          </w:p>
        </w:tc>
      </w:tr>
      <w:tr w:rsidR="007B7416" w:rsidRPr="002E2F08" w14:paraId="4A946E31" w14:textId="77777777" w:rsidTr="003C789F">
        <w:trPr>
          <w:trHeight w:val="35"/>
        </w:trPr>
        <w:tc>
          <w:tcPr>
            <w:tcW w:w="2410" w:type="dxa"/>
            <w:tcBorders>
              <w:left w:val="nil"/>
              <w:right w:val="single" w:sz="12" w:space="0" w:color="auto"/>
            </w:tcBorders>
            <w:vAlign w:val="center"/>
          </w:tcPr>
          <w:p w14:paraId="61CD5071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Data collection methods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3E0E9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702806A9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They didn't state that data collection tools were shown to be valid or not.</w:t>
            </w:r>
          </w:p>
        </w:tc>
      </w:tr>
      <w:tr w:rsidR="007B7416" w:rsidRPr="002E2F08" w14:paraId="669CC709" w14:textId="77777777" w:rsidTr="00B514FF">
        <w:trPr>
          <w:trHeight w:val="140"/>
        </w:trPr>
        <w:tc>
          <w:tcPr>
            <w:tcW w:w="2410" w:type="dxa"/>
            <w:tcBorders>
              <w:left w:val="nil"/>
              <w:right w:val="single" w:sz="12" w:space="0" w:color="auto"/>
            </w:tcBorders>
            <w:vAlign w:val="center"/>
          </w:tcPr>
          <w:p w14:paraId="3B541DC0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lastRenderedPageBreak/>
              <w:t>Withdrawals and drop-outs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62153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proofErr w:type="spellStart"/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modertate</w:t>
            </w:r>
            <w:proofErr w:type="spellEnd"/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77392712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follow-up rate was 60 – 79%.</w:t>
            </w:r>
          </w:p>
        </w:tc>
      </w:tr>
      <w:tr w:rsidR="007B7416" w:rsidRPr="002E2F08" w14:paraId="11FDE003" w14:textId="77777777" w:rsidTr="00B514FF">
        <w:trPr>
          <w:trHeight w:val="328"/>
        </w:trPr>
        <w:tc>
          <w:tcPr>
            <w:tcW w:w="2410" w:type="dxa"/>
            <w:tcBorders>
              <w:left w:val="nil"/>
              <w:right w:val="single" w:sz="12" w:space="0" w:color="auto"/>
            </w:tcBorders>
            <w:vAlign w:val="center"/>
          </w:tcPr>
          <w:p w14:paraId="278C9AE2" w14:textId="0ACF292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Global rating for this </w:t>
            </w:r>
            <w:r w:rsidR="00F63499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paper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1E982E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modertate</w:t>
            </w:r>
            <w:proofErr w:type="spellEnd"/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28C112E0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There is one weak.</w:t>
            </w:r>
          </w:p>
        </w:tc>
      </w:tr>
      <w:tr w:rsidR="007B7416" w:rsidRPr="002E2F08" w14:paraId="14E48C2D" w14:textId="77777777" w:rsidTr="00E54143">
        <w:trPr>
          <w:trHeight w:val="275"/>
        </w:trPr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879540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Overall assessment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5A101" w14:textId="77777777" w:rsidR="007B7416" w:rsidRPr="002E2F08" w:rsidRDefault="007B7416" w:rsidP="00E54143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  <w:proofErr w:type="spellStart"/>
            <w:r w:rsidRPr="002E2F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modertate</w:t>
            </w:r>
            <w:proofErr w:type="spellEnd"/>
          </w:p>
        </w:tc>
        <w:tc>
          <w:tcPr>
            <w:tcW w:w="552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2AE544B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</w:p>
        </w:tc>
      </w:tr>
    </w:tbl>
    <w:p w14:paraId="75FBF386" w14:textId="77777777" w:rsidR="00612B5E" w:rsidRDefault="00612B5E" w:rsidP="002E2F08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5249132F" w14:textId="63A58EDF" w:rsidR="004467A9" w:rsidRPr="002E2F08" w:rsidRDefault="00A12FA7" w:rsidP="002E2F08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t xml:space="preserve">Cunningham-Sabo et al, 2014, 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begin"/>
      </w:r>
      <w:r w:rsidR="00EC154B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instrText xml:space="preserve"> ADDIN EN.CITE &lt;EndNote&gt;&lt;Cite&gt;&lt;Author&gt;Cunningham-Sabo&lt;/Author&gt;&lt;Year&gt;2014&lt;/Year&gt;&lt;RecNum&gt;37&lt;/RecNum&gt;&lt;DisplayText&gt;&lt;style face="superscript"&gt;4&lt;/style&gt;&lt;/DisplayText&gt;&lt;record&gt;&lt;rec-number&gt;37&lt;/rec-number&gt;&lt;foreign-keys&gt;&lt;key app="EN" db-id="9wxsrdav5ezx02edpduvear6sdreax05tdw0" timestamp="1612803693"&gt;37&lt;/key&gt;&lt;/foreign-keys&gt;&lt;ref-type name="Journal Article"&gt;17&lt;/ref-type&gt;&lt;contributors&gt;&lt;authors&gt;&lt;author&gt;Cunningham-Sabo, Leslie&lt;/author&gt;&lt;author&gt;Lohse, Barbara&lt;/author&gt;&lt;/authors&gt;&lt;/contributors&gt;&lt;titles&gt;&lt;title&gt;Impact of a school-based cooking curriculum for fourth-grade students on attitudes and behaviors is influenced by gender and prior cooking experience&lt;/title&gt;&lt;secondary-title&gt;Journal of nutrition education and behavior&lt;/secondary-title&gt;&lt;/titles&gt;&lt;periodical&gt;&lt;full-title&gt;Journal of nutrition education and behavior&lt;/full-title&gt;&lt;/periodical&gt;&lt;pages&gt;110-120&lt;/pages&gt;&lt;volume&gt;46&lt;/volume&gt;&lt;number&gt;2&lt;/number&gt;&lt;dates&gt;&lt;year&gt;2014&lt;/year&gt;&lt;/dates&gt;&lt;isbn&gt;1499-4046&lt;/isbn&gt;&lt;urls&gt;&lt;/urls&gt;&lt;/record&gt;&lt;/Cite&gt;&lt;/EndNote&gt;</w:instrTex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separate"/>
      </w:r>
      <w:r w:rsidR="00EC154B" w:rsidRPr="00EC154B">
        <w:rPr>
          <w:rFonts w:ascii="Times New Roman" w:eastAsiaTheme="minorHAnsi" w:hAnsi="Times New Roman" w:cs="Times New Roman"/>
          <w:b/>
          <w:bCs/>
          <w:noProof/>
          <w:sz w:val="20"/>
          <w:szCs w:val="20"/>
          <w:vertAlign w:val="superscript"/>
          <w:lang w:bidi="fa-IR"/>
        </w:rPr>
        <w:t>4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end"/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5526"/>
      </w:tblGrid>
      <w:tr w:rsidR="00A12FA7" w:rsidRPr="002E2F08" w14:paraId="0CB20A50" w14:textId="77777777" w:rsidTr="00DD0EB0">
        <w:trPr>
          <w:trHeight w:val="340"/>
        </w:trPr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F645ACA" w14:textId="77777777" w:rsidR="00A12FA7" w:rsidRPr="002E2F08" w:rsidRDefault="00A12FA7" w:rsidP="00DD0EB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Bias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FBDE55" w14:textId="77777777" w:rsidR="00A12FA7" w:rsidRPr="002E2F08" w:rsidRDefault="00A12FA7" w:rsidP="00DD0EB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Authors’ judgement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48D52E6" w14:textId="77777777" w:rsidR="00A12FA7" w:rsidRPr="002E2F08" w:rsidRDefault="00A12FA7" w:rsidP="00DD0EB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Support for judgement</w:t>
            </w:r>
          </w:p>
        </w:tc>
      </w:tr>
      <w:tr w:rsidR="00A12FA7" w:rsidRPr="002E2F08" w14:paraId="56A27F06" w14:textId="77777777" w:rsidTr="00DD0EB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254260DA" w14:textId="77777777" w:rsidR="00A12FA7" w:rsidRPr="002E2F08" w:rsidRDefault="00A12FA7" w:rsidP="00DD0EB0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Selection bias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E8A511A" w14:textId="77777777" w:rsidR="00A12FA7" w:rsidRPr="002E2F08" w:rsidRDefault="00A12FA7" w:rsidP="00DD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1B563E58" w14:textId="77777777" w:rsidR="00A12FA7" w:rsidRPr="002E2F08" w:rsidRDefault="004E5219" w:rsidP="004E5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 xml:space="preserve">Participants were predominantly lowincome and Hispanic, which limited the generalization of findings to other 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populations</w:t>
            </w:r>
          </w:p>
        </w:tc>
      </w:tr>
      <w:tr w:rsidR="00A12FA7" w:rsidRPr="002E2F08" w14:paraId="3F8B8D0A" w14:textId="77777777" w:rsidTr="00DD0EB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32EFE6D7" w14:textId="77777777" w:rsidR="00A12FA7" w:rsidRPr="002E2F08" w:rsidRDefault="00A12FA7" w:rsidP="00DD0EB0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Study design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877A1E5" w14:textId="77777777" w:rsidR="00A12FA7" w:rsidRPr="002E2F08" w:rsidRDefault="00416148" w:rsidP="00DD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608A9539" w14:textId="77777777" w:rsidR="00A12FA7" w:rsidRPr="002E2F08" w:rsidRDefault="004E5219" w:rsidP="00B03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Pre–post, quasi-experimental, 2 cohorts</w:t>
            </w:r>
            <w:r w:rsidR="00B03B10"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&amp;</w:t>
            </w:r>
            <w:r w:rsidR="00B03B10" w:rsidRPr="002E2F08">
              <w:rPr>
                <w:rFonts w:ascii="AdvOTf8f9f135" w:hAnsi="AdvOTf8f9f135" w:cs="AdvOTf8f9f135"/>
                <w:sz w:val="18"/>
                <w:szCs w:val="18"/>
                <w:lang w:bidi="fa-IR"/>
              </w:rPr>
              <w:t xml:space="preserve">  </w:t>
            </w:r>
            <w:r w:rsidR="00B03B10" w:rsidRPr="002E2F08">
              <w:rPr>
                <w:rFonts w:ascii="Times New Roman" w:hAnsi="Times New Roman" w:cs="Times New Roman"/>
                <w:sz w:val="20"/>
                <w:szCs w:val="20"/>
              </w:rPr>
              <w:t>nonrandomized</w:t>
            </w:r>
            <w:r w:rsidR="00B03B10"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3B10"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assignmen</w:t>
            </w:r>
            <w:proofErr w:type="spellEnd"/>
            <w:r w:rsidR="00B03B10"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D0EB0" w:rsidRPr="002E2F08" w14:paraId="524BCAE5" w14:textId="77777777" w:rsidTr="00DD0EB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67AE9099" w14:textId="77777777" w:rsidR="00DD0EB0" w:rsidRPr="002E2F08" w:rsidRDefault="00DD0EB0" w:rsidP="00DD0EB0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Confounders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EEE20DD" w14:textId="77777777" w:rsidR="00DD0EB0" w:rsidRPr="002E2F08" w:rsidRDefault="00416148"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06F8B9E" w14:textId="77777777" w:rsidR="00DD0EB0" w:rsidRPr="002E2F08" w:rsidRDefault="00CB1726" w:rsidP="00CB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was no difference at baseline and post-intervention based on the SES demographic factors</w:t>
            </w:r>
          </w:p>
        </w:tc>
      </w:tr>
      <w:tr w:rsidR="00DD0EB0" w:rsidRPr="002E2F08" w14:paraId="6B82EE86" w14:textId="77777777" w:rsidTr="00B514FF">
        <w:trPr>
          <w:trHeight w:val="258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40B38A42" w14:textId="77777777" w:rsidR="00DD0EB0" w:rsidRPr="002E2F08" w:rsidRDefault="00DD0EB0" w:rsidP="00DD0EB0">
            <w:pPr>
              <w:pStyle w:val="NoSpacing"/>
              <w:rPr>
                <w:rFonts w:ascii="Times New Roman" w:eastAsia="Calibri Light" w:hAnsi="Times New Roman" w:cs="Times New Roman"/>
                <w:b/>
                <w:color w:val="00B050"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Blinding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2CBEDD4" w14:textId="77777777" w:rsidR="00DD0EB0" w:rsidRPr="002E2F08" w:rsidRDefault="00DD0EB0"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246FAE6A" w14:textId="77777777" w:rsidR="00DD0EB0" w:rsidRPr="002E2F08" w:rsidRDefault="00526746" w:rsidP="00853AF6">
            <w:pPr>
              <w:pStyle w:val="NoSpacing"/>
              <w:jc w:val="lowKashida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Blinding</w:t>
            </w:r>
            <w:r w:rsidR="00853AF6"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researchers and students not possible.</w:t>
            </w:r>
          </w:p>
        </w:tc>
      </w:tr>
      <w:tr w:rsidR="00A12FA7" w:rsidRPr="002E2F08" w14:paraId="01997A70" w14:textId="77777777" w:rsidTr="00DD0EB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1905789A" w14:textId="77777777" w:rsidR="00A12FA7" w:rsidRPr="002E2F08" w:rsidRDefault="00A12FA7" w:rsidP="00DD0EB0">
            <w:pPr>
              <w:pStyle w:val="NoSpacing"/>
              <w:rPr>
                <w:rFonts w:ascii="Times New Roman" w:eastAsia="Calibri Light" w:hAnsi="Times New Roman" w:cs="Times New Roman"/>
                <w:b/>
                <w:color w:val="00B050"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Data collection methods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1F07168" w14:textId="77777777" w:rsidR="00A12FA7" w:rsidRPr="002E2F08" w:rsidRDefault="00962781" w:rsidP="00DD0EB0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03B64DF" w14:textId="77777777" w:rsidR="00A12FA7" w:rsidRPr="002E2F08" w:rsidRDefault="00A12FA7" w:rsidP="00962781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both reliability and validity of checklist for data collection were described</w:t>
            </w:r>
          </w:p>
        </w:tc>
      </w:tr>
      <w:tr w:rsidR="00A12FA7" w:rsidRPr="002E2F08" w14:paraId="2A76F7CB" w14:textId="77777777" w:rsidTr="00B514FF">
        <w:trPr>
          <w:trHeight w:val="6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77FAC05E" w14:textId="77777777" w:rsidR="00A12FA7" w:rsidRPr="002E2F08" w:rsidRDefault="00A12FA7" w:rsidP="00DD0EB0">
            <w:pPr>
              <w:pStyle w:val="NoSpacing"/>
              <w:rPr>
                <w:rFonts w:ascii="Times New Roman" w:eastAsia="Calibri Light" w:hAnsi="Times New Roman" w:cs="Times New Roman"/>
                <w:b/>
                <w:color w:val="00B050"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Withdrawals and drop-outs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9B2D41C" w14:textId="77777777" w:rsidR="00A12FA7" w:rsidRPr="002E2F08" w:rsidRDefault="00A12FA7" w:rsidP="00DD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moderate 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C8020CC" w14:textId="77777777" w:rsidR="00A12FA7" w:rsidRPr="002E2F08" w:rsidRDefault="00CD49A5" w:rsidP="00CD49A5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follow-up rate was  69.9%</w:t>
            </w:r>
          </w:p>
        </w:tc>
      </w:tr>
      <w:tr w:rsidR="00A12FA7" w:rsidRPr="002E2F08" w14:paraId="7A3186D2" w14:textId="77777777" w:rsidTr="00B514FF">
        <w:trPr>
          <w:trHeight w:val="264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310CFDBD" w14:textId="3422F620" w:rsidR="00A12FA7" w:rsidRPr="002E2F08" w:rsidRDefault="00A12FA7" w:rsidP="00DD0EB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Global rating for this </w:t>
            </w:r>
            <w:r w:rsidR="00F63499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paper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A6F1114" w14:textId="77777777" w:rsidR="00A12FA7" w:rsidRPr="002E2F08" w:rsidRDefault="00DD0EB0" w:rsidP="00DD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71EF08CD" w14:textId="77777777" w:rsidR="00A12FA7" w:rsidRPr="002E2F08" w:rsidRDefault="00A12FA7" w:rsidP="00DD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there is </w:t>
            </w:r>
            <w:r w:rsidR="00DD0EB0"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one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weak</w:t>
            </w:r>
          </w:p>
        </w:tc>
      </w:tr>
      <w:tr w:rsidR="00A12FA7" w:rsidRPr="002E2F08" w14:paraId="04BAE2EF" w14:textId="77777777" w:rsidTr="00DD0EB0">
        <w:trPr>
          <w:trHeight w:val="340"/>
        </w:trPr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90E2B49" w14:textId="77777777" w:rsidR="00A12FA7" w:rsidRPr="002E2F08" w:rsidRDefault="00A12FA7" w:rsidP="00DD0EB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Overall assessment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F793F" w14:textId="77777777" w:rsidR="00A12FA7" w:rsidRPr="002E2F08" w:rsidRDefault="00DD0EB0" w:rsidP="00DD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3FB24AC" w14:textId="77777777" w:rsidR="00A12FA7" w:rsidRPr="002E2F08" w:rsidRDefault="00A12FA7" w:rsidP="00DD0EB0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lang w:val="en-GB"/>
              </w:rPr>
            </w:pPr>
          </w:p>
        </w:tc>
      </w:tr>
    </w:tbl>
    <w:p w14:paraId="10A09576" w14:textId="77777777" w:rsidR="00A12FA7" w:rsidRPr="002E2F08" w:rsidRDefault="00A12FA7" w:rsidP="00F31754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</w:pPr>
    </w:p>
    <w:p w14:paraId="7B9290E7" w14:textId="394CD886" w:rsidR="004467A9" w:rsidRPr="002E2F08" w:rsidRDefault="00EE2166" w:rsidP="002E2F08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</w:pPr>
      <w:proofErr w:type="spellStart"/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t>Gavaravarapu</w:t>
      </w:r>
      <w:proofErr w:type="spellEnd"/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t xml:space="preserve">  et al, 2016 </w:t>
      </w: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fldChar w:fldCharType="begin"/>
      </w:r>
      <w:r w:rsidR="00EC154B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instrText xml:space="preserve"> ADDIN EN.CITE &lt;EndNote&gt;&lt;Cite&gt;&lt;Author&gt;Gavaravarapu&lt;/Author&gt;&lt;Year&gt;2016&lt;/Year&gt;&lt;RecNum&gt;23&lt;/RecNum&gt;&lt;DisplayText&gt;&lt;style face="superscript"&gt;5&lt;/style&gt;&lt;/DisplayText&gt;&lt;record&gt;&lt;rec-number&gt;23&lt;/rec-number&gt;&lt;foreign-keys&gt;&lt;key app="EN" db-id="9wxsrdav5ezx02edpduvear6sdreax05tdw0" timestamp="1612803664"&gt;23&lt;/key&gt;&lt;/foreign-keys&gt;&lt;ref-type name="Journal Article"&gt;17&lt;/ref-type&gt;&lt;contributors&gt;&lt;authors&gt;&lt;author&gt;Gavaravarapu, SubbaRao M&lt;/author&gt;&lt;author&gt;Saha, Snehasree&lt;/author&gt;&lt;author&gt;Vemula, Sudershan R&lt;/author&gt;&lt;author&gt;Mendu, Vishnu Vardhana Rao&lt;/author&gt;&lt;/authors&gt;&lt;/contributors&gt;&lt;titles&gt;&lt;title&gt;Read-B4-U-Eat: A multicomponent communication module to promote food label reading skills among adolescents in India&lt;/title&gt;&lt;secondary-title&gt;Journal of nutrition education and behavior&lt;/secondary-title&gt;&lt;/titles&gt;&lt;periodical&gt;&lt;full-title&gt;Journal of nutrition education and behavior&lt;/full-title&gt;&lt;/periodical&gt;&lt;pages&gt;586-589. e1&lt;/pages&gt;&lt;volume&gt;48&lt;/volume&gt;&lt;number&gt;8&lt;/number&gt;&lt;dates&gt;&lt;year&gt;2016&lt;/year&gt;&lt;/dates&gt;&lt;isbn&gt;1499-4046&lt;/isbn&gt;&lt;urls&gt;&lt;/urls&gt;&lt;/record&gt;&lt;/Cite&gt;&lt;/EndNote&gt;</w:instrText>
      </w: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fldChar w:fldCharType="separate"/>
      </w:r>
      <w:r w:rsidR="00EC154B" w:rsidRPr="00EC154B">
        <w:rPr>
          <w:rFonts w:ascii="Times New Roman" w:eastAsiaTheme="minorHAnsi" w:hAnsi="Times New Roman" w:cs="Times New Roman"/>
          <w:b/>
          <w:bCs/>
          <w:noProof/>
          <w:color w:val="0D0D0D" w:themeColor="text1" w:themeTint="F2"/>
          <w:sz w:val="20"/>
          <w:szCs w:val="20"/>
          <w:vertAlign w:val="superscript"/>
          <w:lang w:bidi="fa-IR"/>
        </w:rPr>
        <w:t>5</w:t>
      </w: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fldChar w:fldCharType="end"/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5526"/>
      </w:tblGrid>
      <w:tr w:rsidR="00EE2166" w:rsidRPr="002E2F08" w14:paraId="5894956E" w14:textId="77777777" w:rsidTr="00B414F0">
        <w:trPr>
          <w:trHeight w:val="340"/>
        </w:trPr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4A549EC" w14:textId="77777777" w:rsidR="00EE2166" w:rsidRPr="002E2F08" w:rsidRDefault="00EE2166" w:rsidP="00B414F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Bias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119CF3" w14:textId="77777777" w:rsidR="00EE2166" w:rsidRPr="002E2F08" w:rsidRDefault="00EE2166" w:rsidP="00B414F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Authors’ judgement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2BF1BA6" w14:textId="77777777" w:rsidR="00EE2166" w:rsidRPr="002E2F08" w:rsidRDefault="00EE2166" w:rsidP="00B414F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Support for judgement</w:t>
            </w:r>
          </w:p>
        </w:tc>
      </w:tr>
      <w:tr w:rsidR="00EE2166" w:rsidRPr="002E2F08" w14:paraId="22F0216C" w14:textId="77777777" w:rsidTr="00B514FF">
        <w:trPr>
          <w:trHeight w:val="208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7358CE7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Selection bias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C6B61FE" w14:textId="77777777" w:rsidR="00EE2166" w:rsidRPr="002E2F08" w:rsidRDefault="00D15DA5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7E9B3293" w14:textId="77777777" w:rsidR="00EE2166" w:rsidRPr="002E2F08" w:rsidRDefault="008C7089" w:rsidP="00D1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Participants were randomly selected</w:t>
            </w:r>
          </w:p>
        </w:tc>
      </w:tr>
      <w:tr w:rsidR="00EE2166" w:rsidRPr="002E2F08" w14:paraId="3EDE837B" w14:textId="77777777" w:rsidTr="00B514FF">
        <w:trPr>
          <w:trHeight w:val="172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713EF4FD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Study design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7497610" w14:textId="77777777" w:rsidR="00EE2166" w:rsidRPr="002E2F08" w:rsidRDefault="00CB1726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784309DE" w14:textId="77777777" w:rsidR="00EE2166" w:rsidRPr="002E2F08" w:rsidRDefault="00D15DA5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pre-post design</w:t>
            </w:r>
            <w:r w:rsidR="00CB1726"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without control group</w:t>
            </w:r>
          </w:p>
        </w:tc>
      </w:tr>
      <w:tr w:rsidR="00EE2166" w:rsidRPr="002E2F08" w14:paraId="68F06D88" w14:textId="77777777" w:rsidTr="00B414F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7966ED02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Confounders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C9F5212" w14:textId="77777777" w:rsidR="00EE2166" w:rsidRPr="002E2F08" w:rsidRDefault="00CB1726" w:rsidP="00B414F0"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71C6F8F" w14:textId="77777777" w:rsidR="00EE2166" w:rsidRPr="002E2F08" w:rsidRDefault="00CB1726" w:rsidP="00CB1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was no difference at baseline and post-intervention based on the SES demographic factors</w:t>
            </w:r>
          </w:p>
        </w:tc>
      </w:tr>
      <w:tr w:rsidR="00EE2166" w:rsidRPr="002E2F08" w14:paraId="25CDD0BE" w14:textId="77777777" w:rsidTr="00B514FF">
        <w:trPr>
          <w:trHeight w:val="272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6AA6D72A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Blinding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D996184" w14:textId="77777777" w:rsidR="00EE2166" w:rsidRPr="002E2F08" w:rsidRDefault="00EE2166" w:rsidP="00B414F0"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203ED714" w14:textId="77777777" w:rsidR="00EE2166" w:rsidRPr="002E2F08" w:rsidRDefault="006C64BE" w:rsidP="006C64BE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Blinding of teachers and students not possible.</w:t>
            </w:r>
          </w:p>
        </w:tc>
      </w:tr>
      <w:tr w:rsidR="00EE2166" w:rsidRPr="002E2F08" w14:paraId="3B025F93" w14:textId="77777777" w:rsidTr="00B414F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63CDBE85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Data collection methods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712E8AE" w14:textId="77777777" w:rsidR="00EE2166" w:rsidRPr="002E2F08" w:rsidRDefault="00EE2166" w:rsidP="00B414F0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5B75386C" w14:textId="77777777" w:rsidR="00EE2166" w:rsidRPr="002E2F08" w:rsidRDefault="006C64BE" w:rsidP="006C64BE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data collection tool has been shown to be valid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but 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not been shown to be reliable</w:t>
            </w:r>
          </w:p>
        </w:tc>
      </w:tr>
      <w:tr w:rsidR="00EE2166" w:rsidRPr="002E2F08" w14:paraId="31A360D5" w14:textId="77777777" w:rsidTr="00B514FF">
        <w:trPr>
          <w:trHeight w:val="216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65196A29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Withdrawals and drop-outs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B0A85FB" w14:textId="77777777" w:rsidR="00EE2166" w:rsidRPr="002E2F08" w:rsidRDefault="00EE2166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strong 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7DC2B4EA" w14:textId="77777777" w:rsidR="00EE2166" w:rsidRPr="002E2F08" w:rsidRDefault="001D5C9B" w:rsidP="00FB0D05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All of </w:t>
            </w:r>
            <w:r w:rsidR="00577181"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participants complet</w:t>
            </w:r>
            <w:r w:rsidR="00FB0D05"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study</w:t>
            </w:r>
          </w:p>
        </w:tc>
      </w:tr>
      <w:tr w:rsidR="00EE2166" w:rsidRPr="002E2F08" w14:paraId="3517359F" w14:textId="77777777" w:rsidTr="00B514FF">
        <w:trPr>
          <w:trHeight w:val="277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63C68D8A" w14:textId="58251D41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Global rating for this </w:t>
            </w:r>
            <w:r w:rsidR="00F63499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paper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330CFE2" w14:textId="77777777" w:rsidR="00EE2166" w:rsidRPr="002E2F08" w:rsidRDefault="00EE2166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12A3E865" w14:textId="77777777" w:rsidR="00EE2166" w:rsidRPr="002E2F08" w:rsidRDefault="00EE2166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there is one weak</w:t>
            </w:r>
          </w:p>
        </w:tc>
      </w:tr>
      <w:tr w:rsidR="00EE2166" w:rsidRPr="002E2F08" w14:paraId="42DE8F4D" w14:textId="77777777" w:rsidTr="00B414F0">
        <w:trPr>
          <w:trHeight w:val="340"/>
        </w:trPr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670E0D0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Overall assessment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D736A" w14:textId="77777777" w:rsidR="00EE2166" w:rsidRPr="002E2F08" w:rsidRDefault="00EE2166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8F179E8" w14:textId="77777777" w:rsidR="00EE2166" w:rsidRPr="002E2F08" w:rsidRDefault="00EE2166" w:rsidP="00B414F0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F2C4487" w14:textId="77777777" w:rsidR="00EE2166" w:rsidRPr="002E2F08" w:rsidRDefault="00EE2166" w:rsidP="00EE216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104DDACB" w14:textId="32BCF8A3" w:rsidR="00C36BD1" w:rsidRPr="002E2F08" w:rsidRDefault="00C36BD1" w:rsidP="002E2F08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t>Gold et al, 2017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begin"/>
      </w:r>
      <w:r w:rsidR="00EC154B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instrText xml:space="preserve"> ADDIN EN.CITE &lt;EndNote&gt;&lt;Cite&gt;&lt;Author&gt;Gold&lt;/Author&gt;&lt;Year&gt;2017&lt;/Year&gt;&lt;RecNum&gt;27&lt;/RecNum&gt;&lt;DisplayText&gt;&lt;style face="superscript"&gt;6&lt;/style&gt;&lt;/DisplayText&gt;&lt;record&gt;&lt;rec-number&gt;27&lt;/rec-number&gt;&lt;foreign-keys&gt;&lt;key app="EN" db-id="9wxsrdav5ezx02edpduvear6sdreax05tdw0" timestamp="1612803672"&gt;27&lt;/key&gt;&lt;/foreign-keys&gt;&lt;ref-type name="Journal Article"&gt;17&lt;/ref-type&gt;&lt;contributors&gt;&lt;authors&gt;&lt;author&gt;Gold, Abby&lt;/author&gt;&lt;author&gt;Larson, Mary&lt;/author&gt;&lt;author&gt;Tucker, Jared&lt;/author&gt;&lt;author&gt;Strang, Michelle&lt;/author&gt;&lt;/authors&gt;&lt;/contributors&gt;&lt;titles&gt;&lt;title&gt;Classroom nutrition education combined with fruit and vegetable taste testing improves children&amp;apos;s dietary intake&lt;/title&gt;&lt;secondary-title&gt;Journal of School Health&lt;/secondary-title&gt;&lt;/titles&gt;&lt;periodical&gt;&lt;full-title&gt;Journal of School Health&lt;/full-title&gt;&lt;/periodical&gt;&lt;pages&gt;106-113&lt;/pages&gt;&lt;volume&gt;87&lt;/volume&gt;&lt;number&gt;2&lt;/number&gt;&lt;dates&gt;&lt;year&gt;2017&lt;/year&gt;&lt;/dates&gt;&lt;isbn&gt;0022-4391&lt;/isbn&gt;&lt;urls&gt;&lt;/urls&gt;&lt;/record&gt;&lt;/Cite&gt;&lt;/EndNote&gt;</w:instrTex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separate"/>
      </w:r>
      <w:r w:rsidR="00EC154B" w:rsidRPr="00EC154B">
        <w:rPr>
          <w:rFonts w:ascii="Times New Roman" w:eastAsiaTheme="minorHAnsi" w:hAnsi="Times New Roman" w:cs="Times New Roman"/>
          <w:b/>
          <w:bCs/>
          <w:noProof/>
          <w:sz w:val="20"/>
          <w:szCs w:val="20"/>
          <w:vertAlign w:val="superscript"/>
          <w:lang w:bidi="fa-IR"/>
        </w:rPr>
        <w:t>6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end"/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5526"/>
      </w:tblGrid>
      <w:tr w:rsidR="00E83561" w:rsidRPr="002E2F08" w14:paraId="5F2CDDEC" w14:textId="77777777" w:rsidTr="00B414F0">
        <w:trPr>
          <w:trHeight w:val="340"/>
        </w:trPr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9548750" w14:textId="77777777" w:rsidR="00EE2166" w:rsidRPr="002E2F08" w:rsidRDefault="00EE2166" w:rsidP="00B414F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Bias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D7D5D6" w14:textId="77777777" w:rsidR="00EE2166" w:rsidRPr="002E2F08" w:rsidRDefault="00EE2166" w:rsidP="00B414F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Authors’ judgement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5336169" w14:textId="77777777" w:rsidR="00EE2166" w:rsidRPr="002E2F08" w:rsidRDefault="00EE2166" w:rsidP="00B414F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Support for judgement</w:t>
            </w:r>
          </w:p>
        </w:tc>
      </w:tr>
      <w:tr w:rsidR="00EE2166" w:rsidRPr="002E2F08" w14:paraId="220AC64F" w14:textId="77777777" w:rsidTr="00B414F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74A8C56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Selection bias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1F6A4C5" w14:textId="77777777" w:rsidR="00EE2166" w:rsidRPr="002E2F08" w:rsidRDefault="00320EF7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4E1BF820" w14:textId="77777777" w:rsidR="00EE2166" w:rsidRPr="002E2F08" w:rsidRDefault="00F9598B" w:rsidP="00D436C8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>No significant differences exist between the schools in terms of free and reducedpriced meal eligibility, access to the FFVSP, or other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demographic variables.</w:t>
            </w: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 xml:space="preserve">Since, only those schools that agreed to participate were used in the study, and thus a potential for 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selection bias </w:t>
            </w:r>
            <w:r w:rsidR="00D436C8"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may be 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exist.</w:t>
            </w:r>
            <w:r w:rsidRPr="002E2F08">
              <w:rPr>
                <w:rFonts w:ascii="Meridien-Roman" w:hAnsi="Meridien-Roman" w:cs="Meridien-Roman"/>
                <w:sz w:val="20"/>
                <w:szCs w:val="20"/>
                <w:lang w:bidi="fa-IR"/>
              </w:rPr>
              <w:t xml:space="preserve"> </w:t>
            </w:r>
          </w:p>
        </w:tc>
      </w:tr>
      <w:tr w:rsidR="00EE2166" w:rsidRPr="002E2F08" w14:paraId="5DD72364" w14:textId="77777777" w:rsidTr="00B514FF">
        <w:trPr>
          <w:trHeight w:val="17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126680A5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lastRenderedPageBreak/>
              <w:t>Study design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161F969" w14:textId="77777777" w:rsidR="00EE2166" w:rsidRPr="002E2F08" w:rsidRDefault="007531E6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26A9DEDA" w14:textId="77777777" w:rsidR="00EE2166" w:rsidRPr="002E2F08" w:rsidRDefault="00B85BCD" w:rsidP="0075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randomized control and intervention group study </w:t>
            </w:r>
          </w:p>
        </w:tc>
      </w:tr>
      <w:tr w:rsidR="00EE2166" w:rsidRPr="002E2F08" w14:paraId="6BF82296" w14:textId="77777777" w:rsidTr="00B514FF">
        <w:trPr>
          <w:trHeight w:val="276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2175A2A3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Confounders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8ED0734" w14:textId="77777777" w:rsidR="00EE2166" w:rsidRPr="002E2F08" w:rsidRDefault="0033694D" w:rsidP="0033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783A345F" w14:textId="77777777" w:rsidR="00EE2166" w:rsidRPr="002E2F08" w:rsidRDefault="00F9598B" w:rsidP="00F95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controlled for at least 80% of relevant confounders</w:t>
            </w:r>
          </w:p>
        </w:tc>
      </w:tr>
      <w:tr w:rsidR="00EE2166" w:rsidRPr="002E2F08" w14:paraId="496C1737" w14:textId="77777777" w:rsidTr="00B514FF">
        <w:trPr>
          <w:trHeight w:val="98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2953BAEC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Blinding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C36AEE7" w14:textId="77777777" w:rsidR="00EE2166" w:rsidRPr="002E2F08" w:rsidRDefault="00320EF7" w:rsidP="0033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28E08C1E" w14:textId="77777777" w:rsidR="00EE2166" w:rsidRPr="002E2F08" w:rsidRDefault="00320EF7" w:rsidP="00320EF7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Blinding of teachers and students not possible.</w:t>
            </w:r>
          </w:p>
        </w:tc>
      </w:tr>
      <w:tr w:rsidR="00EE2166" w:rsidRPr="002E2F08" w14:paraId="1577F09E" w14:textId="77777777" w:rsidTr="00B414F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2C37B49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Data collection methods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05D8559" w14:textId="77777777" w:rsidR="00EE2166" w:rsidRPr="002E2F08" w:rsidRDefault="0033694D" w:rsidP="0033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ED17B68" w14:textId="77777777" w:rsidR="00EE2166" w:rsidRPr="002E2F08" w:rsidRDefault="00B9769F" w:rsidP="00B9769F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Data collection was </w:t>
            </w:r>
            <w:proofErr w:type="spellStart"/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selfreported</w:t>
            </w:r>
            <w:proofErr w:type="spellEnd"/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the reliability of scale was not shown</w:t>
            </w:r>
          </w:p>
        </w:tc>
      </w:tr>
      <w:tr w:rsidR="00EE2166" w:rsidRPr="002E2F08" w14:paraId="2152BAF2" w14:textId="77777777" w:rsidTr="00B414F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35569AD7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Withdrawals and drop-outs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67F01D8" w14:textId="77777777" w:rsidR="00EE2166" w:rsidRPr="002E2F08" w:rsidRDefault="0033694D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6176B035" w14:textId="77777777" w:rsidR="00EE2166" w:rsidRPr="002E2F08" w:rsidRDefault="00320EF7" w:rsidP="00320EF7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662, 599 completed the baseline (pre)survey and 535 completed both the pre- and </w:t>
            </w:r>
            <w:proofErr w:type="spellStart"/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postsurveys</w:t>
            </w:r>
            <w:proofErr w:type="spellEnd"/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(89.3% retention)</w:t>
            </w:r>
          </w:p>
        </w:tc>
      </w:tr>
      <w:tr w:rsidR="00E83561" w:rsidRPr="002E2F08" w14:paraId="3FE6E66D" w14:textId="77777777" w:rsidTr="00B514FF">
        <w:trPr>
          <w:trHeight w:val="306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7DDA99A5" w14:textId="0DE1D5F1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Global rating for this </w:t>
            </w:r>
            <w:r w:rsidR="00F63499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paper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64556F0" w14:textId="77777777" w:rsidR="00EE2166" w:rsidRPr="002E2F08" w:rsidRDefault="00EE2166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6D2502BC" w14:textId="77777777" w:rsidR="00EE2166" w:rsidRPr="002E2F08" w:rsidRDefault="00EE2166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there is one weak</w:t>
            </w:r>
          </w:p>
        </w:tc>
      </w:tr>
      <w:tr w:rsidR="00EE2166" w:rsidRPr="002E2F08" w14:paraId="428BC63C" w14:textId="77777777" w:rsidTr="00B414F0">
        <w:trPr>
          <w:trHeight w:val="340"/>
        </w:trPr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822AE74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Overall assessment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B5D3A" w14:textId="77777777" w:rsidR="00EE2166" w:rsidRPr="002E2F08" w:rsidRDefault="00EE2166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E843FAE" w14:textId="77777777" w:rsidR="00EE2166" w:rsidRPr="002E2F08" w:rsidRDefault="00EE2166" w:rsidP="00B414F0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0740C557" w14:textId="77777777" w:rsidR="00EE2166" w:rsidRPr="002E2F08" w:rsidRDefault="00EE2166" w:rsidP="00EE216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5ADF5067" w14:textId="3598EAC1" w:rsidR="00335992" w:rsidRPr="002E2F08" w:rsidRDefault="00FE6133" w:rsidP="002E2F08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t xml:space="preserve">Hawthorne et al, 2006 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begin"/>
      </w:r>
      <w:r w:rsidR="00EC154B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instrText xml:space="preserve"> ADDIN EN.CITE &lt;EndNote&gt;&lt;Cite&gt;&lt;Author&gt;Hawthorne&lt;/Author&gt;&lt;Year&gt;2006&lt;/Year&gt;&lt;RecNum&gt;34&lt;/RecNum&gt;&lt;DisplayText&gt;&lt;style face="superscript"&gt;7&lt;/style&gt;&lt;/DisplayText&gt;&lt;record&gt;&lt;rec-number&gt;34&lt;/rec-number&gt;&lt;foreign-keys&gt;&lt;key app="EN" db-id="9wxsrdav5ezx02edpduvear6sdreax05tdw0" timestamp="1612803687"&gt;34&lt;/key&gt;&lt;/foreign-keys&gt;&lt;ref-type name="Journal Article"&gt;17&lt;/ref-type&gt;&lt;contributors&gt;&lt;authors&gt;&lt;author&gt;Hawthorne, Keli M&lt;/author&gt;&lt;author&gt;Moreland, Karen&lt;/author&gt;&lt;author&gt;Griffin, Ian J&lt;/author&gt;&lt;author&gt;Abrams, Steven A&lt;/author&gt;&lt;/authors&gt;&lt;/contributors&gt;&lt;titles&gt;&lt;title&gt;An educational program enhances food label understanding of young adolescents&lt;/title&gt;&lt;secondary-title&gt;Journal of the American Dietetic Association&lt;/secondary-title&gt;&lt;/titles&gt;&lt;periodical&gt;&lt;full-title&gt;Journal of the American Dietetic Association&lt;/full-title&gt;&lt;/periodical&gt;&lt;pages&gt;913-916&lt;/pages&gt;&lt;volume&gt;106&lt;/volume&gt;&lt;number&gt;6&lt;/number&gt;&lt;dates&gt;&lt;year&gt;2006&lt;/year&gt;&lt;/dates&gt;&lt;isbn&gt;0002-8223&lt;/isbn&gt;&lt;urls&gt;&lt;/urls&gt;&lt;/record&gt;&lt;/Cite&gt;&lt;/EndNote&gt;</w:instrTex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separate"/>
      </w:r>
      <w:r w:rsidR="00EC154B" w:rsidRPr="00EC154B">
        <w:rPr>
          <w:rFonts w:ascii="Times New Roman" w:eastAsiaTheme="minorHAnsi" w:hAnsi="Times New Roman" w:cs="Times New Roman"/>
          <w:b/>
          <w:bCs/>
          <w:noProof/>
          <w:sz w:val="20"/>
          <w:szCs w:val="20"/>
          <w:vertAlign w:val="superscript"/>
          <w:lang w:bidi="fa-IR"/>
        </w:rPr>
        <w:t>7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end"/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5526"/>
      </w:tblGrid>
      <w:tr w:rsidR="00AA38C8" w:rsidRPr="002E2F08" w14:paraId="43136B24" w14:textId="77777777" w:rsidTr="00B414F0">
        <w:trPr>
          <w:trHeight w:val="340"/>
        </w:trPr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C118FF8" w14:textId="77777777" w:rsidR="00EE2166" w:rsidRPr="002E2F08" w:rsidRDefault="00EE2166" w:rsidP="00B414F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Bias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D2457" w14:textId="77777777" w:rsidR="00EE2166" w:rsidRPr="002E2F08" w:rsidRDefault="00EE2166" w:rsidP="00B414F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Authors’ judgement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0F7F234" w14:textId="77777777" w:rsidR="00EE2166" w:rsidRPr="002E2F08" w:rsidRDefault="00EE2166" w:rsidP="00B414F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Support for judgement</w:t>
            </w:r>
          </w:p>
        </w:tc>
      </w:tr>
      <w:tr w:rsidR="00EE2166" w:rsidRPr="002E2F08" w14:paraId="1A3EBF84" w14:textId="77777777" w:rsidTr="00B414F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B020B09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Selection bias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86E3E18" w14:textId="77777777" w:rsidR="00EE2166" w:rsidRPr="002E2F08" w:rsidRDefault="00AA38C8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38511927" w14:textId="77777777" w:rsidR="00EE2166" w:rsidRPr="002E2F08" w:rsidRDefault="008B7C96" w:rsidP="00563388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selected individuals are at least somewhat likely to be representative of the target population</w:t>
            </w:r>
          </w:p>
        </w:tc>
      </w:tr>
      <w:tr w:rsidR="00EE2166" w:rsidRPr="002E2F08" w14:paraId="4A15544D" w14:textId="77777777" w:rsidTr="00B414F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7445F654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Study design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B07EA61" w14:textId="77777777" w:rsidR="00EE2166" w:rsidRPr="002E2F08" w:rsidRDefault="00CB1726" w:rsidP="00DB1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39B75A70" w14:textId="77777777" w:rsidR="00EE2166" w:rsidRPr="002E2F08" w:rsidRDefault="00DB1F0F" w:rsidP="00DB1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 cohort using pre-post tests</w:t>
            </w:r>
          </w:p>
        </w:tc>
      </w:tr>
      <w:tr w:rsidR="00EE2166" w:rsidRPr="002E2F08" w14:paraId="193E1BCF" w14:textId="77777777" w:rsidTr="00B414F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2F4FF11B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Confounders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8E15833" w14:textId="77777777" w:rsidR="00EE2166" w:rsidRPr="002E2F08" w:rsidRDefault="00AA38C8" w:rsidP="00AA3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680169A0" w14:textId="77777777" w:rsidR="00EE2166" w:rsidRPr="002E2F08" w:rsidRDefault="008B7C96" w:rsidP="008B7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controlled for confounders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6DF3"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were</w:t>
            </w:r>
            <w:proofErr w:type="spellEnd"/>
            <w:r w:rsidR="00666DF3"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not described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E2166" w:rsidRPr="002E2F08" w14:paraId="77A4E3AC" w14:textId="77777777" w:rsidTr="00B414F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7EBD9143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Blinding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97AB8F7" w14:textId="77777777" w:rsidR="00EE2166" w:rsidRPr="002E2F08" w:rsidRDefault="00AA38C8" w:rsidP="00AA3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416BEDD" w14:textId="77777777" w:rsidR="00EE2166" w:rsidRPr="002E2F08" w:rsidRDefault="00666DF3" w:rsidP="00666DF3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Blinding of teachers and students not possible</w:t>
            </w:r>
          </w:p>
        </w:tc>
      </w:tr>
      <w:tr w:rsidR="00EE2166" w:rsidRPr="002E2F08" w14:paraId="4EC41775" w14:textId="77777777" w:rsidTr="00B514FF">
        <w:trPr>
          <w:trHeight w:val="23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0BBF30F4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Data collection methods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0C5B0AC" w14:textId="77777777" w:rsidR="00EE2166" w:rsidRPr="002E2F08" w:rsidRDefault="00CB1726" w:rsidP="00AA3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7B177A84" w14:textId="77777777" w:rsidR="00EE2166" w:rsidRPr="002E2F08" w:rsidRDefault="00CB1726" w:rsidP="00CB1726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Instrument has v</w:t>
            </w:r>
            <w:r w:rsidR="00CE1176"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alidity and reliability </w:t>
            </w:r>
          </w:p>
        </w:tc>
      </w:tr>
      <w:tr w:rsidR="00EE2166" w:rsidRPr="002E2F08" w14:paraId="02A1C847" w14:textId="77777777" w:rsidTr="00B514FF">
        <w:trPr>
          <w:trHeight w:val="18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3C4C6EF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Withdrawals and drop-outs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F109A16" w14:textId="77777777" w:rsidR="00EE2166" w:rsidRPr="002E2F08" w:rsidRDefault="00AA38C8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7AF420F8" w14:textId="77777777" w:rsidR="00EE2166" w:rsidRPr="002E2F08" w:rsidRDefault="00CE1176" w:rsidP="00FB0D05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 of participants complet</w:t>
            </w:r>
            <w:r w:rsidR="00FB0D05"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 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study</w:t>
            </w:r>
          </w:p>
        </w:tc>
      </w:tr>
      <w:tr w:rsidR="00AA38C8" w:rsidRPr="002E2F08" w14:paraId="3ECACC14" w14:textId="77777777" w:rsidTr="00B514FF">
        <w:trPr>
          <w:trHeight w:val="28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138CFAC7" w14:textId="4760DCB4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Global rating for this </w:t>
            </w:r>
            <w:r w:rsidR="00F63499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paper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27D5381" w14:textId="77777777" w:rsidR="00EE2166" w:rsidRPr="002E2F08" w:rsidRDefault="003F4670" w:rsidP="00AA3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3CF9309D" w14:textId="77777777" w:rsidR="00EE2166" w:rsidRPr="002E2F08" w:rsidRDefault="00EE2166" w:rsidP="00AA3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there is </w:t>
            </w:r>
            <w:proofErr w:type="spellStart"/>
            <w:r w:rsidR="00AA38C8"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two</w:t>
            </w:r>
            <w:proofErr w:type="spellEnd"/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weak</w:t>
            </w:r>
          </w:p>
        </w:tc>
      </w:tr>
      <w:tr w:rsidR="00EE2166" w:rsidRPr="002E2F08" w14:paraId="61BD1DF5" w14:textId="77777777" w:rsidTr="00B414F0">
        <w:trPr>
          <w:trHeight w:val="340"/>
        </w:trPr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503FB54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Overall assessment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D73C0" w14:textId="77777777" w:rsidR="00EE2166" w:rsidRPr="002E2F08" w:rsidRDefault="00AA38C8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8DE42FF" w14:textId="77777777" w:rsidR="00EE2166" w:rsidRPr="002E2F08" w:rsidRDefault="00EE2166" w:rsidP="00B414F0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2F331A5E" w14:textId="77777777" w:rsidR="00EE2166" w:rsidRDefault="00EE2166" w:rsidP="00EE216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06219FD6" w14:textId="77777777" w:rsidR="00B514FF" w:rsidRDefault="00B514FF" w:rsidP="007B741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36375597" w14:textId="7452DE93" w:rsidR="007B7416" w:rsidRPr="002E2F08" w:rsidRDefault="007B7416" w:rsidP="007B741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t xml:space="preserve">KATZ, et al. 2011 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begin"/>
      </w:r>
      <w:r w:rsidR="00EC154B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instrText xml:space="preserve"> ADDIN EN.CITE &lt;EndNote&gt;&lt;Cite&gt;&lt;Author&gt;Katz&lt;/Author&gt;&lt;Year&gt;2011&lt;/Year&gt;&lt;RecNum&gt;28&lt;/RecNum&gt;&lt;DisplayText&gt;&lt;style face="superscript"&gt;8&lt;/style&gt;&lt;/DisplayText&gt;&lt;record&gt;&lt;rec-number&gt;28&lt;/rec-number&gt;&lt;foreign-keys&gt;&lt;key app="EN" db-id="9wxsrdav5ezx02edpduvear6sdreax05tdw0" timestamp="1612803675"&gt;28&lt;/key&gt;&lt;/foreign-keys&gt;&lt;ref-type name="Journal Article"&gt;17&lt;/ref-type&gt;&lt;contributors&gt;&lt;authors&gt;&lt;author&gt;Katz, David L&lt;/author&gt;&lt;author&gt;Katz, Catherine S&lt;/author&gt;&lt;author&gt;Treu, Judith A&lt;/author&gt;&lt;author&gt;Reynolds, Jesse&lt;/author&gt;&lt;author&gt;Njike, Valentine&lt;/author&gt;&lt;author&gt;Walker, Jennifer&lt;/author&gt;&lt;author&gt;Smith, Erica&lt;/author&gt;&lt;author&gt;Michael, Jennifer&lt;/author&gt;&lt;/authors&gt;&lt;/contributors&gt;&lt;titles&gt;&lt;title&gt;Teaching healthful food choices to elementary school students and their parents: the Nutrition Detectives™ program&lt;/title&gt;&lt;secondary-title&gt;Journal of School Health&lt;/secondary-title&gt;&lt;/titles&gt;&lt;periodical&gt;&lt;full-title&gt;Journal of School Health&lt;/full-title&gt;&lt;/periodical&gt;&lt;pages&gt;21-28&lt;/pages&gt;&lt;volume&gt;81&lt;/volume&gt;&lt;number&gt;1&lt;/number&gt;&lt;dates&gt;&lt;year&gt;2011&lt;/year&gt;&lt;/dates&gt;&lt;isbn&gt;0022-4391&lt;/isbn&gt;&lt;urls&gt;&lt;/urls&gt;&lt;/record&gt;&lt;/Cite&gt;&lt;/EndNote&gt;</w:instrTex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separate"/>
      </w:r>
      <w:r w:rsidR="00EC154B" w:rsidRPr="00EC154B">
        <w:rPr>
          <w:rFonts w:ascii="Times New Roman" w:eastAsiaTheme="minorHAnsi" w:hAnsi="Times New Roman" w:cs="Times New Roman"/>
          <w:b/>
          <w:bCs/>
          <w:noProof/>
          <w:sz w:val="20"/>
          <w:szCs w:val="20"/>
          <w:vertAlign w:val="superscript"/>
          <w:lang w:bidi="fa-IR"/>
        </w:rPr>
        <w:t>8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end"/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5526"/>
      </w:tblGrid>
      <w:tr w:rsidR="007B7416" w:rsidRPr="002E2F08" w14:paraId="3869B14E" w14:textId="77777777" w:rsidTr="00E54143">
        <w:trPr>
          <w:trHeight w:val="340"/>
        </w:trPr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BB3D88B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Bias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870632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Authors’ judgement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0055A66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Support for judgement</w:t>
            </w:r>
          </w:p>
        </w:tc>
      </w:tr>
      <w:tr w:rsidR="007B7416" w:rsidRPr="002E2F08" w14:paraId="7E13A474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49C3C44B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Selection bias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E4B9B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  <w:r w:rsidRPr="002E2F08"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34B77BC3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Results were obtained from a single school district which potentially limiting generalizability.</w:t>
            </w:r>
          </w:p>
        </w:tc>
      </w:tr>
      <w:tr w:rsidR="007B7416" w:rsidRPr="002E2F08" w14:paraId="451A55D8" w14:textId="77777777" w:rsidTr="003C789F">
        <w:trPr>
          <w:trHeight w:val="28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298F452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Study design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1C322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007C4ED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case-control study</w:t>
            </w:r>
          </w:p>
        </w:tc>
      </w:tr>
      <w:tr w:rsidR="007B7416" w:rsidRPr="002E2F08" w14:paraId="13E995CE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1E5C1D95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Confounders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7A3A3" w14:textId="77777777" w:rsidR="007B7416" w:rsidRPr="002E2F08" w:rsidRDefault="007B7416" w:rsidP="00E54143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277D7B22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Control of confounders was not described</w:t>
            </w:r>
            <w:r w:rsidRPr="002E2F08"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  <w:t>.</w:t>
            </w:r>
          </w:p>
        </w:tc>
      </w:tr>
      <w:tr w:rsidR="007B7416" w:rsidRPr="002E2F08" w14:paraId="490BD59E" w14:textId="77777777" w:rsidTr="003C789F">
        <w:trPr>
          <w:trHeight w:val="28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0324BA22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Blinding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0569F8" w14:textId="77777777" w:rsidR="007B7416" w:rsidRPr="002E2F08" w:rsidRDefault="007B7416" w:rsidP="00E54143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71BF0ABC" w14:textId="6A2B3EF8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study </w:t>
            </w:r>
            <w:r w:rsidR="003C789F"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participants </w:t>
            </w:r>
            <w:proofErr w:type="spellStart"/>
            <w:r w:rsidR="003C789F"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wes</w:t>
            </w:r>
            <w:proofErr w:type="spellEnd"/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not aware of the research question but assessors were aware.</w:t>
            </w:r>
          </w:p>
        </w:tc>
      </w:tr>
      <w:tr w:rsidR="007B7416" w:rsidRPr="002E2F08" w14:paraId="0F55F1A9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660EEA09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Data collection methods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353ABA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461ADB25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data collection tools  were shown to be valid and reliable.(FFQ &amp; Youth and Adolescent Questionnaire)</w:t>
            </w:r>
          </w:p>
        </w:tc>
      </w:tr>
      <w:tr w:rsidR="007B7416" w:rsidRPr="002E2F08" w14:paraId="3FD20361" w14:textId="77777777" w:rsidTr="00B514FF">
        <w:trPr>
          <w:trHeight w:val="326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6F24A45A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Withdrawals and drop-outs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C2073B" w14:textId="77777777" w:rsidR="007B7416" w:rsidRPr="002E2F08" w:rsidRDefault="007B7416" w:rsidP="00E54143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D9C4A10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withdrawals and drop-outs were not described</w:t>
            </w:r>
          </w:p>
        </w:tc>
      </w:tr>
      <w:tr w:rsidR="007B7416" w:rsidRPr="002E2F08" w14:paraId="00FAF7EA" w14:textId="77777777" w:rsidTr="00B514FF">
        <w:trPr>
          <w:trHeight w:val="29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76D88996" w14:textId="15CD8FC9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Global rating for this </w:t>
            </w:r>
            <w:r w:rsidR="00F63499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paper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C23282A" w14:textId="77777777" w:rsidR="007B7416" w:rsidRPr="002E2F08" w:rsidRDefault="007B7416" w:rsidP="00E5414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1BC8CA06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There was three weak.</w:t>
            </w:r>
          </w:p>
        </w:tc>
      </w:tr>
      <w:tr w:rsidR="007B7416" w:rsidRPr="002E2F08" w14:paraId="27CA169F" w14:textId="77777777" w:rsidTr="00E54143">
        <w:trPr>
          <w:trHeight w:val="340"/>
        </w:trPr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705742C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lastRenderedPageBreak/>
              <w:t xml:space="preserve">Overall assessment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67D3F" w14:textId="77777777" w:rsidR="007B7416" w:rsidRPr="002E2F08" w:rsidRDefault="007B7416" w:rsidP="00E54143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2E2F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63FC736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lang w:val="en-GB"/>
              </w:rPr>
            </w:pPr>
          </w:p>
        </w:tc>
      </w:tr>
    </w:tbl>
    <w:p w14:paraId="0ED2877D" w14:textId="77777777" w:rsidR="007B7416" w:rsidRDefault="007B7416" w:rsidP="007B741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</w:pPr>
    </w:p>
    <w:p w14:paraId="79F694C3" w14:textId="57DD2038" w:rsidR="007B7416" w:rsidRPr="002E2F08" w:rsidRDefault="007B7416" w:rsidP="007B741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</w:pP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t>McAleese &amp; Rankin, 2007</w:t>
      </w: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fldChar w:fldCharType="begin"/>
      </w:r>
      <w:r w:rsidR="00EC154B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instrText xml:space="preserve"> ADDIN EN.CITE &lt;EndNote&gt;&lt;Cite&gt;&lt;Author&gt;McAleese&lt;/Author&gt;&lt;Year&gt;2007&lt;/Year&gt;&lt;RecNum&gt;29&lt;/RecNum&gt;&lt;DisplayText&gt;&lt;style face="superscript"&gt;9&lt;/style&gt;&lt;/DisplayText&gt;&lt;record&gt;&lt;rec-number&gt;29&lt;/rec-number&gt;&lt;foreign-keys&gt;&lt;key app="EN" db-id="9wxsrdav5ezx02edpduvear6sdreax05tdw0" timestamp="1612803677"&gt;29&lt;/key&gt;&lt;/foreign-keys&gt;&lt;ref-type name="Journal Article"&gt;17&lt;/ref-type&gt;&lt;contributors&gt;&lt;authors&gt;&lt;author&gt;McAleese, Jessica D&lt;/author&gt;&lt;author&gt;Rankin, Linda L&lt;/author&gt;&lt;/authors&gt;&lt;/contributors&gt;&lt;titles&gt;&lt;title&gt;Garden-based nutrition education affects fruit and vegetable consumption in sixth-grade adolescents&lt;/title&gt;&lt;secondary-title&gt;Journal of the American Dietetic Association&lt;/secondary-title&gt;&lt;/titles&gt;&lt;periodical&gt;&lt;full-title&gt;Journal of the American Dietetic Association&lt;/full-title&gt;&lt;/periodical&gt;&lt;pages&gt;662-665&lt;/pages&gt;&lt;volume&gt;107&lt;/volume&gt;&lt;number&gt;4&lt;/number&gt;&lt;dates&gt;&lt;year&gt;2007&lt;/year&gt;&lt;/dates&gt;&lt;isbn&gt;0002-8223&lt;/isbn&gt;&lt;urls&gt;&lt;/urls&gt;&lt;/record&gt;&lt;/Cite&gt;&lt;/EndNote&gt;</w:instrText>
      </w: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fldChar w:fldCharType="separate"/>
      </w:r>
      <w:r w:rsidRPr="002E2F08">
        <w:rPr>
          <w:rFonts w:ascii="Times New Roman" w:eastAsiaTheme="minorHAnsi" w:hAnsi="Times New Roman" w:cs="Times New Roman"/>
          <w:b/>
          <w:bCs/>
          <w:noProof/>
          <w:color w:val="0D0D0D" w:themeColor="text1" w:themeTint="F2"/>
          <w:sz w:val="20"/>
          <w:szCs w:val="20"/>
          <w:vertAlign w:val="superscript"/>
          <w:lang w:bidi="fa-IR"/>
        </w:rPr>
        <w:t>9</w:t>
      </w: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fldChar w:fldCharType="end"/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5526"/>
      </w:tblGrid>
      <w:tr w:rsidR="007B7416" w:rsidRPr="002E2F08" w14:paraId="727A9A33" w14:textId="77777777" w:rsidTr="00E54143">
        <w:trPr>
          <w:trHeight w:val="340"/>
        </w:trPr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EF9D6C7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Bias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B180EA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Authors’ judgement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1AB44C9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Support for judgement</w:t>
            </w:r>
          </w:p>
        </w:tc>
      </w:tr>
      <w:tr w:rsidR="007B7416" w:rsidRPr="002E2F08" w14:paraId="1D9AA5AE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647A9CCC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Selection bias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EDE2B21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3C2975D8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The sample populations at each school contained </w:t>
            </w:r>
            <w:proofErr w:type="spellStart"/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asimilar</w:t>
            </w:r>
            <w:proofErr w:type="spellEnd"/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 representation of ethnic, cultural, and socioeconomic traits.</w:t>
            </w:r>
          </w:p>
        </w:tc>
      </w:tr>
      <w:tr w:rsidR="007B7416" w:rsidRPr="002E2F08" w14:paraId="7CF7F683" w14:textId="77777777" w:rsidTr="00B514FF">
        <w:trPr>
          <w:trHeight w:val="296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0D2BF41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Study design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FFFFF8C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5AFB7D04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Nonrandomized trial</w:t>
            </w:r>
          </w:p>
        </w:tc>
      </w:tr>
      <w:tr w:rsidR="007B7416" w:rsidRPr="002E2F08" w14:paraId="2717C814" w14:textId="77777777" w:rsidTr="00B514FF">
        <w:trPr>
          <w:trHeight w:val="26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4FB90DA7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Confounders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94DA87F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345C80A" w14:textId="77777777" w:rsidR="007B7416" w:rsidRPr="002E2F08" w:rsidRDefault="007B7416" w:rsidP="00E54143">
            <w:pPr>
              <w:pStyle w:val="NoSpacing"/>
              <w:jc w:val="lowKashida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2E2F08">
              <w:rPr>
                <w:rFonts w:ascii="AdvOT863180fb" w:hAnsi="AdvOT863180fb" w:cs="AdvOT863180fb"/>
                <w:sz w:val="20"/>
                <w:szCs w:val="20"/>
                <w:lang w:bidi="fa-IR"/>
              </w:rPr>
              <w:t>there was no difference at baseline and post-intervention</w:t>
            </w:r>
          </w:p>
        </w:tc>
      </w:tr>
      <w:tr w:rsidR="007B7416" w:rsidRPr="002E2F08" w14:paraId="6051C144" w14:textId="77777777" w:rsidTr="00B514FF">
        <w:trPr>
          <w:trHeight w:val="224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66373B2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Blinding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05A48A2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2E2F08">
              <w:rPr>
                <w:rFonts w:ascii="AdvOT863180fb" w:hAnsi="AdvOT863180fb" w:cs="AdvOT863180fb"/>
                <w:sz w:val="20"/>
                <w:szCs w:val="20"/>
                <w:lang w:bidi="fa-IR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62A147F1" w14:textId="77777777" w:rsidR="007B7416" w:rsidRPr="002E2F08" w:rsidRDefault="007B7416" w:rsidP="00E54143">
            <w:pPr>
              <w:pStyle w:val="NoSpacing"/>
              <w:jc w:val="lowKashida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Blinding of teachers and students not possible. </w:t>
            </w:r>
          </w:p>
        </w:tc>
      </w:tr>
      <w:tr w:rsidR="007B7416" w:rsidRPr="002E2F08" w14:paraId="235D9FCE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3B7029F1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Data collection methods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905CD07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4E977483" w14:textId="77777777" w:rsidR="007B7416" w:rsidRPr="002E2F08" w:rsidRDefault="007B7416" w:rsidP="00E54143">
            <w:pPr>
              <w:pStyle w:val="NoSpacing"/>
              <w:jc w:val="lowKashida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the nature of self-reported data (data collection tools was 24-hour food recall)</w:t>
            </w:r>
          </w:p>
        </w:tc>
      </w:tr>
      <w:tr w:rsidR="007B7416" w:rsidRPr="002E2F08" w14:paraId="40CCEE6C" w14:textId="77777777" w:rsidTr="00B514FF">
        <w:trPr>
          <w:trHeight w:val="28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9C86FFC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Withdrawals and drop-outs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97D01B1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Can't tell 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4BB6D9C3" w14:textId="77777777" w:rsidR="007B7416" w:rsidRPr="002E2F08" w:rsidRDefault="007B7416" w:rsidP="00E54143">
            <w:pPr>
              <w:pStyle w:val="NoSpacing"/>
              <w:jc w:val="lowKashida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Can't tell</w:t>
            </w:r>
          </w:p>
        </w:tc>
      </w:tr>
      <w:tr w:rsidR="007B7416" w:rsidRPr="002E2F08" w14:paraId="6A202CF6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10E3843F" w14:textId="697BAC28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Global rating for this </w:t>
            </w:r>
            <w:r w:rsidR="00F63499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paper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35524A8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moderate 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746BE43F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one weak</w:t>
            </w:r>
          </w:p>
        </w:tc>
      </w:tr>
      <w:tr w:rsidR="007B7416" w:rsidRPr="002E2F08" w14:paraId="351400A6" w14:textId="77777777" w:rsidTr="00E54143">
        <w:trPr>
          <w:trHeight w:val="340"/>
        </w:trPr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F69D5AC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Overall assessment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70E70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 xml:space="preserve">moderate </w:t>
            </w:r>
          </w:p>
        </w:tc>
        <w:tc>
          <w:tcPr>
            <w:tcW w:w="552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D31A858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lang w:val="en-GB"/>
              </w:rPr>
            </w:pPr>
          </w:p>
        </w:tc>
      </w:tr>
    </w:tbl>
    <w:p w14:paraId="5B69C17C" w14:textId="77777777" w:rsidR="007B7416" w:rsidRPr="002E2F08" w:rsidRDefault="007B7416" w:rsidP="007B741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24607A33" w14:textId="443C098E" w:rsidR="007B7416" w:rsidRPr="002E2F08" w:rsidRDefault="007B7416" w:rsidP="008F56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t>Miller A, et al.</w:t>
      </w:r>
      <w:r w:rsidRPr="002E2F08">
        <w:rPr>
          <w:rFonts w:ascii="Times New Roman" w:hAnsi="Times New Roman" w:cs="Times New Roman"/>
          <w:b/>
          <w:bCs/>
          <w:sz w:val="20"/>
          <w:szCs w:val="20"/>
          <w:lang w:bidi="fa-IR"/>
        </w:rPr>
        <w:t xml:space="preserve"> 201</w:t>
      </w:r>
      <w:r w:rsidR="008F56D5">
        <w:rPr>
          <w:rFonts w:ascii="Times New Roman" w:hAnsi="Times New Roman" w:cs="Times New Roman"/>
          <w:b/>
          <w:bCs/>
          <w:sz w:val="20"/>
          <w:szCs w:val="20"/>
          <w:lang w:bidi="fa-IR"/>
        </w:rPr>
        <w:t>6</w:t>
      </w:r>
      <w:r w:rsidRPr="002E2F08">
        <w:rPr>
          <w:rFonts w:ascii="Times New Roman" w:hAnsi="Times New Roman" w:cs="Times New Roman"/>
          <w:b/>
          <w:bCs/>
          <w:sz w:val="20"/>
          <w:szCs w:val="20"/>
          <w:lang w:bidi="fa-IR"/>
        </w:rPr>
        <w:t xml:space="preserve"> 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begin"/>
      </w:r>
      <w:r w:rsidR="00EC154B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instrText xml:space="preserve"> ADDIN EN.CITE &lt;EndNote&gt;&lt;Cite&gt;&lt;Author&gt;Miller&lt;/Author&gt;&lt;Year&gt;2016&lt;/Year&gt;&lt;RecNum&gt;22&lt;/RecNum&gt;&lt;DisplayText&gt;&lt;style face="superscript"&gt;10&lt;/style&gt;&lt;/DisplayText&gt;&lt;record&gt;&lt;rec-number&gt;22&lt;/rec-number&gt;&lt;foreign-keys&gt;&lt;key app="EN" db-id="9wxsrdav5ezx02edpduvear6sdreax05tdw0" timestamp="1612803663"&gt;22&lt;/key&gt;&lt;/foreign-keys&gt;&lt;ref-type name="Journal Article"&gt;17&lt;/ref-type&gt;&lt;contributors&gt;&lt;authors&gt;&lt;author&gt;Miller, Ashley&lt;/author&gt;&lt;author&gt;Franzen-Castle, Lisa&lt;/author&gt;&lt;author&gt;Aguirre, Trina&lt;/author&gt;&lt;author&gt;Krehbiel, Michelle&lt;/author&gt;&lt;author&gt;Colby, Sarah&lt;/author&gt;&lt;author&gt;Kattelmann, Kendra&lt;/author&gt;&lt;author&gt;Olfert, Melissa D&lt;/author&gt;&lt;author&gt;Mathews, Douglas&lt;/author&gt;&lt;author&gt;White, Adrienne&lt;/author&gt;&lt;/authors&gt;&lt;/contributors&gt;&lt;titles&gt;&lt;title&gt;Food-related behavior and intake of adult main meal preparers of 9–10 year-old children participating in iCook 4-H: A five-state childhood obesity prevention pilot study&lt;/title&gt;&lt;secondary-title&gt;Appetite&lt;/secondary-title&gt;&lt;/titles&gt;&lt;periodical&gt;&lt;full-title&gt;Appetite&lt;/full-title&gt;&lt;/periodical&gt;&lt;pages&gt;163-170&lt;/pages&gt;&lt;volume&gt;101&lt;/volume&gt;&lt;dates&gt;&lt;year&gt;2016&lt;/year&gt;&lt;/dates&gt;&lt;isbn&gt;0195-6663&lt;/isbn&gt;&lt;urls&gt;&lt;/urls&gt;&lt;/record&gt;&lt;/Cite&gt;&lt;/EndNote&gt;</w:instrTex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separate"/>
      </w:r>
      <w:r w:rsidRPr="002E2F08">
        <w:rPr>
          <w:rFonts w:ascii="Times New Roman" w:eastAsiaTheme="minorHAnsi" w:hAnsi="Times New Roman" w:cs="Times New Roman"/>
          <w:b/>
          <w:bCs/>
          <w:noProof/>
          <w:sz w:val="20"/>
          <w:szCs w:val="20"/>
          <w:vertAlign w:val="superscript"/>
          <w:lang w:bidi="fa-IR"/>
        </w:rPr>
        <w:t>10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end"/>
      </w:r>
    </w:p>
    <w:tbl>
      <w:tblPr>
        <w:tblStyle w:val="TableGrid"/>
        <w:tblW w:w="900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5456"/>
      </w:tblGrid>
      <w:tr w:rsidR="007B7416" w:rsidRPr="002E2F08" w14:paraId="24365692" w14:textId="77777777" w:rsidTr="00E54143">
        <w:trPr>
          <w:trHeight w:val="340"/>
        </w:trPr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BB5B00B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Bias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2F5562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Authors’ judgement</w:t>
            </w:r>
          </w:p>
        </w:tc>
        <w:tc>
          <w:tcPr>
            <w:tcW w:w="545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6EB8411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Support for judgement</w:t>
            </w:r>
          </w:p>
        </w:tc>
      </w:tr>
      <w:tr w:rsidR="007B7416" w:rsidRPr="002E2F08" w14:paraId="0084B4FE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3A3E313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Selection bias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14B270B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456" w:type="dxa"/>
            <w:tcBorders>
              <w:left w:val="single" w:sz="12" w:space="0" w:color="auto"/>
              <w:right w:val="nil"/>
            </w:tcBorders>
            <w:vAlign w:val="center"/>
          </w:tcPr>
          <w:p w14:paraId="4B25B45A" w14:textId="77777777" w:rsidR="007B7416" w:rsidRPr="002E2F08" w:rsidRDefault="007B7416" w:rsidP="00E54143">
            <w:pPr>
              <w:pStyle w:val="NoSpacing"/>
              <w:jc w:val="both"/>
              <w:rPr>
                <w:rFonts w:ascii="AdvOT863180fb" w:hAnsi="AdvOT863180fb" w:cs="AdvOT863180fb"/>
                <w:sz w:val="20"/>
                <w:szCs w:val="20"/>
                <w:lang w:bidi="fa-IR"/>
              </w:rPr>
            </w:pPr>
            <w:r w:rsidRPr="002E2F08">
              <w:rPr>
                <w:rFonts w:ascii="AdvOT863180fb" w:hAnsi="AdvOT863180fb" w:cs="AdvOT863180fb"/>
                <w:sz w:val="20"/>
                <w:szCs w:val="20"/>
                <w:lang w:val="en-GB" w:bidi="fa-IR"/>
              </w:rPr>
              <w:t>No random sequence generation due to study design: non-randomised controlled study</w:t>
            </w:r>
            <w:r w:rsidRPr="002E2F08">
              <w:rPr>
                <w:rFonts w:ascii="AdvOT863180fb" w:hAnsi="AdvOT863180fb" w:cs="AdvOT863180fb"/>
                <w:sz w:val="20"/>
                <w:szCs w:val="20"/>
                <w:lang w:val="en-US" w:bidi="fa-IR"/>
              </w:rPr>
              <w:t xml:space="preserve"> </w:t>
            </w:r>
            <w:r w:rsidRPr="002E2F08">
              <w:rPr>
                <w:rFonts w:ascii="AdvOT863180fb" w:hAnsi="AdvOT863180fb" w:cs="AdvOT863180fb"/>
                <w:sz w:val="20"/>
                <w:szCs w:val="20"/>
                <w:lang w:bidi="fa-IR"/>
              </w:rPr>
              <w:t>using a convenience sample</w:t>
            </w:r>
          </w:p>
        </w:tc>
      </w:tr>
      <w:tr w:rsidR="007B7416" w:rsidRPr="002E2F08" w14:paraId="789D0231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7E203502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Study design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49E8B89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456" w:type="dxa"/>
            <w:tcBorders>
              <w:left w:val="single" w:sz="12" w:space="0" w:color="auto"/>
              <w:right w:val="nil"/>
            </w:tcBorders>
            <w:vAlign w:val="center"/>
          </w:tcPr>
          <w:p w14:paraId="415BC4E3" w14:textId="77777777" w:rsidR="007B7416" w:rsidRPr="002E2F08" w:rsidRDefault="007B7416" w:rsidP="00E54143">
            <w:pPr>
              <w:pStyle w:val="NoSpacing"/>
              <w:jc w:val="both"/>
              <w:rPr>
                <w:rFonts w:ascii="AdvOT863180fb" w:hAnsi="AdvOT863180fb" w:cs="AdvOT863180fb"/>
                <w:sz w:val="20"/>
                <w:szCs w:val="20"/>
                <w:lang w:bidi="fa-IR"/>
              </w:rPr>
            </w:pPr>
            <w:r w:rsidRPr="002E2F08">
              <w:rPr>
                <w:rFonts w:ascii="AdvOT863180fb" w:hAnsi="AdvOT863180fb" w:cs="AdvOT863180fb"/>
                <w:sz w:val="20"/>
                <w:szCs w:val="20"/>
                <w:lang w:bidi="fa-IR"/>
              </w:rPr>
              <w:t>a pre-post test design</w:t>
            </w:r>
          </w:p>
        </w:tc>
      </w:tr>
      <w:tr w:rsidR="007B7416" w:rsidRPr="002E2F08" w14:paraId="68DF2BEF" w14:textId="77777777" w:rsidTr="00E54143">
        <w:trPr>
          <w:trHeight w:val="278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3A6A07D0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Confounders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0BA93B4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456" w:type="dxa"/>
            <w:tcBorders>
              <w:left w:val="single" w:sz="12" w:space="0" w:color="auto"/>
              <w:right w:val="nil"/>
            </w:tcBorders>
            <w:vAlign w:val="center"/>
          </w:tcPr>
          <w:p w14:paraId="60C10B66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AdvOT863180fb" w:hAnsi="AdvOT863180fb" w:cs="AdvOT863180fb"/>
                <w:color w:val="C00000"/>
                <w:sz w:val="20"/>
                <w:szCs w:val="20"/>
                <w:lang w:bidi="fa-IR"/>
              </w:rPr>
            </w:pPr>
            <w:r w:rsidRPr="002E2F08">
              <w:rPr>
                <w:rFonts w:ascii="AdvOT863180fb" w:hAnsi="AdvOT863180fb" w:cs="AdvOT863180fb"/>
                <w:sz w:val="20"/>
                <w:szCs w:val="20"/>
                <w:lang w:bidi="fa-IR"/>
              </w:rPr>
              <w:t>there was no difference at baseline and post-intervention based on the SES and demographic factors</w:t>
            </w:r>
          </w:p>
        </w:tc>
      </w:tr>
      <w:tr w:rsidR="007B7416" w:rsidRPr="002E2F08" w14:paraId="2472D91A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4A54E88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Blinding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4C2A806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456" w:type="dxa"/>
            <w:tcBorders>
              <w:left w:val="single" w:sz="12" w:space="0" w:color="auto"/>
              <w:right w:val="nil"/>
            </w:tcBorders>
            <w:vAlign w:val="center"/>
          </w:tcPr>
          <w:p w14:paraId="1AB4C83F" w14:textId="77777777" w:rsidR="007B7416" w:rsidRPr="002E2F08" w:rsidRDefault="007B7416" w:rsidP="00E54143">
            <w:pPr>
              <w:pStyle w:val="NoSpacing"/>
              <w:jc w:val="both"/>
              <w:rPr>
                <w:rFonts w:ascii="AdvOT863180fb" w:hAnsi="AdvOT863180fb" w:cs="AdvOT863180fb"/>
                <w:sz w:val="20"/>
                <w:szCs w:val="20"/>
                <w:lang w:bidi="fa-IR"/>
              </w:rPr>
            </w:pPr>
            <w:r w:rsidRPr="002E2F08">
              <w:rPr>
                <w:rFonts w:ascii="AdvOT863180fb" w:hAnsi="AdvOT863180fb" w:cs="AdvOT863180fb"/>
                <w:sz w:val="20"/>
                <w:szCs w:val="20"/>
                <w:lang w:bidi="fa-IR"/>
              </w:rPr>
              <w:t>blinding of researchers and students not possible.</w:t>
            </w:r>
          </w:p>
        </w:tc>
      </w:tr>
      <w:tr w:rsidR="007B7416" w:rsidRPr="002E2F08" w14:paraId="6B35965A" w14:textId="77777777" w:rsidTr="00E54143">
        <w:trPr>
          <w:trHeight w:val="548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64FF8778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Data collection methods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9FCFC4F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456" w:type="dxa"/>
            <w:tcBorders>
              <w:left w:val="single" w:sz="12" w:space="0" w:color="auto"/>
              <w:right w:val="nil"/>
            </w:tcBorders>
            <w:vAlign w:val="center"/>
          </w:tcPr>
          <w:p w14:paraId="396823E3" w14:textId="77777777" w:rsidR="007B7416" w:rsidRPr="002E2F08" w:rsidRDefault="007B7416" w:rsidP="00E54143">
            <w:pPr>
              <w:pStyle w:val="NoSpacing"/>
              <w:jc w:val="both"/>
              <w:rPr>
                <w:rFonts w:ascii="AdvOT863180fb" w:hAnsi="AdvOT863180fb" w:cs="AdvOT863180fb"/>
                <w:sz w:val="20"/>
                <w:szCs w:val="20"/>
                <w:lang w:bidi="fa-IR"/>
              </w:rPr>
            </w:pPr>
            <w:r w:rsidRPr="002E2F08">
              <w:rPr>
                <w:rFonts w:ascii="AdvOT863180fb" w:hAnsi="AdvOT863180fb" w:cs="AdvOT863180fb"/>
                <w:sz w:val="20"/>
                <w:szCs w:val="20"/>
                <w:lang w:bidi="fa-IR"/>
              </w:rPr>
              <w:t>information gathering was self-report</w:t>
            </w:r>
          </w:p>
        </w:tc>
      </w:tr>
      <w:tr w:rsidR="007B7416" w:rsidRPr="002E2F08" w14:paraId="33B1738A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01D5E134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Withdrawals and drop-outs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52D2797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456" w:type="dxa"/>
            <w:tcBorders>
              <w:left w:val="single" w:sz="12" w:space="0" w:color="auto"/>
              <w:right w:val="nil"/>
            </w:tcBorders>
            <w:vAlign w:val="center"/>
          </w:tcPr>
          <w:p w14:paraId="305478F7" w14:textId="77777777" w:rsidR="007B7416" w:rsidRPr="002E2F08" w:rsidRDefault="007B7416" w:rsidP="00E54143">
            <w:pPr>
              <w:pStyle w:val="NoSpacing"/>
              <w:jc w:val="both"/>
              <w:rPr>
                <w:rFonts w:ascii="AdvOT863180fb" w:hAnsi="AdvOT863180fb" w:cs="AdvOT863180fb"/>
                <w:sz w:val="20"/>
                <w:szCs w:val="20"/>
                <w:lang w:bidi="fa-IR"/>
              </w:rPr>
            </w:pPr>
            <w:r w:rsidRPr="002E2F08">
              <w:rPr>
                <w:rFonts w:ascii="AdvOT863180fb" w:hAnsi="AdvOT863180fb" w:cs="AdvOT863180fb"/>
                <w:sz w:val="20"/>
                <w:szCs w:val="20"/>
                <w:lang w:bidi="fa-IR"/>
              </w:rPr>
              <w:t xml:space="preserve"> all of participants completed the study</w:t>
            </w:r>
          </w:p>
        </w:tc>
      </w:tr>
      <w:tr w:rsidR="007B7416" w:rsidRPr="002E2F08" w14:paraId="226330F9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39AA3B3B" w14:textId="34248F23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Global rating for this </w:t>
            </w:r>
            <w:r w:rsidR="00F63499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paper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2AF0A35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456" w:type="dxa"/>
            <w:tcBorders>
              <w:left w:val="single" w:sz="12" w:space="0" w:color="auto"/>
              <w:right w:val="nil"/>
            </w:tcBorders>
            <w:vAlign w:val="center"/>
          </w:tcPr>
          <w:p w14:paraId="2027653A" w14:textId="77777777" w:rsidR="007B7416" w:rsidRPr="002E2F08" w:rsidRDefault="007B7416" w:rsidP="00E54143">
            <w:pPr>
              <w:pStyle w:val="NoSpacing"/>
              <w:jc w:val="both"/>
              <w:rPr>
                <w:rFonts w:ascii="AdvOT863180fb" w:hAnsi="AdvOT863180fb" w:cs="AdvOT863180fb"/>
                <w:sz w:val="20"/>
                <w:szCs w:val="20"/>
                <w:lang w:bidi="fa-IR"/>
              </w:rPr>
            </w:pPr>
            <w:r w:rsidRPr="002E2F08">
              <w:rPr>
                <w:rFonts w:ascii="AdvOT863180fb" w:hAnsi="AdvOT863180fb" w:cs="AdvOT863180fb"/>
                <w:sz w:val="20"/>
                <w:szCs w:val="20"/>
                <w:lang w:bidi="fa-IR"/>
              </w:rPr>
              <w:t>two weaks.</w:t>
            </w:r>
          </w:p>
        </w:tc>
      </w:tr>
      <w:tr w:rsidR="007B7416" w:rsidRPr="002E2F08" w14:paraId="22582333" w14:textId="77777777" w:rsidTr="00E54143">
        <w:trPr>
          <w:trHeight w:val="340"/>
        </w:trPr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25A7E32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Overall assessment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837C7" w14:textId="77777777" w:rsidR="007B7416" w:rsidRPr="002E2F08" w:rsidRDefault="007B7416" w:rsidP="00E54143">
            <w:pPr>
              <w:pStyle w:val="NoSpacing"/>
              <w:jc w:val="center"/>
              <w:rPr>
                <w:rFonts w:ascii="AdvOT863180fb" w:hAnsi="AdvOT863180fb" w:cs="AdvOT863180fb"/>
                <w:b/>
                <w:bCs/>
                <w:sz w:val="20"/>
                <w:szCs w:val="20"/>
                <w:lang w:bidi="fa-IR"/>
              </w:rPr>
            </w:pPr>
            <w:r w:rsidRPr="002E2F08">
              <w:rPr>
                <w:rFonts w:ascii="AdvOT863180fb" w:hAnsi="AdvOT863180fb" w:cs="AdvOT863180fb"/>
                <w:b/>
                <w:bCs/>
                <w:sz w:val="20"/>
                <w:szCs w:val="20"/>
                <w:lang w:bidi="fa-IR"/>
              </w:rPr>
              <w:t>week</w:t>
            </w:r>
          </w:p>
        </w:tc>
        <w:tc>
          <w:tcPr>
            <w:tcW w:w="545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470B18B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353AAA08" w14:textId="77777777" w:rsidR="007B7416" w:rsidRDefault="007B7416" w:rsidP="00EE216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5DBA64F2" w14:textId="77777777" w:rsidR="00612B5E" w:rsidRDefault="00612B5E" w:rsidP="002E2F08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52BF8F20" w14:textId="77777777" w:rsidR="00612B5E" w:rsidRDefault="00612B5E" w:rsidP="002E2F08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5687643C" w14:textId="7D1624E2" w:rsidR="00AE3348" w:rsidRPr="002E2F08" w:rsidRDefault="007C1A14" w:rsidP="002E2F08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t xml:space="preserve">Morgan et al, 2010 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begin"/>
      </w:r>
      <w:r w:rsidR="00EC154B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instrText xml:space="preserve"> ADDIN EN.CITE &lt;EndNote&gt;&lt;Cite&gt;&lt;Author&gt;Morgan&lt;/Author&gt;&lt;Year&gt;2010&lt;/Year&gt;&lt;RecNum&gt;20&lt;/RecNum&gt;&lt;DisplayText&gt;&lt;style face="superscript"&gt;11&lt;/style&gt;&lt;/DisplayText&gt;&lt;record&gt;&lt;rec-number&gt;20&lt;/rec-number&gt;&lt;foreign-keys&gt;&lt;key app="EN" db-id="9wxsrdav5ezx02edpduvear6sdreax05tdw0" timestamp="1612803661"&gt;20&lt;/key&gt;&lt;/foreign-keys&gt;&lt;ref-type name="Journal Article"&gt;17&lt;/ref-type&gt;&lt;contributors&gt;&lt;authors&gt;&lt;author&gt;Morgan, Philip J&lt;/author&gt;&lt;author&gt;Warren, Janet M&lt;/author&gt;&lt;author&gt;Lubans, David R&lt;/author&gt;&lt;author&gt;Saunders, Kristen L&lt;/author&gt;&lt;author&gt;Quick, Garbrielle I&lt;/author&gt;&lt;author&gt;Collins, Clare E&lt;/author&gt;&lt;/authors&gt;&lt;/contributors&gt;&lt;titles&gt;&lt;title&gt;The impact of nutrition education with and without a school garden on knowledge, vegetable intake and preferences and quality of school life among primary-school students&lt;/title&gt;&lt;secondary-title&gt;Public health nutrition&lt;/secondary-title&gt;&lt;/titles&gt;&lt;periodical&gt;&lt;full-title&gt;Public health nutrition&lt;/full-title&gt;&lt;/periodical&gt;&lt;pages&gt;1931-1940&lt;/pages&gt;&lt;volume&gt;13&lt;/volume&gt;&lt;number&gt;11&lt;/number&gt;&lt;dates&gt;&lt;year&gt;2010&lt;/year&gt;&lt;/dates&gt;&lt;isbn&gt;1475-2727&lt;/isbn&gt;&lt;urls&gt;&lt;/urls&gt;&lt;/record&gt;&lt;/Cite&gt;&lt;/EndNote&gt;</w:instrTex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separate"/>
      </w:r>
      <w:r w:rsidR="00EC154B" w:rsidRPr="00EC154B">
        <w:rPr>
          <w:rFonts w:ascii="Times New Roman" w:eastAsiaTheme="minorHAnsi" w:hAnsi="Times New Roman" w:cs="Times New Roman"/>
          <w:b/>
          <w:bCs/>
          <w:noProof/>
          <w:sz w:val="20"/>
          <w:szCs w:val="20"/>
          <w:vertAlign w:val="superscript"/>
          <w:lang w:bidi="fa-IR"/>
        </w:rPr>
        <w:t>11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end"/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5526"/>
      </w:tblGrid>
      <w:tr w:rsidR="002032A9" w:rsidRPr="002E2F08" w14:paraId="4B8FC19C" w14:textId="77777777" w:rsidTr="00B414F0">
        <w:trPr>
          <w:trHeight w:val="340"/>
        </w:trPr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D33991F" w14:textId="77777777" w:rsidR="00EE2166" w:rsidRPr="002E2F08" w:rsidRDefault="00EE2166" w:rsidP="00B414F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Bias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85E964" w14:textId="77777777" w:rsidR="00EE2166" w:rsidRPr="002E2F08" w:rsidRDefault="00EE2166" w:rsidP="00B414F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Authors’ judgement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F5784D6" w14:textId="77777777" w:rsidR="00EE2166" w:rsidRPr="002E2F08" w:rsidRDefault="00EE2166" w:rsidP="00B414F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Support for judgement</w:t>
            </w:r>
          </w:p>
        </w:tc>
      </w:tr>
      <w:tr w:rsidR="00EE2166" w:rsidRPr="002E2F08" w14:paraId="0D8E46BF" w14:textId="77777777" w:rsidTr="00B414F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65035C87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Selection bias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D01A599" w14:textId="77777777" w:rsidR="00EE2166" w:rsidRPr="002E2F08" w:rsidRDefault="00BD7971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533AB067" w14:textId="77777777" w:rsidR="00EE2166" w:rsidRPr="002E2F08" w:rsidRDefault="000F45E6" w:rsidP="000F4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this study was conducted in one area of the Hunter region, the results may not be </w:t>
            </w:r>
            <w:proofErr w:type="spellStart"/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generalisable</w:t>
            </w:r>
            <w:proofErr w:type="spellEnd"/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other populations</w:t>
            </w:r>
          </w:p>
        </w:tc>
      </w:tr>
      <w:tr w:rsidR="00EE2166" w:rsidRPr="002E2F08" w14:paraId="0CD20A01" w14:textId="77777777" w:rsidTr="00B414F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263CD35F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Study design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685B004" w14:textId="77777777" w:rsidR="00EE2166" w:rsidRPr="002E2F08" w:rsidRDefault="000F45E6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modearte</w:t>
            </w:r>
            <w:proofErr w:type="spellEnd"/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51BE4E63" w14:textId="77777777" w:rsidR="00EE2166" w:rsidRPr="002E2F08" w:rsidRDefault="000F45E6" w:rsidP="000F4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 not a randomized controlled trial</w:t>
            </w:r>
          </w:p>
        </w:tc>
      </w:tr>
      <w:tr w:rsidR="00EE2166" w:rsidRPr="002E2F08" w14:paraId="7C12EA7C" w14:textId="77777777" w:rsidTr="00B414F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70D67A43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lastRenderedPageBreak/>
              <w:t>Confounders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F1D5B7E" w14:textId="77777777" w:rsidR="00EE2166" w:rsidRPr="002E2F08" w:rsidRDefault="00BD7971" w:rsidP="00B4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544BD40D" w14:textId="77777777" w:rsidR="00EE2166" w:rsidRPr="002E2F08" w:rsidRDefault="00BD7971" w:rsidP="00BD7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percentage of relevant confounders that were controlled was not indicated</w:t>
            </w:r>
          </w:p>
        </w:tc>
      </w:tr>
      <w:tr w:rsidR="00EE2166" w:rsidRPr="002E2F08" w14:paraId="4D0079CE" w14:textId="77777777" w:rsidTr="00B414F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7CBA893C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Blinding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B2FBC1C" w14:textId="77777777" w:rsidR="00EE2166" w:rsidRPr="002E2F08" w:rsidRDefault="002032A9" w:rsidP="00B4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115034A6" w14:textId="77777777" w:rsidR="00EE2166" w:rsidRPr="002E2F08" w:rsidRDefault="000F45E6" w:rsidP="000F45E6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Blinding of teachers and students not possible</w:t>
            </w:r>
          </w:p>
        </w:tc>
      </w:tr>
      <w:tr w:rsidR="00EE2166" w:rsidRPr="002E2F08" w14:paraId="7DDE47F0" w14:textId="77777777" w:rsidTr="00B414F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264DA1D7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Data collection methods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B466BF5" w14:textId="77777777" w:rsidR="00EE2166" w:rsidRPr="002E2F08" w:rsidRDefault="000F45E6" w:rsidP="00B414F0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27A847FC" w14:textId="77777777" w:rsidR="00EE2166" w:rsidRPr="002E2F08" w:rsidRDefault="000F45E6" w:rsidP="00B414F0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Data collection method</w:t>
            </w:r>
            <w:r w:rsidR="00DD7E7C"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/tool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is valid and reliable</w:t>
            </w:r>
          </w:p>
        </w:tc>
      </w:tr>
      <w:tr w:rsidR="00EE2166" w:rsidRPr="002E2F08" w14:paraId="1D017FA4" w14:textId="77777777" w:rsidTr="00B414F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37AC7A2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Withdrawals and drop-outs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8497F06" w14:textId="77777777" w:rsidR="00EE2166" w:rsidRPr="002E2F08" w:rsidRDefault="002032A9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269AD59C" w14:textId="77777777" w:rsidR="00EE2166" w:rsidRPr="002E2F08" w:rsidRDefault="008C4A9E" w:rsidP="00B027B7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percentage </w:t>
            </w:r>
            <w:r w:rsidR="00B027B7"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of follow up was </w:t>
            </w:r>
            <w:r w:rsidR="00270F9B"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82.8% </w:t>
            </w:r>
          </w:p>
        </w:tc>
      </w:tr>
      <w:tr w:rsidR="002032A9" w:rsidRPr="002E2F08" w14:paraId="4C5D0461" w14:textId="77777777" w:rsidTr="00B414F0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D8A725F" w14:textId="3ED70068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Global rating for this </w:t>
            </w:r>
            <w:r w:rsidR="00F63499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paper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3527E68" w14:textId="77777777" w:rsidR="00EE2166" w:rsidRPr="002E2F08" w:rsidRDefault="00EE2166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2EC811BB" w14:textId="77777777" w:rsidR="00EE2166" w:rsidRPr="002E2F08" w:rsidRDefault="00EE2166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there is one weak</w:t>
            </w:r>
          </w:p>
        </w:tc>
      </w:tr>
      <w:tr w:rsidR="00EE2166" w:rsidRPr="002E2F08" w14:paraId="0DD12D06" w14:textId="77777777" w:rsidTr="00B414F0">
        <w:trPr>
          <w:trHeight w:val="340"/>
        </w:trPr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77DE816" w14:textId="77777777" w:rsidR="00EE2166" w:rsidRPr="002E2F08" w:rsidRDefault="00EE2166" w:rsidP="00B414F0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Overall assessment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D6E95" w14:textId="77777777" w:rsidR="00EE2166" w:rsidRPr="002E2F08" w:rsidRDefault="00EE2166" w:rsidP="00B41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3C814C1" w14:textId="77777777" w:rsidR="00EE2166" w:rsidRPr="002E2F08" w:rsidRDefault="00EE2166" w:rsidP="00B414F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E494306" w14:textId="77777777" w:rsidR="007B7416" w:rsidRDefault="007B7416" w:rsidP="007B741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3DA482F4" w14:textId="77777777" w:rsidR="007B7416" w:rsidRDefault="007B7416" w:rsidP="007B741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18D592E5" w14:textId="03511141" w:rsidR="007B7416" w:rsidRPr="002E2F08" w:rsidRDefault="007B7416" w:rsidP="007B741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t xml:space="preserve">Perez-Rodrigo &amp; </w:t>
      </w:r>
      <w:proofErr w:type="spellStart"/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t>Aranceta</w:t>
      </w:r>
      <w:proofErr w:type="spellEnd"/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t xml:space="preserve">, Education dept Spain, in Bilbao, 1997 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begin"/>
      </w:r>
      <w:r w:rsidR="00EC154B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instrText xml:space="preserve"> ADDIN EN.CITE &lt;EndNote&gt;&lt;Cite&gt;&lt;Author&gt;Perez-Rodrigo&lt;/Author&gt;&lt;Year&gt;1997&lt;/Year&gt;&lt;RecNum&gt;33&lt;/RecNum&gt;&lt;DisplayText&gt;&lt;style face="superscript"&gt;12&lt;/style&gt;&lt;/DisplayText&gt;&lt;record&gt;&lt;rec-number&gt;33&lt;/rec-number&gt;&lt;foreign-keys&gt;&lt;key app="EN" db-id="9wxsrdav5ezx02edpduvear6sdreax05tdw0" timestamp="1612803685"&gt;33&lt;/key&gt;&lt;/foreign-keys&gt;&lt;ref-type name="Journal Article"&gt;17&lt;/ref-type&gt;&lt;contributors&gt;&lt;authors&gt;&lt;author&gt;Perez-Rodrigo, Carmen&lt;/author&gt;&lt;author&gt;Aranceta, Javier&lt;/author&gt;&lt;/authors&gt;&lt;/contributors&gt;&lt;titles&gt;&lt;title&gt;Nutrition education for schoolchildren living in a low-income urban area in Spain&lt;/title&gt;&lt;secondary-title&gt;Journal of Nutrition Education&lt;/secondary-title&gt;&lt;/titles&gt;&lt;periodical&gt;&lt;full-title&gt;Journal of Nutrition Education&lt;/full-title&gt;&lt;/periodical&gt;&lt;pages&gt;267-273&lt;/pages&gt;&lt;volume&gt;29&lt;/volume&gt;&lt;number&gt;5&lt;/number&gt;&lt;dates&gt;&lt;year&gt;1997&lt;/year&gt;&lt;/dates&gt;&lt;isbn&gt;0022-3182&lt;/isbn&gt;&lt;urls&gt;&lt;/urls&gt;&lt;/record&gt;&lt;/Cite&gt;&lt;/EndNote&gt;</w:instrTex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separate"/>
      </w:r>
      <w:r w:rsidR="00EC154B" w:rsidRPr="00EC154B">
        <w:rPr>
          <w:rFonts w:ascii="Times New Roman" w:eastAsiaTheme="minorHAnsi" w:hAnsi="Times New Roman" w:cs="Times New Roman"/>
          <w:b/>
          <w:bCs/>
          <w:noProof/>
          <w:sz w:val="20"/>
          <w:szCs w:val="20"/>
          <w:vertAlign w:val="superscript"/>
          <w:lang w:bidi="fa-IR"/>
        </w:rPr>
        <w:t>12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end"/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5526"/>
      </w:tblGrid>
      <w:tr w:rsidR="007B7416" w:rsidRPr="002E2F08" w14:paraId="7C6F79A7" w14:textId="77777777" w:rsidTr="00E54143">
        <w:trPr>
          <w:trHeight w:val="340"/>
        </w:trPr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A8CF650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Bias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D23CD8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Authors’ judgement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87505E2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Support for judgement</w:t>
            </w:r>
          </w:p>
        </w:tc>
      </w:tr>
      <w:tr w:rsidR="007B7416" w:rsidRPr="002E2F08" w14:paraId="5A7D46F5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B9AF19B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Selection bias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2339D8D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eastAsiaTheme="minorHAnsi" w:hAnsi="Times New Roman" w:cs="Times New Roman"/>
                <w:sz w:val="20"/>
                <w:szCs w:val="20"/>
                <w:lang w:bidi="fa-IR"/>
              </w:rPr>
            </w:pPr>
            <w:r w:rsidRPr="002E2F08">
              <w:rPr>
                <w:rFonts w:ascii="Times New Roman" w:eastAsiaTheme="minorHAnsi" w:hAnsi="Times New Roman" w:cs="Times New Roman"/>
                <w:sz w:val="20"/>
                <w:szCs w:val="20"/>
                <w:lang w:bidi="fa-IR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713006AE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eastAsiaTheme="minorHAnsi" w:hAnsi="Times New Roman" w:cs="Times New Roman"/>
                <w:sz w:val="20"/>
                <w:szCs w:val="20"/>
                <w:lang w:bidi="fa-IR"/>
              </w:rPr>
            </w:pPr>
            <w:r w:rsidRPr="002E2F08">
              <w:rPr>
                <w:rFonts w:ascii="Times New Roman" w:eastAsiaTheme="minorHAnsi" w:hAnsi="Times New Roman" w:cs="Times New Roman"/>
                <w:sz w:val="20"/>
                <w:szCs w:val="20"/>
                <w:lang w:bidi="fa-IR"/>
              </w:rPr>
              <w:t>Participants may to be representative of the target population (low-income area)</w:t>
            </w:r>
          </w:p>
        </w:tc>
      </w:tr>
      <w:tr w:rsidR="007B7416" w:rsidRPr="002E2F08" w14:paraId="25F2EDBF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131807B0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Study design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BEBA6E2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eastAsiaTheme="minorHAnsi" w:hAnsi="Times New Roman" w:cs="Times New Roman"/>
                <w:sz w:val="20"/>
                <w:szCs w:val="20"/>
                <w:lang w:bidi="fa-IR"/>
              </w:rPr>
            </w:pPr>
            <w:r w:rsidRPr="002E2F08">
              <w:rPr>
                <w:rFonts w:ascii="Times New Roman" w:eastAsiaTheme="minorHAnsi" w:hAnsi="Times New Roman" w:cs="Times New Roman"/>
                <w:sz w:val="20"/>
                <w:szCs w:val="20"/>
                <w:lang w:bidi="fa-IR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3A6DEB91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sz w:val="20"/>
                <w:szCs w:val="20"/>
                <w:lang w:bidi="fa-IR"/>
              </w:rPr>
              <w:t>pre-post test survey without control group</w:t>
            </w:r>
          </w:p>
        </w:tc>
      </w:tr>
      <w:tr w:rsidR="007B7416" w:rsidRPr="002E2F08" w14:paraId="6FC6720C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73978A95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Confounders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7AC59F0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eastAsiaTheme="minorHAnsi" w:hAnsi="Times New Roman" w:cs="Times New Roman"/>
                <w:sz w:val="20"/>
                <w:szCs w:val="20"/>
                <w:lang w:bidi="fa-IR"/>
              </w:rPr>
            </w:pPr>
            <w:r w:rsidRPr="002E2F08">
              <w:rPr>
                <w:rFonts w:ascii="Times New Roman" w:eastAsiaTheme="minorHAnsi" w:hAnsi="Times New Roman" w:cs="Times New Roman"/>
                <w:sz w:val="20"/>
                <w:szCs w:val="20"/>
                <w:lang w:bidi="fa-IR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4A02FD91" w14:textId="77777777" w:rsidR="007B7416" w:rsidRPr="002E2F08" w:rsidRDefault="007B7416" w:rsidP="00E54143">
            <w:pPr>
              <w:pStyle w:val="NoSpacing"/>
              <w:jc w:val="lowKashida"/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val="en-US" w:bidi="fa-IR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val="en-US" w:bidi="fa-IR"/>
              </w:rPr>
              <w:t>there was no difference at baseline and post-intervention based on the SES and demographic factors</w:t>
            </w:r>
          </w:p>
        </w:tc>
      </w:tr>
      <w:tr w:rsidR="007B7416" w:rsidRPr="002E2F08" w14:paraId="088695E7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2B12366A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Blinding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4BE4451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eastAsiaTheme="minorHAnsi" w:hAnsi="Times New Roman" w:cs="Times New Roman"/>
                <w:sz w:val="20"/>
                <w:szCs w:val="20"/>
                <w:lang w:bidi="fa-IR"/>
              </w:rPr>
            </w:pPr>
            <w:r w:rsidRPr="002E2F08">
              <w:rPr>
                <w:rFonts w:ascii="Times New Roman" w:eastAsiaTheme="minorHAnsi" w:hAnsi="Times New Roman" w:cs="Times New Roman"/>
                <w:sz w:val="20"/>
                <w:szCs w:val="20"/>
                <w:lang w:bidi="fa-IR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424FC007" w14:textId="77777777" w:rsidR="007B7416" w:rsidRPr="002E2F08" w:rsidRDefault="007B7416" w:rsidP="00E54143">
            <w:pPr>
              <w:pStyle w:val="NoSpacing"/>
              <w:jc w:val="lowKashida"/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val="en-US" w:bidi="fa-IR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val="en-US" w:bidi="fa-IR"/>
              </w:rPr>
              <w:t>blinding of teachers and students not possible</w:t>
            </w:r>
          </w:p>
        </w:tc>
      </w:tr>
      <w:tr w:rsidR="007B7416" w:rsidRPr="002E2F08" w14:paraId="3E3A7D87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2E316BBA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Data collection methods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8FE89E0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eastAsiaTheme="minorHAnsi" w:hAnsi="Times New Roman" w:cs="Times New Roman"/>
                <w:sz w:val="20"/>
                <w:szCs w:val="20"/>
                <w:lang w:bidi="fa-IR"/>
              </w:rPr>
            </w:pPr>
            <w:r w:rsidRPr="002E2F08">
              <w:rPr>
                <w:rFonts w:ascii="Times New Roman" w:eastAsiaTheme="minorHAnsi" w:hAnsi="Times New Roman" w:cs="Times New Roman"/>
                <w:sz w:val="20"/>
                <w:szCs w:val="20"/>
                <w:lang w:bidi="fa-IR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17FC1EE9" w14:textId="77777777" w:rsidR="007B7416" w:rsidRPr="002E2F08" w:rsidRDefault="007B7416" w:rsidP="00E54143">
            <w:pPr>
              <w:pStyle w:val="NoSpacing"/>
              <w:jc w:val="lowKashida"/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val="en-US" w:bidi="fa-IR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val="en-US" w:bidi="fa-IR"/>
              </w:rPr>
              <w:t>Instruments were not valid and reliable</w:t>
            </w:r>
          </w:p>
        </w:tc>
      </w:tr>
      <w:tr w:rsidR="007B7416" w:rsidRPr="002E2F08" w14:paraId="2D589C89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64EE7650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Withdrawals and drop-outs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B3DC5D6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eastAsiaTheme="minorHAnsi" w:hAnsi="Times New Roman" w:cs="Times New Roman"/>
                <w:sz w:val="20"/>
                <w:szCs w:val="20"/>
                <w:lang w:bidi="fa-IR"/>
              </w:rPr>
            </w:pPr>
            <w:r w:rsidRPr="002E2F08">
              <w:rPr>
                <w:rFonts w:ascii="Times New Roman" w:eastAsiaTheme="minorHAnsi" w:hAnsi="Times New Roman" w:cs="Times New Roman"/>
                <w:sz w:val="20"/>
                <w:szCs w:val="20"/>
                <w:lang w:bidi="fa-IR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7BDB765C" w14:textId="77777777" w:rsidR="007B7416" w:rsidRPr="002E2F08" w:rsidRDefault="007B7416" w:rsidP="00E54143">
            <w:pPr>
              <w:pStyle w:val="NoSpacing"/>
              <w:jc w:val="lowKashida"/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val="en-US" w:bidi="fa-IR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val="en-US" w:bidi="fa-IR"/>
              </w:rPr>
              <w:t>The most of the participants completed the study (has not been stated the percentage)</w:t>
            </w:r>
          </w:p>
        </w:tc>
      </w:tr>
      <w:tr w:rsidR="007B7416" w:rsidRPr="002E2F08" w14:paraId="437655EA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3B7A0A03" w14:textId="3D5D8878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Global rating for this </w:t>
            </w:r>
            <w:r w:rsidR="00F63499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paper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3DEF18D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eastAsiaTheme="minorHAnsi" w:hAnsi="Times New Roman" w:cs="Times New Roman"/>
                <w:sz w:val="20"/>
                <w:szCs w:val="20"/>
                <w:lang w:bidi="fa-IR"/>
              </w:rPr>
            </w:pPr>
            <w:r w:rsidRPr="002E2F08">
              <w:rPr>
                <w:rFonts w:ascii="Times New Roman" w:eastAsiaTheme="minorHAnsi" w:hAnsi="Times New Roman" w:cs="Times New Roman"/>
                <w:sz w:val="20"/>
                <w:szCs w:val="20"/>
                <w:lang w:bidi="fa-IR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2AE58D9C" w14:textId="77777777" w:rsidR="007B7416" w:rsidRPr="002E2F08" w:rsidRDefault="007B7416" w:rsidP="00E54143">
            <w:pPr>
              <w:pStyle w:val="NoSpacing"/>
              <w:jc w:val="lowKashida"/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val="en-US" w:bidi="fa-IR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val="en-US" w:bidi="fa-IR"/>
              </w:rPr>
              <w:t xml:space="preserve">There is </w:t>
            </w:r>
            <w:proofErr w:type="spellStart"/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val="en-US" w:bidi="fa-IR"/>
              </w:rPr>
              <w:t>two</w:t>
            </w:r>
            <w:proofErr w:type="spellEnd"/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val="en-US" w:bidi="fa-IR"/>
              </w:rPr>
              <w:t xml:space="preserve"> weak</w:t>
            </w:r>
          </w:p>
        </w:tc>
      </w:tr>
      <w:tr w:rsidR="007B7416" w:rsidRPr="002E2F08" w14:paraId="1C3602E5" w14:textId="77777777" w:rsidTr="00E54143">
        <w:trPr>
          <w:trHeight w:val="340"/>
        </w:trPr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DCACD59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Overall assessment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492EB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2E2F0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fa-IR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3F51510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</w:pPr>
          </w:p>
        </w:tc>
      </w:tr>
    </w:tbl>
    <w:p w14:paraId="5F19DD3C" w14:textId="77777777" w:rsidR="007B7416" w:rsidRPr="002E2F08" w:rsidRDefault="007B7416" w:rsidP="007B741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44B522A1" w14:textId="06B3D432" w:rsidR="007B7416" w:rsidRPr="002E2F08" w:rsidRDefault="007B7416" w:rsidP="007B741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color w:val="0070C0"/>
          <w:sz w:val="20"/>
          <w:szCs w:val="20"/>
          <w:lang w:bidi="fa-IR"/>
        </w:rPr>
      </w:pP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t>PHABC, 2017</w:t>
      </w: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fldChar w:fldCharType="begin"/>
      </w:r>
      <w:r w:rsidR="00EC154B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instrText xml:space="preserve"> ADDIN EN.CITE &lt;EndNote&gt;&lt;Cite&gt;&lt;RecNum&gt;36&lt;/RecNum&gt;&lt;DisplayText&gt;&lt;style face="superscript"&gt;13&lt;/style&gt;&lt;/DisplayText&gt;&lt;record&gt;&lt;rec-number&gt;36&lt;/rec-number&gt;&lt;foreign-keys&gt;&lt;key app="EN" db-id="9wxsrdav5ezx02edpduvear6sdreax05tdw0" timestamp="1612803692"&gt;36&lt;/key&gt;&lt;/foreign-keys&gt;&lt;ref-type name="Journal Article"&gt;17&lt;/ref-type&gt;&lt;contributors&gt;&lt;/contributors&gt;&lt;titles&gt;&lt;title&gt;Public Health Association of British Columbia (PHABC). 2017. History. Farm to School BC. http://farmtoschoolbc.ca/about-us/history/. Accessed 12 November 2020&lt;/title&gt;&lt;/titles&gt;&lt;dates&gt;&lt;/dates&gt;&lt;urls&gt;&lt;/urls&gt;&lt;/record&gt;&lt;/Cite&gt;&lt;/EndNote&gt;</w:instrText>
      </w: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fldChar w:fldCharType="separate"/>
      </w:r>
      <w:r w:rsidR="00EC154B" w:rsidRPr="00EC154B">
        <w:rPr>
          <w:rFonts w:ascii="Times New Roman" w:eastAsiaTheme="minorHAnsi" w:hAnsi="Times New Roman" w:cs="Times New Roman"/>
          <w:b/>
          <w:bCs/>
          <w:noProof/>
          <w:color w:val="0D0D0D" w:themeColor="text1" w:themeTint="F2"/>
          <w:sz w:val="20"/>
          <w:szCs w:val="20"/>
          <w:vertAlign w:val="superscript"/>
          <w:lang w:bidi="fa-IR"/>
        </w:rPr>
        <w:t>13</w:t>
      </w: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fldChar w:fldCharType="end"/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5526"/>
      </w:tblGrid>
      <w:tr w:rsidR="007B7416" w:rsidRPr="002E2F08" w14:paraId="1F0A730C" w14:textId="77777777" w:rsidTr="00E54143">
        <w:trPr>
          <w:trHeight w:val="340"/>
        </w:trPr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6CB6A6D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Bias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BEB1F6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Authors’ judgement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2BE0675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Support for judgement</w:t>
            </w:r>
          </w:p>
        </w:tc>
      </w:tr>
      <w:tr w:rsidR="007B7416" w:rsidRPr="002E2F08" w14:paraId="0F645D15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6EEC6434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Selection bias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CD1EB7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41204E30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They didn't state the percentage of selected individuals who agreed to participate.</w:t>
            </w:r>
            <w:r w:rsidRPr="002E2F08">
              <w:rPr>
                <w:rFonts w:ascii="Times New Roman" w:hAnsi="Times New Roman" w:cs="Times New Roman"/>
                <w:color w:val="00B050"/>
                <w:lang w:val="en-US"/>
              </w:rPr>
              <w:t xml:space="preserve"> </w:t>
            </w:r>
          </w:p>
        </w:tc>
      </w:tr>
      <w:tr w:rsidR="007B7416" w:rsidRPr="002E2F08" w14:paraId="159C2E00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1853B9B6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Study design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82EBE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57F60EA1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Pre-post tes, without controlt</w:t>
            </w:r>
          </w:p>
        </w:tc>
      </w:tr>
      <w:tr w:rsidR="007B7416" w:rsidRPr="002E2F08" w14:paraId="649C9565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239D84FA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Confounders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32F87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2E433D8A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val="en-US" w:bidi="fa-IR"/>
              </w:rPr>
              <w:t>there was no difference at baseline and post-intervention based on the SES and demographic factors</w:t>
            </w:r>
          </w:p>
        </w:tc>
      </w:tr>
      <w:tr w:rsidR="007B7416" w:rsidRPr="002E2F08" w14:paraId="3BDF6131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661C41B8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Blinding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21D9D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306EDD9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Blinding of teachers and students not possible.</w:t>
            </w:r>
            <w:r w:rsidRPr="002E2F08">
              <w:rPr>
                <w:rFonts w:ascii="Times New Roman" w:hAnsi="Times New Roman" w:cs="Times New Roman"/>
                <w:color w:val="00B050"/>
                <w:lang w:val="en-GB"/>
              </w:rPr>
              <w:t xml:space="preserve"> </w:t>
            </w:r>
          </w:p>
        </w:tc>
      </w:tr>
      <w:tr w:rsidR="007B7416" w:rsidRPr="002E2F08" w14:paraId="505FCFDB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03A079F6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Data collection methods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E737EBA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6FD16D6D" w14:textId="77777777" w:rsidR="007B7416" w:rsidRPr="002E2F08" w:rsidRDefault="007B7416" w:rsidP="00E54143">
            <w:pPr>
              <w:pStyle w:val="NoSpacing"/>
              <w:jc w:val="lowKashida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They didn't state that data collection tools were shown to be valid/reliable or not.</w:t>
            </w:r>
          </w:p>
        </w:tc>
      </w:tr>
      <w:tr w:rsidR="007B7416" w:rsidRPr="002E2F08" w14:paraId="24F7EC13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06B5D5B6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Withdrawals and drop-outs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8D44FBB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proofErr w:type="spellStart"/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modertate</w:t>
            </w:r>
            <w:proofErr w:type="spellEnd"/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54037DA4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Indicate the percentage of participants completing the study</w:t>
            </w:r>
            <w:r w:rsidRPr="002E2F08">
              <w:rPr>
                <w:rFonts w:ascii="Times New Roman" w:hAnsi="Times New Roman" w:cs="Times New Roman"/>
                <w:color w:val="00B050"/>
              </w:rPr>
              <w:t>.</w:t>
            </w:r>
          </w:p>
        </w:tc>
      </w:tr>
      <w:tr w:rsidR="007B7416" w:rsidRPr="002E2F08" w14:paraId="0C628AB2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628532B" w14:textId="3E8CC890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lastRenderedPageBreak/>
              <w:t xml:space="preserve">Global rating for this </w:t>
            </w:r>
            <w:r w:rsidR="00F63499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paper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40B7049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25DF8E4B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 has three weak.</w:t>
            </w:r>
          </w:p>
        </w:tc>
      </w:tr>
      <w:tr w:rsidR="007B7416" w:rsidRPr="002E2F08" w14:paraId="4BE5514A" w14:textId="77777777" w:rsidTr="00E54143">
        <w:trPr>
          <w:trHeight w:val="275"/>
        </w:trPr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B6F9206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Overall assessment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1D555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2E2F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2A1FFF5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color w:val="00B050"/>
                <w:lang w:val="en-GB"/>
              </w:rPr>
            </w:pPr>
          </w:p>
        </w:tc>
      </w:tr>
    </w:tbl>
    <w:p w14:paraId="2CB8EACA" w14:textId="77777777" w:rsidR="00EE2166" w:rsidRPr="002E2F08" w:rsidRDefault="00EE2166" w:rsidP="00EE216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376C6451" w14:textId="77777777" w:rsidR="007B7416" w:rsidRDefault="007B7416" w:rsidP="002E2F08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</w:pPr>
    </w:p>
    <w:p w14:paraId="759E7F60" w14:textId="3DB7DA1A" w:rsidR="00F54AE3" w:rsidRPr="002E2F08" w:rsidRDefault="00F54AE3" w:rsidP="002E2F08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color w:val="0070C0"/>
          <w:sz w:val="20"/>
          <w:szCs w:val="20"/>
          <w:lang w:bidi="fa-IR"/>
        </w:rPr>
      </w:pPr>
      <w:proofErr w:type="spellStart"/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t>Revill</w:t>
      </w:r>
      <w:proofErr w:type="spellEnd"/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t xml:space="preserve"> et al, 2004 </w:t>
      </w: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fldChar w:fldCharType="begin"/>
      </w:r>
      <w:r w:rsidR="00EC154B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instrText xml:space="preserve"> ADDIN EN.CITE &lt;EndNote&gt;&lt;Cite&gt;&lt;Author&gt;Revill&lt;/Author&gt;&lt;Year&gt;2004&lt;/Year&gt;&lt;RecNum&gt;30&lt;/RecNum&gt;&lt;DisplayText&gt;&lt;style face="superscript"&gt;14&lt;/style&gt;&lt;/DisplayText&gt;&lt;record&gt;&lt;rec-number&gt;30&lt;/rec-number&gt;&lt;foreign-keys&gt;&lt;key app="EN" db-id="9wxsrdav5ezx02edpduvear6sdreax05tdw0" timestamp="1612803679"&gt;30&lt;/key&gt;&lt;/foreign-keys&gt;&lt;ref-type name="Thesis"&gt;32&lt;/ref-type&gt;&lt;contributors&gt;&lt;authors&gt;&lt;author&gt;Revill, Samantha Aileen&lt;/author&gt;&lt;/authors&gt;&lt;/contributors&gt;&lt;titles&gt;&lt;title&gt;Evaluation of a school-based nutrition and food preperation skills intervention delivered to schoolchildren from deprived social backgrounds&lt;/title&gt;&lt;/titles&gt;&lt;dates&gt;&lt;year&gt;2004&lt;/year&gt;&lt;/dates&gt;&lt;publisher&gt;Newcastle University&lt;/publisher&gt;&lt;urls&gt;&lt;/urls&gt;&lt;/record&gt;&lt;/Cite&gt;&lt;/EndNote&gt;</w:instrText>
      </w: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fldChar w:fldCharType="separate"/>
      </w:r>
      <w:r w:rsidR="00EC154B" w:rsidRPr="00EC154B">
        <w:rPr>
          <w:rFonts w:ascii="Times New Roman" w:eastAsiaTheme="minorHAnsi" w:hAnsi="Times New Roman" w:cs="Times New Roman"/>
          <w:b/>
          <w:bCs/>
          <w:noProof/>
          <w:color w:val="0D0D0D" w:themeColor="text1" w:themeTint="F2"/>
          <w:sz w:val="20"/>
          <w:szCs w:val="20"/>
          <w:vertAlign w:val="superscript"/>
          <w:lang w:bidi="fa-IR"/>
        </w:rPr>
        <w:t>14</w:t>
      </w:r>
      <w:r w:rsidRPr="002E2F08"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  <w:fldChar w:fldCharType="end"/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5526"/>
      </w:tblGrid>
      <w:tr w:rsidR="00F54AE3" w:rsidRPr="002E2F08" w14:paraId="308F1C2E" w14:textId="77777777" w:rsidTr="00DD5FE3">
        <w:trPr>
          <w:trHeight w:val="197"/>
        </w:trPr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86B083E" w14:textId="77777777" w:rsidR="00F54AE3" w:rsidRPr="002E2F08" w:rsidRDefault="00F54AE3" w:rsidP="00177B7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Bias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28191A" w14:textId="77777777" w:rsidR="00F54AE3" w:rsidRPr="002E2F08" w:rsidRDefault="00F54AE3" w:rsidP="00177B7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Authors’ judgement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657C78C" w14:textId="77777777" w:rsidR="00F54AE3" w:rsidRPr="002E2F08" w:rsidRDefault="00F54AE3" w:rsidP="00177B7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Support for judgement</w:t>
            </w:r>
          </w:p>
        </w:tc>
      </w:tr>
      <w:tr w:rsidR="00F54AE3" w:rsidRPr="002E2F08" w14:paraId="3B4C6A3C" w14:textId="77777777" w:rsidTr="00177B7A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7D38CDC6" w14:textId="77777777" w:rsidR="00F54AE3" w:rsidRPr="002E2F08" w:rsidRDefault="00F54AE3" w:rsidP="00177B7A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Selection bias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73B268F" w14:textId="77777777" w:rsidR="00F54AE3" w:rsidRPr="002E2F08" w:rsidRDefault="0007608C" w:rsidP="00177B7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342F8B8" w14:textId="77777777" w:rsidR="00F54AE3" w:rsidRPr="002E2F08" w:rsidRDefault="00774631" w:rsidP="0077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>schools were recruited randomly between two groupd</w:t>
            </w:r>
            <w:r w:rsidR="00F54AE3" w:rsidRPr="002E2F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2F08">
              <w:rPr>
                <w:rFonts w:ascii="Arial" w:hAnsi="Arial" w:cs="Arial"/>
                <w:sz w:val="104"/>
                <w:szCs w:val="104"/>
                <w:lang w:bidi="fa-IR"/>
              </w:rPr>
              <w:t xml:space="preserve"> 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allocation of </w:t>
            </w:r>
            <w:proofErr w:type="spellStart"/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schoolst</w:t>
            </w:r>
            <w:proofErr w:type="spellEnd"/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 control and intervention group did not affect numbers of volunteers.</w:t>
            </w:r>
            <w:r w:rsidR="00F54AE3" w:rsidRPr="002E2F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4AE3" w:rsidRPr="002E2F08" w14:paraId="4339ED9E" w14:textId="77777777" w:rsidTr="00912C7A">
        <w:trPr>
          <w:trHeight w:val="163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7D944CE6" w14:textId="77777777" w:rsidR="00F54AE3" w:rsidRPr="002E2F08" w:rsidRDefault="00F54AE3" w:rsidP="00177B7A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Study design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5700E0" w14:textId="77777777" w:rsidR="00F54AE3" w:rsidRPr="002E2F08" w:rsidRDefault="0007608C" w:rsidP="00912C7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4DC96BD0" w14:textId="77777777" w:rsidR="00F54AE3" w:rsidRPr="002E2F08" w:rsidRDefault="00912C7A" w:rsidP="00912C7A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</w:t>
            </w:r>
            <w:r w:rsidR="00252567"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ase control study design</w:t>
            </w:r>
          </w:p>
        </w:tc>
      </w:tr>
      <w:tr w:rsidR="00F54AE3" w:rsidRPr="002E2F08" w14:paraId="6524B22C" w14:textId="77777777" w:rsidTr="00B514FF">
        <w:trPr>
          <w:trHeight w:val="62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205DA52F" w14:textId="77777777" w:rsidR="00F54AE3" w:rsidRPr="002E2F08" w:rsidRDefault="00F54AE3" w:rsidP="00177B7A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Confounders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396CD4C" w14:textId="77777777" w:rsidR="00F54AE3" w:rsidRPr="002E2F08" w:rsidRDefault="0007608C" w:rsidP="00177B7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B4EB28E" w14:textId="77777777" w:rsidR="00F54AE3" w:rsidRPr="002E2F08" w:rsidRDefault="00403483" w:rsidP="00403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Adjustment for confounders was statistically done</w:t>
            </w:r>
          </w:p>
        </w:tc>
      </w:tr>
      <w:tr w:rsidR="00F54AE3" w:rsidRPr="002E2F08" w14:paraId="28484199" w14:textId="77777777" w:rsidTr="00CB47AC">
        <w:trPr>
          <w:trHeight w:val="217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4BD431DA" w14:textId="77777777" w:rsidR="00F54AE3" w:rsidRPr="002E2F08" w:rsidRDefault="00F54AE3" w:rsidP="00177B7A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Blinding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689594E" w14:textId="77777777" w:rsidR="00651844" w:rsidRPr="002E2F08" w:rsidRDefault="00651844" w:rsidP="00177B7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E33C865" w14:textId="77777777" w:rsidR="00F54AE3" w:rsidRPr="002E2F08" w:rsidRDefault="00651844" w:rsidP="00177B7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239BBA56" w14:textId="77777777" w:rsidR="00F54AE3" w:rsidRPr="002E2F08" w:rsidRDefault="00651844" w:rsidP="00177B7A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sustain the anonymity of intervention and control groups to research nutritionist responsible for collecting dietary data and to carry out a blind evaluation</w:t>
            </w:r>
          </w:p>
        </w:tc>
      </w:tr>
      <w:tr w:rsidR="00F54AE3" w:rsidRPr="002E2F08" w14:paraId="5739C34B" w14:textId="77777777" w:rsidTr="00B514FF">
        <w:trPr>
          <w:trHeight w:val="164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77094194" w14:textId="77777777" w:rsidR="00F54AE3" w:rsidRPr="002E2F08" w:rsidRDefault="00F54AE3" w:rsidP="00177B7A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Data collection methods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925B10B" w14:textId="77777777" w:rsidR="00F54AE3" w:rsidRPr="002E2F08" w:rsidRDefault="0007608C" w:rsidP="00177B7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7605CA96" w14:textId="77777777" w:rsidR="00F54AE3" w:rsidRPr="002E2F08" w:rsidRDefault="00651844" w:rsidP="00651844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There was no information on reliability measures. </w:t>
            </w:r>
          </w:p>
        </w:tc>
      </w:tr>
      <w:tr w:rsidR="0007608C" w:rsidRPr="002E2F08" w14:paraId="769FE7ED" w14:textId="77777777" w:rsidTr="00B514FF">
        <w:trPr>
          <w:trHeight w:val="225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E05F62D" w14:textId="77777777" w:rsidR="0007608C" w:rsidRPr="002E2F08" w:rsidRDefault="0007608C" w:rsidP="00177B7A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Withdrawals and drop-outs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5C205B3" w14:textId="77777777" w:rsidR="0007608C" w:rsidRPr="002E2F08" w:rsidRDefault="0007608C" w:rsidP="000760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1F616657" w14:textId="77777777" w:rsidR="0007608C" w:rsidRPr="002E2F08" w:rsidRDefault="0007608C" w:rsidP="000760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Don't indicate the percentage of participants completing the study.</w:t>
            </w:r>
          </w:p>
        </w:tc>
      </w:tr>
      <w:tr w:rsidR="0007608C" w:rsidRPr="002E2F08" w14:paraId="0ECBBCAC" w14:textId="77777777" w:rsidTr="00B514FF">
        <w:trPr>
          <w:trHeight w:val="234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6F916482" w14:textId="5730A6CE" w:rsidR="0007608C" w:rsidRPr="002E2F08" w:rsidRDefault="0007608C" w:rsidP="00177B7A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 xml:space="preserve">Global rating for this </w:t>
            </w:r>
            <w:r w:rsidR="00F63499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paper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7C9C158" w14:textId="77777777" w:rsidR="0007608C" w:rsidRPr="002E2F08" w:rsidRDefault="0007608C"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520B1905" w14:textId="77777777" w:rsidR="0007608C" w:rsidRPr="002E2F08" w:rsidRDefault="006A6C6B" w:rsidP="006A6C6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 has t</w:t>
            </w:r>
            <w:r w:rsidR="0007608C"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wo weak</w:t>
            </w:r>
          </w:p>
        </w:tc>
      </w:tr>
      <w:tr w:rsidR="0007608C" w:rsidRPr="002E2F08" w14:paraId="6860CFEE" w14:textId="77777777" w:rsidTr="00B514FF">
        <w:trPr>
          <w:trHeight w:val="217"/>
        </w:trPr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911BC85" w14:textId="77777777" w:rsidR="0007608C" w:rsidRPr="002E2F08" w:rsidRDefault="0007608C" w:rsidP="00177B7A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 xml:space="preserve">Overall assessment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A1055" w14:textId="77777777" w:rsidR="0007608C" w:rsidRPr="002E2F08" w:rsidRDefault="0007608C">
            <w:pPr>
              <w:rPr>
                <w:b/>
                <w:bCs/>
              </w:rPr>
            </w:pPr>
            <w:r w:rsidRPr="002E2F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DD17ACC" w14:textId="77777777" w:rsidR="0007608C" w:rsidRPr="002E2F08" w:rsidRDefault="0007608C" w:rsidP="00177B7A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6515C5FC" w14:textId="77777777" w:rsidR="00F54AE3" w:rsidRPr="002E2F08" w:rsidRDefault="00F54AE3" w:rsidP="00D44A87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color w:val="0070C0"/>
          <w:sz w:val="20"/>
          <w:szCs w:val="20"/>
          <w:lang w:bidi="fa-IR"/>
        </w:rPr>
      </w:pPr>
    </w:p>
    <w:p w14:paraId="7C1A0244" w14:textId="4DB6D72F" w:rsidR="007B7416" w:rsidRPr="002E2F08" w:rsidRDefault="007B7416" w:rsidP="007B741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t xml:space="preserve">Scherr RE et al, 2017,  northern and central California 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begin"/>
      </w:r>
      <w:r w:rsidR="00EC154B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instrText xml:space="preserve"> ADDIN EN.CITE &lt;EndNote&gt;&lt;Cite&gt;&lt;Author&gt;Scherr&lt;/Author&gt;&lt;Year&gt;2017&lt;/Year&gt;&lt;RecNum&gt;21&lt;/RecNum&gt;&lt;DisplayText&gt;&lt;style face="superscript"&gt;15&lt;/style&gt;&lt;/DisplayText&gt;&lt;record&gt;&lt;rec-number&gt;21&lt;/rec-number&gt;&lt;foreign-keys&gt;&lt;key app="EN" db-id="9wxsrdav5ezx02edpduvear6sdreax05tdw0" timestamp="1612803663"&gt;21&lt;/key&gt;&lt;/foreign-keys&gt;&lt;ref-type name="Journal Article"&gt;17&lt;/ref-type&gt;&lt;contributors&gt;&lt;authors&gt;&lt;author&gt;Scherr, Rachel E&lt;/author&gt;&lt;author&gt;Linnell, Jessica D&lt;/author&gt;&lt;author&gt;Dharmar, Madan&lt;/author&gt;&lt;author&gt;Beccarelli, Lori M&lt;/author&gt;&lt;author&gt;Bergman, Jacqueline J&lt;/author&gt;&lt;author&gt;Briggs, Marilyn&lt;/author&gt;&lt;author&gt;Brian, Kelley M&lt;/author&gt;&lt;author&gt;Feenstra, Gail&lt;/author&gt;&lt;author&gt;Hillhouse, J Carol&lt;/author&gt;&lt;author&gt;Keen, Carl L&lt;/author&gt;&lt;/authors&gt;&lt;/contributors&gt;&lt;titles&gt;&lt;title&gt;A multicomponent, school-based intervention, the shaping healthy choices program, improves nutrition-related outcomes&lt;/title&gt;&lt;secondary-title&gt;Journal of Nutrition Education and Behavior&lt;/secondary-title&gt;&lt;/titles&gt;&lt;periodical&gt;&lt;full-title&gt;Journal of nutrition education and behavior&lt;/full-title&gt;&lt;/periodical&gt;&lt;pages&gt;368-379. e1&lt;/pages&gt;&lt;volume&gt;49&lt;/volume&gt;&lt;number&gt;5&lt;/number&gt;&lt;dates&gt;&lt;year&gt;2017&lt;/year&gt;&lt;/dates&gt;&lt;isbn&gt;1499-4046&lt;/isbn&gt;&lt;urls&gt;&lt;/urls&gt;&lt;/record&gt;&lt;/Cite&gt;&lt;/EndNote&gt;</w:instrTex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separate"/>
      </w:r>
      <w:r w:rsidR="00EC154B" w:rsidRPr="00EC154B">
        <w:rPr>
          <w:rFonts w:ascii="Times New Roman" w:eastAsiaTheme="minorHAnsi" w:hAnsi="Times New Roman" w:cs="Times New Roman"/>
          <w:b/>
          <w:bCs/>
          <w:noProof/>
          <w:sz w:val="20"/>
          <w:szCs w:val="20"/>
          <w:vertAlign w:val="superscript"/>
          <w:lang w:bidi="fa-IR"/>
        </w:rPr>
        <w:t>15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end"/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5526"/>
      </w:tblGrid>
      <w:tr w:rsidR="007B7416" w:rsidRPr="002E2F08" w14:paraId="4153FFB7" w14:textId="77777777" w:rsidTr="00E54143">
        <w:trPr>
          <w:trHeight w:val="340"/>
        </w:trPr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05E6E42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Bias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B8A43C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Authors’ judgement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381457F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Support for judgement</w:t>
            </w:r>
          </w:p>
        </w:tc>
      </w:tr>
      <w:tr w:rsidR="007B7416" w:rsidRPr="002E2F08" w14:paraId="72FB97BB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4E85DC95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Selection bias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06C1673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4DA5F6D8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the individuals are selected to participate in the study likely to be representative of the target population</w:t>
            </w:r>
          </w:p>
        </w:tc>
      </w:tr>
      <w:tr w:rsidR="007B7416" w:rsidRPr="002E2F08" w14:paraId="65AC8D02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38F8CF61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Study design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C388C30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6066E002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A clustered, randomized, controlled intervention</w:t>
            </w:r>
          </w:p>
        </w:tc>
      </w:tr>
      <w:tr w:rsidR="007B7416" w:rsidRPr="002E2F08" w14:paraId="78FADBCF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27AA6F3A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Confounders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079D451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6CD315DE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Intervention and control schools were identified within the same school district so that they have similar characteristics across the 2 groups, and multilevel mixed-effects modeling was conducted to account for clustering within the schools and to adjust for any potential confounders in the study.</w:t>
            </w:r>
          </w:p>
        </w:tc>
      </w:tr>
      <w:tr w:rsidR="007B7416" w:rsidRPr="002E2F08" w14:paraId="6946AA52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4ACF7F45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Blinding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55269A3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15AB5774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It was not stated</w:t>
            </w:r>
          </w:p>
        </w:tc>
      </w:tr>
      <w:tr w:rsidR="007B7416" w:rsidRPr="002E2F08" w14:paraId="0A1366B3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700F9EF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Data collection methods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B81201D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3B9CDA8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</w:pPr>
            <w:r w:rsidRPr="002E2F08">
              <w:rPr>
                <w:rFonts w:ascii="Times New Roman" w:eastAsiaTheme="minorHAnsi" w:hAnsi="Times New Roman" w:cs="Times New Roman" w:hint="cs"/>
                <w:color w:val="0D0D0D" w:themeColor="text1" w:themeTint="F2"/>
                <w:sz w:val="20"/>
                <w:szCs w:val="20"/>
                <w:rtl/>
                <w:lang w:bidi="fa-IR"/>
              </w:rPr>
              <w:t>"</w:t>
            </w: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When possible, previously validated tools will be used.</w:t>
            </w:r>
            <w:r w:rsidRPr="002E2F08">
              <w:rPr>
                <w:rFonts w:ascii="Times New Roman" w:eastAsiaTheme="minorHAnsi" w:hAnsi="Times New Roman" w:cs="Times New Roman" w:hint="cs"/>
                <w:color w:val="0D0D0D" w:themeColor="text1" w:themeTint="F2"/>
                <w:sz w:val="20"/>
                <w:szCs w:val="20"/>
                <w:rtl/>
                <w:lang w:bidi="fa-IR"/>
              </w:rPr>
              <w:t>"</w:t>
            </w: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 xml:space="preserve"> </w:t>
            </w:r>
          </w:p>
        </w:tc>
      </w:tr>
      <w:tr w:rsidR="007B7416" w:rsidRPr="002E2F08" w14:paraId="52F7C0C6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25578B24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Withdrawals and drop-outs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A819AB4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 xml:space="preserve">strong 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4918AED3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withdrawals and drop-outs were reported in terms of numbers and/or reasons per group control and intervention</w:t>
            </w:r>
          </w:p>
        </w:tc>
      </w:tr>
      <w:tr w:rsidR="007B7416" w:rsidRPr="002E2F08" w14:paraId="33CBBB9A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05AB49E5" w14:textId="31D6A3FC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Global rating for this </w:t>
            </w:r>
            <w:r w:rsidR="00F63499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paper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73E8121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val="en-US" w:bidi="fa-IR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53EC8589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It has one weak</w:t>
            </w:r>
          </w:p>
        </w:tc>
      </w:tr>
      <w:tr w:rsidR="007B7416" w:rsidRPr="002E2F08" w14:paraId="3B62D856" w14:textId="77777777" w:rsidTr="00E54143">
        <w:trPr>
          <w:trHeight w:val="340"/>
        </w:trPr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9E8CCD4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Overall assessment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6983C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0"/>
                <w:szCs w:val="20"/>
                <w:lang w:bidi="fa-IR"/>
              </w:rPr>
            </w:pPr>
            <w:r w:rsidRPr="002E2F08"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0"/>
                <w:szCs w:val="20"/>
                <w:lang w:bidi="fa-IR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F0B30FB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5A123C33" w14:textId="77777777" w:rsidR="007B7416" w:rsidRPr="002E2F08" w:rsidRDefault="007B7416" w:rsidP="007B741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6E29769A" w14:textId="394C9CB0" w:rsidR="007B7416" w:rsidRPr="002E2F08" w:rsidRDefault="007B7416" w:rsidP="007B741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  <w:proofErr w:type="spellStart"/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t>Thonney</w:t>
      </w:r>
      <w:proofErr w:type="spellEnd"/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t xml:space="preserve"> &amp; </w:t>
      </w:r>
      <w:proofErr w:type="spellStart"/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t>Bisogni</w:t>
      </w:r>
      <w:proofErr w:type="spellEnd"/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t xml:space="preserve">, Cornell University, New York, 2006 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begin"/>
      </w:r>
      <w:r w:rsidR="00EC154B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instrText xml:space="preserve"> ADDIN EN.CITE &lt;EndNote&gt;&lt;Cite&gt;&lt;Author&gt;Thonney&lt;/Author&gt;&lt;Year&gt;2006&lt;/Year&gt;&lt;RecNum&gt;35&lt;/RecNum&gt;&lt;DisplayText&gt;&lt;style face="superscript"&gt;16&lt;/style&gt;&lt;/DisplayText&gt;&lt;record&gt;&lt;rec-number&gt;35&lt;/rec-number&gt;&lt;foreign-keys&gt;&lt;key app="EN" db-id="9wxsrdav5ezx02edpduvear6sdreax05tdw0" timestamp="1612803690"&gt;35&lt;/key&gt;&lt;/foreign-keys&gt;&lt;ref-type name="Journal Article"&gt;17&lt;/ref-type&gt;&lt;contributors&gt;&lt;authors&gt;&lt;author&gt;Thonney, Patricia F&lt;/author&gt;&lt;author&gt;Bisogni, Carole A&lt;/author&gt;&lt;/authors&gt;&lt;/contributors&gt;&lt;titles&gt;&lt;title&gt;Cooking up fun! A youth development strategy that promotes independent food skills&lt;/title&gt;&lt;secondary-title&gt;Journal of Nutrition Education and Behavior&lt;/secondary-title&gt;&lt;/titles&gt;&lt;periodical&gt;&lt;full-title&gt;Journal of nutrition education and behavior&lt;/full-title&gt;&lt;/periodical&gt;&lt;pages&gt;321-323&lt;/pages&gt;&lt;volume&gt;38&lt;/volume&gt;&lt;number&gt;5&lt;/number&gt;&lt;dates&gt;&lt;year&gt;2006&lt;/year&gt;&lt;/dates&gt;&lt;isbn&gt;1499-4046&lt;/isbn&gt;&lt;urls&gt;&lt;/urls&gt;&lt;/record&gt;&lt;/Cite&gt;&lt;/EndNote&gt;</w:instrTex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separate"/>
      </w:r>
      <w:r w:rsidR="00EC154B" w:rsidRPr="00EC154B">
        <w:rPr>
          <w:rFonts w:ascii="Times New Roman" w:eastAsiaTheme="minorHAnsi" w:hAnsi="Times New Roman" w:cs="Times New Roman"/>
          <w:b/>
          <w:bCs/>
          <w:noProof/>
          <w:sz w:val="20"/>
          <w:szCs w:val="20"/>
          <w:vertAlign w:val="superscript"/>
          <w:lang w:bidi="fa-IR"/>
        </w:rPr>
        <w:t>16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end"/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5526"/>
      </w:tblGrid>
      <w:tr w:rsidR="007B7416" w:rsidRPr="002E2F08" w14:paraId="07559EB4" w14:textId="77777777" w:rsidTr="00E54143">
        <w:trPr>
          <w:trHeight w:val="340"/>
        </w:trPr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87BB805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lastRenderedPageBreak/>
              <w:t>Bias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4F4D65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Authors’ judgement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658CA4C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Support for judgement</w:t>
            </w:r>
          </w:p>
        </w:tc>
      </w:tr>
      <w:tr w:rsidR="007B7416" w:rsidRPr="002E2F08" w14:paraId="3DFD36C4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7AB611BD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Selection bias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5D38243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E390EE6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the individuals are selected to participate in the study likely to be representative of the target population</w:t>
            </w:r>
          </w:p>
        </w:tc>
      </w:tr>
      <w:tr w:rsidR="007B7416" w:rsidRPr="002E2F08" w14:paraId="7A2D5CAC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362AD34C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Study design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3F8D923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1CAED4FB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without control group</w:t>
            </w:r>
          </w:p>
        </w:tc>
      </w:tr>
      <w:tr w:rsidR="007B7416" w:rsidRPr="002E2F08" w14:paraId="1186DA0C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39493B3B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Confounders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9720CF1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37675078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It is not shown</w:t>
            </w:r>
          </w:p>
        </w:tc>
      </w:tr>
      <w:tr w:rsidR="007B7416" w:rsidRPr="002E2F08" w14:paraId="13A8471B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7D67B8A6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Blinding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F23C4A6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6A3BD005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Blinding of teachers and students not possible.</w:t>
            </w:r>
            <w:r w:rsidRPr="002E2F08"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  <w:t xml:space="preserve"> </w:t>
            </w:r>
          </w:p>
        </w:tc>
      </w:tr>
      <w:tr w:rsidR="007B7416" w:rsidRPr="002E2F08" w14:paraId="4B4B88DE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39BC90E1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Data collection methods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20ED8D0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5EA06B91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>data collection tools were not shown to be valid</w:t>
            </w:r>
          </w:p>
        </w:tc>
      </w:tr>
      <w:tr w:rsidR="007B7416" w:rsidRPr="002E2F08" w14:paraId="67F77DA0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2BCE9BC5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Withdrawals and drop-outs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03A965B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weak</w:t>
            </w:r>
            <w:r w:rsidRPr="002E2F08"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52A6E6F7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>withdrawals and drop-outs were not reported in terms of numbers and/or reasons per group</w:t>
            </w:r>
          </w:p>
        </w:tc>
      </w:tr>
      <w:tr w:rsidR="007B7416" w:rsidRPr="002E2F08" w14:paraId="36459ED2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1C9B528C" w14:textId="34143DDD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Global rating for this </w:t>
            </w:r>
            <w:r w:rsidR="00F63499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paper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DBA7C29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4639E651" w14:textId="77777777" w:rsidR="007B7416" w:rsidRPr="002E2F08" w:rsidRDefault="007B7416" w:rsidP="00E54143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</w:pPr>
            <w:r w:rsidRPr="002E2F08">
              <w:rPr>
                <w:rFonts w:ascii="Times New Roman" w:eastAsiaTheme="minorHAnsi" w:hAnsi="Times New Roman" w:cs="Times New Roman"/>
                <w:color w:val="0D0D0D" w:themeColor="text1" w:themeTint="F2"/>
                <w:sz w:val="20"/>
                <w:szCs w:val="20"/>
                <w:lang w:bidi="fa-IR"/>
              </w:rPr>
              <w:t>It has three weak</w:t>
            </w:r>
          </w:p>
        </w:tc>
      </w:tr>
      <w:tr w:rsidR="007B7416" w:rsidRPr="002E2F08" w14:paraId="169EF099" w14:textId="77777777" w:rsidTr="00E54143">
        <w:trPr>
          <w:trHeight w:val="340"/>
        </w:trPr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7EABF9F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 xml:space="preserve">Overall assessment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60EBA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2E2F08"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0"/>
                <w:szCs w:val="20"/>
                <w:lang w:bidi="fa-IR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02FD8DB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lang w:val="en-GB"/>
              </w:rPr>
            </w:pPr>
          </w:p>
        </w:tc>
      </w:tr>
    </w:tbl>
    <w:p w14:paraId="63332F9B" w14:textId="77777777" w:rsidR="00E54143" w:rsidRDefault="00E54143" w:rsidP="002E2F08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0F593D4D" w14:textId="6A1EBE34" w:rsidR="00AA458C" w:rsidRPr="002E2F08" w:rsidRDefault="00AA458C" w:rsidP="002E2F08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t xml:space="preserve">Townsend et al, 2006 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begin"/>
      </w:r>
      <w:r w:rsidR="00EC154B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instrText xml:space="preserve"> ADDIN EN.CITE &lt;EndNote&gt;&lt;Cite&gt;&lt;Author&gt;Townsend&lt;/Author&gt;&lt;Year&gt;2006&lt;/Year&gt;&lt;RecNum&gt;25&lt;/RecNum&gt;&lt;DisplayText&gt;&lt;style face="superscript"&gt;17&lt;/style&gt;&lt;/DisplayText&gt;&lt;record&gt;&lt;rec-number&gt;25&lt;/rec-number&gt;&lt;foreign-keys&gt;&lt;key app="EN" db-id="9wxsrdav5ezx02edpduvear6sdreax05tdw0" timestamp="1612803669"&gt;25&lt;/key&gt;&lt;/foreign-keys&gt;&lt;ref-type name="Journal Article"&gt;17&lt;/ref-type&gt;&lt;contributors&gt;&lt;authors&gt;&lt;author&gt;Townsend, Marilyn S&lt;/author&gt;&lt;author&gt;Johns, Margaret&lt;/author&gt;&lt;author&gt;Shilts, Mical Kay&lt;/author&gt;&lt;author&gt;Farfan-Ramirez, Lucrecia&lt;/author&gt;&lt;/authors&gt;&lt;/contributors&gt;&lt;titles&gt;&lt;title&gt;Evaluation of a USDA nutrition education program for low-income youth&lt;/title&gt;&lt;secondary-title&gt;Journal of nutrition education and behavior&lt;/secondary-title&gt;&lt;/titles&gt;&lt;periodical&gt;&lt;full-title&gt;Journal of nutrition education and behavior&lt;/full-title&gt;&lt;/periodical&gt;&lt;pages&gt;30-41&lt;/pages&gt;&lt;volume&gt;38&lt;/volume&gt;&lt;number&gt;1&lt;/number&gt;&lt;dates&gt;&lt;year&gt;2006&lt;/year&gt;&lt;/dates&gt;&lt;isbn&gt;1499-4046&lt;/isbn&gt;&lt;urls&gt;&lt;/urls&gt;&lt;/record&gt;&lt;/Cite&gt;&lt;/EndNote&gt;</w:instrTex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separate"/>
      </w:r>
      <w:r w:rsidR="00EC154B" w:rsidRPr="00EC154B">
        <w:rPr>
          <w:rFonts w:ascii="Times New Roman" w:eastAsiaTheme="minorHAnsi" w:hAnsi="Times New Roman" w:cs="Times New Roman"/>
          <w:b/>
          <w:bCs/>
          <w:noProof/>
          <w:sz w:val="20"/>
          <w:szCs w:val="20"/>
          <w:vertAlign w:val="superscript"/>
          <w:lang w:bidi="fa-IR"/>
        </w:rPr>
        <w:t>17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end"/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5526"/>
      </w:tblGrid>
      <w:tr w:rsidR="00AA458C" w:rsidRPr="002E2F08" w14:paraId="2A5183E7" w14:textId="77777777" w:rsidTr="00AC2996">
        <w:trPr>
          <w:trHeight w:val="340"/>
        </w:trPr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43B6E3C" w14:textId="77777777" w:rsidR="00AA458C" w:rsidRPr="002E2F08" w:rsidRDefault="00AA458C" w:rsidP="00AC299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Bias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00CFAA" w14:textId="77777777" w:rsidR="00AA458C" w:rsidRPr="002E2F08" w:rsidRDefault="00AA458C" w:rsidP="0085005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Authors’ judgement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52B5465" w14:textId="77777777" w:rsidR="00AA458C" w:rsidRPr="002E2F08" w:rsidRDefault="00AA458C" w:rsidP="0085005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Support for judgement</w:t>
            </w:r>
          </w:p>
        </w:tc>
      </w:tr>
      <w:tr w:rsidR="00562EE1" w:rsidRPr="002E2F08" w14:paraId="36DAD156" w14:textId="77777777" w:rsidTr="00AC2996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  <w:vAlign w:val="center"/>
          </w:tcPr>
          <w:p w14:paraId="143E0D43" w14:textId="77777777" w:rsidR="00562EE1" w:rsidRPr="002E2F08" w:rsidRDefault="00562EE1" w:rsidP="00AC2996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Selection bias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F7CBD" w14:textId="77777777" w:rsidR="00562EE1" w:rsidRPr="002E2F08" w:rsidRDefault="00AC5F8E" w:rsidP="007F3E9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3AB11762" w14:textId="77777777" w:rsidR="00562EE1" w:rsidRPr="002E2F08" w:rsidRDefault="00562EE1" w:rsidP="0070514F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Leaders in the treatment condition were asked to document</w:t>
            </w:r>
            <w:r w:rsidR="0070514F" w:rsidRPr="002E2F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2E2F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the activities they conducted with their participants. Of</w:t>
            </w:r>
            <w:r w:rsidR="0070514F" w:rsidRPr="002E2F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2E2F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those leaders, 80% (n </w:t>
            </w:r>
            <w:r w:rsidR="000C1339" w:rsidRPr="002E2F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=</w:t>
            </w:r>
            <w:r w:rsidRPr="002E2F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128) completed the questionnaire</w:t>
            </w:r>
            <w:r w:rsidRPr="002E2F0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</w:t>
            </w:r>
          </w:p>
        </w:tc>
      </w:tr>
      <w:tr w:rsidR="00562EE1" w:rsidRPr="002E2F08" w14:paraId="3F5BBEDC" w14:textId="77777777" w:rsidTr="00AC2996">
        <w:trPr>
          <w:trHeight w:val="313"/>
        </w:trPr>
        <w:tc>
          <w:tcPr>
            <w:tcW w:w="2410" w:type="dxa"/>
            <w:tcBorders>
              <w:left w:val="nil"/>
              <w:right w:val="single" w:sz="12" w:space="0" w:color="auto"/>
            </w:tcBorders>
            <w:vAlign w:val="center"/>
          </w:tcPr>
          <w:p w14:paraId="039D95B4" w14:textId="77777777" w:rsidR="00562EE1" w:rsidRPr="002E2F08" w:rsidRDefault="00562EE1" w:rsidP="00AC2996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Study design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84DC7A" w14:textId="77777777" w:rsidR="00562EE1" w:rsidRPr="002E2F08" w:rsidRDefault="00AC5F8E" w:rsidP="007F3E9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370B161A" w14:textId="77777777" w:rsidR="00562EE1" w:rsidRPr="002E2F08" w:rsidRDefault="00562EE1" w:rsidP="000C1339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  <w:r w:rsidRPr="002E2F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It is a Randomized controlled trial.</w:t>
            </w:r>
          </w:p>
        </w:tc>
      </w:tr>
      <w:tr w:rsidR="00562EE1" w:rsidRPr="002E2F08" w14:paraId="7433E10B" w14:textId="77777777" w:rsidTr="00AC2996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  <w:vAlign w:val="center"/>
          </w:tcPr>
          <w:p w14:paraId="3DB5C87A" w14:textId="77777777" w:rsidR="00562EE1" w:rsidRPr="002E2F08" w:rsidRDefault="00562EE1" w:rsidP="00AC2996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Confounders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D8BFE6" w14:textId="77777777" w:rsidR="00562EE1" w:rsidRPr="002E2F08" w:rsidRDefault="00AC5F8E" w:rsidP="007F3E9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73468A48" w14:textId="77777777" w:rsidR="00562EE1" w:rsidRPr="002E2F08" w:rsidRDefault="00C35DB1" w:rsidP="00CB47AC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The explanatory variable was condition (“intervention” treatment or “delayed intervention” control) as main effect with covariates being preintervention score, gender, age, and ethnicity, with</w:t>
            </w:r>
            <w:r w:rsidR="00CB47AC" w:rsidRPr="002E2F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2E2F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group nested in condition.</w:t>
            </w:r>
          </w:p>
        </w:tc>
      </w:tr>
      <w:tr w:rsidR="00562EE1" w:rsidRPr="002E2F08" w14:paraId="3989296F" w14:textId="77777777" w:rsidTr="00AC2996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  <w:vAlign w:val="center"/>
          </w:tcPr>
          <w:p w14:paraId="054D61B4" w14:textId="77777777" w:rsidR="00562EE1" w:rsidRPr="002E2F08" w:rsidRDefault="00562EE1" w:rsidP="00AC2996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Blinding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A9EFDD" w14:textId="77777777" w:rsidR="00562EE1" w:rsidRPr="002E2F08" w:rsidRDefault="00AC5F8E" w:rsidP="007F3E9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663B0FA" w14:textId="77777777" w:rsidR="00562EE1" w:rsidRPr="002E2F08" w:rsidRDefault="00562EE1" w:rsidP="004F30BF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Blinding of teachers and students not possible. The outcome measures are direct (task-based assessment) and not likely to be influenced by lack of blinding</w:t>
            </w:r>
            <w:r w:rsidRPr="002E2F08"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  <w:t>.</w:t>
            </w:r>
          </w:p>
        </w:tc>
      </w:tr>
      <w:tr w:rsidR="00562EE1" w:rsidRPr="002E2F08" w14:paraId="0D414B49" w14:textId="77777777" w:rsidTr="00AC2996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  <w:vAlign w:val="center"/>
          </w:tcPr>
          <w:p w14:paraId="5E074D28" w14:textId="77777777" w:rsidR="00562EE1" w:rsidRPr="002E2F08" w:rsidRDefault="00562EE1" w:rsidP="00AC2996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Data collection methods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27DC75" w14:textId="77777777" w:rsidR="00562EE1" w:rsidRPr="002E2F08" w:rsidRDefault="00AC5F8E" w:rsidP="007F3E9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6941680B" w14:textId="77777777" w:rsidR="00562EE1" w:rsidRPr="002E2F08" w:rsidRDefault="00086782" w:rsidP="00D40F91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Data collection tools were not vali</w:t>
            </w:r>
            <w:r w:rsidR="00D40F91" w:rsidRPr="002E2F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</w:t>
            </w:r>
            <w:r w:rsidRPr="002E2F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  <w:r w:rsidR="00D40F91" w:rsidRPr="002E2F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Nutrition and food safety knowledge and food preparation skills were assessed by self-report</w:t>
            </w:r>
          </w:p>
        </w:tc>
      </w:tr>
      <w:tr w:rsidR="00562EE1" w:rsidRPr="002E2F08" w14:paraId="5D2DC162" w14:textId="77777777" w:rsidTr="00AC2996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  <w:vAlign w:val="center"/>
          </w:tcPr>
          <w:p w14:paraId="1CF1E878" w14:textId="77777777" w:rsidR="00562EE1" w:rsidRPr="002E2F08" w:rsidRDefault="00562EE1" w:rsidP="00AC2996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Withdrawals and drop-outs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FF8DF" w14:textId="77777777" w:rsidR="00562EE1" w:rsidRPr="002E2F08" w:rsidRDefault="00AC5F8E" w:rsidP="007F3E9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6DAB3C1B" w14:textId="77777777" w:rsidR="00562EE1" w:rsidRPr="002E2F08" w:rsidRDefault="001A0E53" w:rsidP="00562EE1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Indicate the percentage of participants completing the study.</w:t>
            </w:r>
          </w:p>
        </w:tc>
      </w:tr>
      <w:tr w:rsidR="00562EE1" w:rsidRPr="002E2F08" w14:paraId="20191CFE" w14:textId="77777777" w:rsidTr="00AC2996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  <w:vAlign w:val="center"/>
          </w:tcPr>
          <w:p w14:paraId="3F60A3E5" w14:textId="2540ED35" w:rsidR="00562EE1" w:rsidRPr="002E2F08" w:rsidRDefault="00562EE1" w:rsidP="00AC2996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Global rating for this </w:t>
            </w:r>
            <w:r w:rsidR="00F63499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paper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7C531E" w14:textId="7E940137" w:rsidR="00562EE1" w:rsidRPr="002E2F08" w:rsidRDefault="00E05F2C" w:rsidP="007F3E9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318D9851" w14:textId="77777777" w:rsidR="00562EE1" w:rsidRPr="002E2F08" w:rsidRDefault="00D974B6" w:rsidP="00D974B6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It has </w:t>
            </w:r>
            <w:r w:rsidR="00406DF0" w:rsidRPr="002E2F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one weak</w:t>
            </w:r>
          </w:p>
        </w:tc>
      </w:tr>
      <w:tr w:rsidR="00562EE1" w:rsidRPr="002E2F08" w14:paraId="40497388" w14:textId="77777777" w:rsidTr="00AC2996">
        <w:trPr>
          <w:trHeight w:val="340"/>
        </w:trPr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79ED46" w14:textId="77777777" w:rsidR="00562EE1" w:rsidRPr="002E2F08" w:rsidRDefault="00562EE1" w:rsidP="00AC2996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Overall assessment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08EB1" w14:textId="77777777" w:rsidR="00562EE1" w:rsidRPr="002E2F08" w:rsidRDefault="00AC5F8E" w:rsidP="007F3E9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modearte</w:t>
            </w:r>
            <w:proofErr w:type="spellEnd"/>
          </w:p>
        </w:tc>
        <w:tc>
          <w:tcPr>
            <w:tcW w:w="552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2BEE44F" w14:textId="77777777" w:rsidR="00562EE1" w:rsidRPr="002E2F08" w:rsidRDefault="00562EE1" w:rsidP="00562EE1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5CE1F129" w14:textId="77777777" w:rsidR="00AA458C" w:rsidRPr="002E2F08" w:rsidRDefault="00AA458C" w:rsidP="00D44A87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06C28B31" w14:textId="77777777" w:rsidR="00FD5643" w:rsidRPr="002E2F08" w:rsidRDefault="00FD5643" w:rsidP="00F714C0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4BB55E9C" w14:textId="4E2F4297" w:rsidR="007B7416" w:rsidRPr="002E2F08" w:rsidRDefault="007B7416" w:rsidP="007B741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  <w:proofErr w:type="spellStart"/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t>Treu</w:t>
      </w:r>
      <w:proofErr w:type="spellEnd"/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t xml:space="preserve"> et al, 2017 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begin"/>
      </w:r>
      <w:r w:rsidR="00EC154B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instrText xml:space="preserve"> ADDIN EN.CITE &lt;EndNote&gt;&lt;Cite&gt;&lt;Author&gt;Treu&lt;/Author&gt;&lt;Year&gt;2017&lt;/Year&gt;&lt;RecNum&gt;32&lt;/RecNum&gt;&lt;DisplayText&gt;&lt;style face="superscript"&gt;18&lt;/style&gt;&lt;/DisplayText&gt;&lt;record&gt;&lt;rec-number&gt;32&lt;/rec-number&gt;&lt;foreign-keys&gt;&lt;key app="EN" db-id="9wxsrdav5ezx02edpduvear6sdreax05tdw0" timestamp="1612803684"&gt;32&lt;/key&gt;&lt;/foreign-keys&gt;&lt;ref-type name="Journal Article"&gt;17&lt;/ref-type&gt;&lt;contributors&gt;&lt;authors&gt;&lt;author&gt;Treu, Judith A&lt;/author&gt;&lt;author&gt;Doughty, Kimberly&lt;/author&gt;&lt;author&gt;Reynolds, Jesse S&lt;/author&gt;&lt;author&gt;Njike, Valentine Y&lt;/author&gt;&lt;author&gt;Katz, David L&lt;/author&gt;&lt;/authors&gt;&lt;/contributors&gt;&lt;titles&gt;&lt;title&gt;Advancing School and Community Engagement Now for Disease Prevention (ASCEND) a quasi-experimental trial of school-based interventions to prevent childhood obesity&lt;/title&gt;&lt;secondary-title&gt;American journal of health promotion&lt;/secondary-title&gt;&lt;/titles&gt;&lt;periodical&gt;&lt;full-title&gt;American journal of health promotion&lt;/full-title&gt;&lt;/periodical&gt;&lt;pages&gt;143-152&lt;/pages&gt;&lt;volume&gt;31&lt;/volume&gt;&lt;number&gt;2&lt;/number&gt;&lt;dates&gt;&lt;year&gt;2017&lt;/year&gt;&lt;/dates&gt;&lt;isbn&gt;0890-1171&lt;/isbn&gt;&lt;urls&gt;&lt;/urls&gt;&lt;/record&gt;&lt;/Cite&gt;&lt;/EndNote&gt;</w:instrTex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separate"/>
      </w:r>
      <w:r w:rsidR="00EC154B" w:rsidRPr="00EC154B">
        <w:rPr>
          <w:rFonts w:ascii="Times New Roman" w:eastAsiaTheme="minorHAnsi" w:hAnsi="Times New Roman" w:cs="Times New Roman"/>
          <w:b/>
          <w:bCs/>
          <w:noProof/>
          <w:sz w:val="20"/>
          <w:szCs w:val="20"/>
          <w:vertAlign w:val="superscript"/>
          <w:lang w:bidi="fa-IR"/>
        </w:rPr>
        <w:t>18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end"/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5526"/>
      </w:tblGrid>
      <w:tr w:rsidR="007B7416" w:rsidRPr="002E2F08" w14:paraId="7C572E94" w14:textId="77777777" w:rsidTr="00E54143">
        <w:trPr>
          <w:trHeight w:val="340"/>
        </w:trPr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E431380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Bias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4FDF4E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Authors’ judgement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93689F4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Support for judgement</w:t>
            </w:r>
          </w:p>
        </w:tc>
      </w:tr>
      <w:tr w:rsidR="007B7416" w:rsidRPr="002E2F08" w14:paraId="797F4A9E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37A2D4E8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Selection bias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CCEACE8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1FCC3E50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selected individuals are at least somewhat likely to be representative of the target population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results were obtained from a single intervention school district and a single control district in the same geographic area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may 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limiting generalizability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7B7416" w:rsidRPr="002E2F08" w14:paraId="534FA62F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235E7B26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lastRenderedPageBreak/>
              <w:t>Study design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AA71C12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77ECD260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Quasi-experimental with three arms</w:t>
            </w:r>
          </w:p>
        </w:tc>
      </w:tr>
      <w:tr w:rsidR="007B7416" w:rsidRPr="002E2F08" w14:paraId="6102925B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31A735E9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Confounders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6CC0781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C48D43B" w14:textId="77777777" w:rsidR="007B7416" w:rsidRPr="002E2F08" w:rsidRDefault="007B7416" w:rsidP="00E54143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was a substantial risk of confounding by factors</w:t>
            </w:r>
            <w:r w:rsidRPr="002E2F08">
              <w:rPr>
                <w:rFonts w:ascii="AdvPSA33E" w:cs="AdvPSA33E"/>
                <w:sz w:val="19"/>
                <w:szCs w:val="19"/>
                <w:lang w:val="en-US" w:bidi="fa-IR"/>
              </w:rPr>
              <w:t xml:space="preserve"> 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within the school districts (control of confounders was not described e.g., adjusted based on race and etc.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7B7416" w:rsidRPr="002E2F08" w14:paraId="35716CE5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3AB58C5E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Blinding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1D6CDC9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8A1777B" w14:textId="77777777" w:rsidR="007B7416" w:rsidRPr="002E2F08" w:rsidRDefault="007B7416" w:rsidP="00E54143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Blinding of teachers and students not possible</w:t>
            </w:r>
          </w:p>
        </w:tc>
      </w:tr>
      <w:tr w:rsidR="007B7416" w:rsidRPr="002E2F08" w14:paraId="5FED87A8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B6B6468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Data collection methods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1F7D41B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5B90DFFB" w14:textId="77777777" w:rsidR="007B7416" w:rsidRPr="002E2F08" w:rsidRDefault="007B7416" w:rsidP="00E54143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instrument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was valid and reliable</w:t>
            </w:r>
          </w:p>
        </w:tc>
      </w:tr>
      <w:tr w:rsidR="007B7416" w:rsidRPr="002E2F08" w14:paraId="076674C2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367A3251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Withdrawals and drop-outs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8E911B0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7058529E" w14:textId="77777777" w:rsidR="007B7416" w:rsidRPr="002E2F08" w:rsidRDefault="007B7416" w:rsidP="00E54143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follow-up rate was greater than 80% </w:t>
            </w:r>
          </w:p>
        </w:tc>
      </w:tr>
      <w:tr w:rsidR="007B7416" w:rsidRPr="002E2F08" w14:paraId="1CC74D1C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0099E59C" w14:textId="0927D4AB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Global rating for this </w:t>
            </w:r>
            <w:r w:rsidR="00F63499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paper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B0A4ED1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457E63CB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there is one weak</w:t>
            </w:r>
          </w:p>
        </w:tc>
      </w:tr>
      <w:tr w:rsidR="007B7416" w:rsidRPr="002E2F08" w14:paraId="2A0077EC" w14:textId="77777777" w:rsidTr="00E54143">
        <w:trPr>
          <w:trHeight w:val="340"/>
        </w:trPr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4E5EB9D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Overall assessment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CA19B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5207A4B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F05690E" w14:textId="77777777" w:rsidR="007B7416" w:rsidRPr="002E2F08" w:rsidRDefault="007B7416" w:rsidP="007B741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3D9C3380" w14:textId="7C502374" w:rsidR="007B7416" w:rsidRPr="002E2F08" w:rsidRDefault="007B7416" w:rsidP="007B741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t xml:space="preserve">Wolf et al, 2018 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begin"/>
      </w:r>
      <w:r w:rsidR="00EC154B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instrText xml:space="preserve"> ADDIN EN.CITE &lt;EndNote&gt;&lt;Cite&gt;&lt;Author&gt;Wolfe&lt;/Author&gt;&lt;Year&gt;2018&lt;/Year&gt;&lt;RecNum&gt;19&lt;/RecNum&gt;&lt;DisplayText&gt;&lt;style face="superscript"&gt;19&lt;/style&gt;&lt;/DisplayText&gt;&lt;record&gt;&lt;rec-number&gt;19&lt;/rec-number&gt;&lt;foreign-keys&gt;&lt;key app="EN" db-id="9wxsrdav5ezx02edpduvear6sdreax05tdw0" timestamp="1612803660"&gt;19&lt;/key&gt;&lt;/foreign-keys&gt;&lt;ref-type name="Journal Article"&gt;17&lt;/ref-type&gt;&lt;contributors&gt;&lt;authors&gt;&lt;author&gt;Wolfe, Wendy&lt;/author&gt;&lt;author&gt;Dollahite, Jamie&lt;/author&gt;&lt;/authors&gt;&lt;/contributors&gt;&lt;titles&gt;&lt;title&gt;Choose Health: Food, Fun, and Fitness Curriculum Promotes Positive Behaviors in Youth Compared to Control Period&lt;/title&gt;&lt;secondary-title&gt;Journal of nutrition education and behavior&lt;/secondary-title&gt;&lt;/titles&gt;&lt;periodical&gt;&lt;full-title&gt;Journal of nutrition education and behavior&lt;/full-title&gt;&lt;/periodical&gt;&lt;pages&gt;S153-S154&lt;/pages&gt;&lt;volume&gt;50&lt;/volume&gt;&lt;number&gt;7&lt;/number&gt;&lt;dates&gt;&lt;year&gt;2018&lt;/year&gt;&lt;/dates&gt;&lt;isbn&gt;1499-4046&lt;/isbn&gt;&lt;urls&gt;&lt;/urls&gt;&lt;/record&gt;&lt;/Cite&gt;&lt;/EndNote&gt;</w:instrTex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separate"/>
      </w:r>
      <w:r w:rsidR="00EC154B" w:rsidRPr="00EC154B">
        <w:rPr>
          <w:rFonts w:ascii="Times New Roman" w:eastAsiaTheme="minorHAnsi" w:hAnsi="Times New Roman" w:cs="Times New Roman"/>
          <w:b/>
          <w:bCs/>
          <w:noProof/>
          <w:sz w:val="20"/>
          <w:szCs w:val="20"/>
          <w:vertAlign w:val="superscript"/>
          <w:lang w:bidi="fa-IR"/>
        </w:rPr>
        <w:t>19</w:t>
      </w:r>
      <w:r w:rsidRPr="002E2F08"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  <w:fldChar w:fldCharType="end"/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5526"/>
      </w:tblGrid>
      <w:tr w:rsidR="007B7416" w:rsidRPr="002E2F08" w14:paraId="508F2430" w14:textId="77777777" w:rsidTr="00E54143">
        <w:trPr>
          <w:trHeight w:val="340"/>
        </w:trPr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28B5465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Bias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31A52B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Authors’ judgement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99A53D7" w14:textId="77777777" w:rsidR="007B7416" w:rsidRPr="002E2F08" w:rsidRDefault="007B7416" w:rsidP="00E5414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Support for judgement</w:t>
            </w:r>
          </w:p>
        </w:tc>
      </w:tr>
      <w:tr w:rsidR="007B7416" w:rsidRPr="002E2F08" w14:paraId="2062210F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1E6C3169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Selection bias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7B0592B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359A02A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 participants agreed to participate in the study</w:t>
            </w:r>
          </w:p>
        </w:tc>
      </w:tr>
      <w:tr w:rsidR="007B7416" w:rsidRPr="002E2F08" w14:paraId="2DC71E9F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6F9AFFF5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Study design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85A4D18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2B4C6B8F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pre-post surveys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without control group</w:t>
            </w:r>
          </w:p>
        </w:tc>
      </w:tr>
      <w:tr w:rsidR="007B7416" w:rsidRPr="002E2F08" w14:paraId="7C4A8C63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4AEE9327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Confounders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D900D65" w14:textId="77777777" w:rsidR="007B7416" w:rsidRPr="002E2F08" w:rsidRDefault="007B7416" w:rsidP="00E5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5A5EA771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was no difference at baseline and post-intervention based on the SES demographic factors</w:t>
            </w:r>
          </w:p>
        </w:tc>
      </w:tr>
      <w:tr w:rsidR="007B7416" w:rsidRPr="002E2F08" w14:paraId="41F72B64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2F8B936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Blinding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AE62136" w14:textId="77777777" w:rsidR="007B7416" w:rsidRPr="002E2F08" w:rsidRDefault="007B7416" w:rsidP="00E5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5994F13A" w14:textId="77777777" w:rsidR="007B7416" w:rsidRPr="002E2F08" w:rsidRDefault="007B7416" w:rsidP="00E54143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Blinding of teachers and students not possible</w:t>
            </w:r>
          </w:p>
        </w:tc>
      </w:tr>
      <w:tr w:rsidR="007B7416" w:rsidRPr="002E2F08" w14:paraId="6AA84EDB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424875B1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Data collection methods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0D7E363" w14:textId="77777777" w:rsidR="007B7416" w:rsidRPr="002E2F08" w:rsidRDefault="007B7416" w:rsidP="00E54143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253B2FDF" w14:textId="77777777" w:rsidR="007B7416" w:rsidRPr="002E2F08" w:rsidRDefault="007B7416" w:rsidP="00E54143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measures used internally reliable, but they need further testing</w:t>
            </w:r>
          </w:p>
        </w:tc>
      </w:tr>
      <w:tr w:rsidR="007B7416" w:rsidRPr="002E2F08" w14:paraId="2BF7C965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5E62763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Withdrawals and drop-outs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981D628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0501AA88" w14:textId="77777777" w:rsidR="007B7416" w:rsidRPr="002E2F08" w:rsidRDefault="007B7416" w:rsidP="00E54143">
            <w:pPr>
              <w:pStyle w:val="NoSpacing"/>
              <w:jc w:val="lowKashida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follow-up rate was</w:t>
            </w: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not described</w:t>
            </w:r>
          </w:p>
        </w:tc>
      </w:tr>
      <w:tr w:rsidR="007B7416" w:rsidRPr="002E2F08" w14:paraId="11483CCA" w14:textId="77777777" w:rsidTr="00E54143">
        <w:trPr>
          <w:trHeight w:val="340"/>
        </w:trPr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5BF6050D" w14:textId="6A6DCE4C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Global rating for this </w:t>
            </w:r>
            <w:r w:rsidR="00F63499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>paper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82CAA01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right w:val="nil"/>
            </w:tcBorders>
            <w:vAlign w:val="center"/>
          </w:tcPr>
          <w:p w14:paraId="34829984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there is </w:t>
            </w:r>
            <w:proofErr w:type="spellStart"/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two</w:t>
            </w:r>
            <w:proofErr w:type="spellEnd"/>
            <w:r w:rsidRPr="002E2F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weak</w:t>
            </w:r>
          </w:p>
        </w:tc>
      </w:tr>
      <w:tr w:rsidR="007B7416" w:rsidRPr="002E2F08" w14:paraId="237804F3" w14:textId="77777777" w:rsidTr="00E54143">
        <w:trPr>
          <w:trHeight w:val="340"/>
        </w:trPr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B50D113" w14:textId="77777777" w:rsidR="007B7416" w:rsidRPr="002E2F08" w:rsidRDefault="007B7416" w:rsidP="00E54143">
            <w:pPr>
              <w:pStyle w:val="NoSpacing"/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</w:pPr>
            <w:r w:rsidRPr="002E2F08">
              <w:rPr>
                <w:rFonts w:ascii="Times New Roman" w:eastAsia="Calibri Light" w:hAnsi="Times New Roman" w:cs="Times New Roman"/>
                <w:b/>
                <w:sz w:val="18"/>
                <w:szCs w:val="18"/>
              </w:rPr>
              <w:t xml:space="preserve">Overall assessment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18884" w14:textId="77777777" w:rsidR="007B7416" w:rsidRPr="002E2F08" w:rsidRDefault="007B7416" w:rsidP="00E5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E2F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weak</w:t>
            </w:r>
          </w:p>
        </w:tc>
        <w:tc>
          <w:tcPr>
            <w:tcW w:w="552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C8EF5C9" w14:textId="77777777" w:rsidR="007B7416" w:rsidRPr="002E2F08" w:rsidRDefault="007B7416" w:rsidP="00E5414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E62AB74" w14:textId="77777777" w:rsidR="007B7416" w:rsidRPr="002E2F08" w:rsidRDefault="007B7416" w:rsidP="007B741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color w:val="0D0D0D" w:themeColor="text1" w:themeTint="F2"/>
          <w:sz w:val="20"/>
          <w:szCs w:val="20"/>
          <w:lang w:bidi="fa-IR"/>
        </w:rPr>
      </w:pPr>
    </w:p>
    <w:p w14:paraId="3A585E6D" w14:textId="77777777" w:rsidR="007B7416" w:rsidRPr="002E2F08" w:rsidRDefault="007B7416" w:rsidP="007B741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1E9FB74B" w14:textId="77777777" w:rsidR="00FD5643" w:rsidRPr="002E2F08" w:rsidRDefault="00FD5643" w:rsidP="003A1D10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70477CF4" w14:textId="77777777" w:rsidR="00FD5643" w:rsidRPr="002E2F08" w:rsidRDefault="00FD5643" w:rsidP="003A1D10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5FB70BDA" w14:textId="77777777" w:rsidR="00612B5E" w:rsidRDefault="00612B5E" w:rsidP="003A1D10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4"/>
          <w:szCs w:val="24"/>
          <w:lang w:bidi="fa-IR"/>
        </w:rPr>
      </w:pPr>
    </w:p>
    <w:p w14:paraId="0C4E9CEA" w14:textId="77777777" w:rsidR="00612B5E" w:rsidRDefault="00612B5E" w:rsidP="003A1D10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4"/>
          <w:szCs w:val="24"/>
          <w:lang w:bidi="fa-IR"/>
        </w:rPr>
      </w:pPr>
    </w:p>
    <w:p w14:paraId="3EE67401" w14:textId="77777777" w:rsidR="00612B5E" w:rsidRDefault="00612B5E" w:rsidP="003A1D10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4"/>
          <w:szCs w:val="24"/>
          <w:lang w:bidi="fa-IR"/>
        </w:rPr>
      </w:pPr>
    </w:p>
    <w:p w14:paraId="29FD30A4" w14:textId="77777777" w:rsidR="00612B5E" w:rsidRDefault="00612B5E" w:rsidP="003A1D10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4"/>
          <w:szCs w:val="24"/>
          <w:lang w:bidi="fa-IR"/>
        </w:rPr>
      </w:pPr>
    </w:p>
    <w:p w14:paraId="3FC5ECDA" w14:textId="43E599F9" w:rsidR="00D62253" w:rsidRPr="002E2F08" w:rsidRDefault="002E2F08" w:rsidP="003A1D10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4"/>
          <w:szCs w:val="24"/>
          <w:lang w:bidi="fa-IR"/>
        </w:rPr>
      </w:pPr>
      <w:r w:rsidRPr="002E2F08">
        <w:rPr>
          <w:rFonts w:ascii="Times New Roman" w:eastAsiaTheme="minorHAnsi" w:hAnsi="Times New Roman" w:cs="Times New Roman"/>
          <w:b/>
          <w:bCs/>
          <w:sz w:val="24"/>
          <w:szCs w:val="24"/>
          <w:lang w:bidi="fa-IR"/>
        </w:rPr>
        <w:t>References</w:t>
      </w:r>
    </w:p>
    <w:p w14:paraId="271C3A11" w14:textId="77777777" w:rsidR="00D62253" w:rsidRPr="002E2F08" w:rsidRDefault="00D62253" w:rsidP="003A1D10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</w:p>
    <w:p w14:paraId="4E1C425B" w14:textId="77777777" w:rsidR="002E2F08" w:rsidRPr="00EF48B1" w:rsidRDefault="002E2F08" w:rsidP="003A1D10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sz w:val="20"/>
          <w:szCs w:val="20"/>
          <w:lang w:bidi="fa-IR"/>
        </w:rPr>
      </w:pPr>
    </w:p>
    <w:p w14:paraId="6B938CEF" w14:textId="77777777" w:rsidR="00EF48B1" w:rsidRPr="00EF48B1" w:rsidRDefault="002E2F08" w:rsidP="00EF48B1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F48B1">
        <w:rPr>
          <w:rFonts w:ascii="Times New Roman" w:eastAsiaTheme="minorHAnsi" w:hAnsi="Times New Roman" w:cs="Times New Roman"/>
          <w:sz w:val="20"/>
          <w:szCs w:val="20"/>
          <w:lang w:bidi="fa-IR"/>
        </w:rPr>
        <w:fldChar w:fldCharType="begin"/>
      </w:r>
      <w:r w:rsidRPr="00EF48B1">
        <w:rPr>
          <w:rFonts w:ascii="Times New Roman" w:eastAsiaTheme="minorHAnsi" w:hAnsi="Times New Roman" w:cs="Times New Roman"/>
          <w:sz w:val="20"/>
          <w:szCs w:val="20"/>
          <w:lang w:bidi="fa-IR"/>
        </w:rPr>
        <w:instrText xml:space="preserve"> ADDIN EN.REFLIST </w:instrText>
      </w:r>
      <w:r w:rsidRPr="00EF48B1">
        <w:rPr>
          <w:rFonts w:ascii="Times New Roman" w:eastAsiaTheme="minorHAnsi" w:hAnsi="Times New Roman" w:cs="Times New Roman"/>
          <w:sz w:val="20"/>
          <w:szCs w:val="20"/>
          <w:lang w:bidi="fa-IR"/>
        </w:rPr>
        <w:fldChar w:fldCharType="separate"/>
      </w:r>
      <w:r w:rsidR="00EF48B1" w:rsidRPr="00EF48B1">
        <w:rPr>
          <w:rFonts w:ascii="Times New Roman" w:hAnsi="Times New Roman" w:cs="Times New Roman"/>
        </w:rPr>
        <w:t>1</w:t>
      </w:r>
      <w:r w:rsidR="00EF48B1" w:rsidRPr="00EF48B1">
        <w:rPr>
          <w:rFonts w:ascii="Times New Roman" w:hAnsi="Times New Roman" w:cs="Times New Roman"/>
        </w:rPr>
        <w:tab/>
        <w:t>Barnick, A. The Impact of a School Gardening Program on Nutrition Attitudes, Behaviors and Interests Amongst Fourth Grade Students.  (2014).</w:t>
      </w:r>
    </w:p>
    <w:p w14:paraId="1CAEE855" w14:textId="77777777" w:rsidR="00EF48B1" w:rsidRPr="00EF48B1" w:rsidRDefault="00EF48B1" w:rsidP="00EF48B1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F48B1">
        <w:rPr>
          <w:rFonts w:ascii="Times New Roman" w:hAnsi="Times New Roman" w:cs="Times New Roman"/>
        </w:rPr>
        <w:t>2</w:t>
      </w:r>
      <w:r w:rsidRPr="00EF48B1">
        <w:rPr>
          <w:rFonts w:ascii="Times New Roman" w:hAnsi="Times New Roman" w:cs="Times New Roman"/>
        </w:rPr>
        <w:tab/>
        <w:t>Lautenschlager, L. &amp; Smith, C. Beliefs, knowledge, and values held by inner-city youth about gardening, nutrition, and cooking. Agriculture and Human Values 24, 245 (2007).</w:t>
      </w:r>
    </w:p>
    <w:p w14:paraId="3111B57C" w14:textId="3AC653E9" w:rsidR="00EF48B1" w:rsidRPr="00EF48B1" w:rsidRDefault="00EF48B1" w:rsidP="00EF48B1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F48B1">
        <w:rPr>
          <w:rFonts w:ascii="Times New Roman" w:hAnsi="Times New Roman" w:cs="Times New Roman"/>
        </w:rPr>
        <w:lastRenderedPageBreak/>
        <w:t>3</w:t>
      </w:r>
      <w:r w:rsidRPr="00EF48B1">
        <w:rPr>
          <w:rFonts w:ascii="Times New Roman" w:hAnsi="Times New Roman" w:cs="Times New Roman"/>
        </w:rPr>
        <w:tab/>
        <w:t>Block, K. et al. Growing community: the impact of the Stephanie Alexander Kitchen Garden Program on the social and learning environment in primary schools. Health Education &amp; Behavior 39, 419-432, doi:</w:t>
      </w:r>
      <w:hyperlink r:id="rId8" w:history="1">
        <w:r w:rsidRPr="00EF48B1">
          <w:rPr>
            <w:rStyle w:val="Hyperlink"/>
            <w:rFonts w:ascii="Times New Roman" w:hAnsi="Times New Roman" w:cs="Times New Roman"/>
          </w:rPr>
          <w:t>http://dx.doi.org/10.1177/1090198111422937</w:t>
        </w:r>
      </w:hyperlink>
      <w:r w:rsidRPr="00EF48B1">
        <w:rPr>
          <w:rFonts w:ascii="Times New Roman" w:hAnsi="Times New Roman" w:cs="Times New Roman"/>
        </w:rPr>
        <w:t xml:space="preserve"> (2012).</w:t>
      </w:r>
    </w:p>
    <w:p w14:paraId="6F1464B8" w14:textId="77777777" w:rsidR="00EF48B1" w:rsidRPr="00EF48B1" w:rsidRDefault="00EF48B1" w:rsidP="00EF48B1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F48B1">
        <w:rPr>
          <w:rFonts w:ascii="Times New Roman" w:hAnsi="Times New Roman" w:cs="Times New Roman"/>
        </w:rPr>
        <w:t>4</w:t>
      </w:r>
      <w:r w:rsidRPr="00EF48B1">
        <w:rPr>
          <w:rFonts w:ascii="Times New Roman" w:hAnsi="Times New Roman" w:cs="Times New Roman"/>
        </w:rPr>
        <w:tab/>
        <w:t>Cunningham-Sabo, L. &amp; Lohse, B. Impact of a school-based cooking curriculum for fourth-grade students on attitudes and behaviors is influenced by gender and prior cooking experience. Journal of nutrition education and behavior 46, 110-120 (2014).</w:t>
      </w:r>
    </w:p>
    <w:p w14:paraId="30B08A71" w14:textId="77777777" w:rsidR="00EF48B1" w:rsidRPr="00EF48B1" w:rsidRDefault="00EF48B1" w:rsidP="00EF48B1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F48B1">
        <w:rPr>
          <w:rFonts w:ascii="Times New Roman" w:hAnsi="Times New Roman" w:cs="Times New Roman"/>
        </w:rPr>
        <w:t>5</w:t>
      </w:r>
      <w:r w:rsidRPr="00EF48B1">
        <w:rPr>
          <w:rFonts w:ascii="Times New Roman" w:hAnsi="Times New Roman" w:cs="Times New Roman"/>
        </w:rPr>
        <w:tab/>
        <w:t>Gavaravarapu, S. M., Saha, S., Vemula, S. R. &amp; Mendu, V. V. R. Read-B4-U-Eat: A multicomponent communication module to promote food label reading skills among adolescents in India. Journal of nutrition education and behavior 48, 586-589. e581 (2016).</w:t>
      </w:r>
    </w:p>
    <w:p w14:paraId="0151D623" w14:textId="77777777" w:rsidR="00EF48B1" w:rsidRPr="00EF48B1" w:rsidRDefault="00EF48B1" w:rsidP="00EF48B1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F48B1">
        <w:rPr>
          <w:rFonts w:ascii="Times New Roman" w:hAnsi="Times New Roman" w:cs="Times New Roman"/>
        </w:rPr>
        <w:t>6</w:t>
      </w:r>
      <w:r w:rsidRPr="00EF48B1">
        <w:rPr>
          <w:rFonts w:ascii="Times New Roman" w:hAnsi="Times New Roman" w:cs="Times New Roman"/>
        </w:rPr>
        <w:tab/>
        <w:t>Gold, A., Larson, M., Tucker, J. &amp; Strang, M. Classroom nutrition education combined with fruit and vegetable taste testing improves children's dietary intake. Journal of School Health 87, 106-113 (2017).</w:t>
      </w:r>
    </w:p>
    <w:p w14:paraId="3898FB6A" w14:textId="77777777" w:rsidR="00EF48B1" w:rsidRPr="00EF48B1" w:rsidRDefault="00EF48B1" w:rsidP="00EF48B1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F48B1">
        <w:rPr>
          <w:rFonts w:ascii="Times New Roman" w:hAnsi="Times New Roman" w:cs="Times New Roman"/>
        </w:rPr>
        <w:t>7</w:t>
      </w:r>
      <w:r w:rsidRPr="00EF48B1">
        <w:rPr>
          <w:rFonts w:ascii="Times New Roman" w:hAnsi="Times New Roman" w:cs="Times New Roman"/>
        </w:rPr>
        <w:tab/>
        <w:t>Hawthorne, K. M., Moreland, K., Griffin, I. J. &amp; Abrams, S. A. An educational program enhances food label understanding of young adolescents. Journal of the American Dietetic Association 106, 913-916 (2006).</w:t>
      </w:r>
    </w:p>
    <w:p w14:paraId="33A08870" w14:textId="77777777" w:rsidR="00EF48B1" w:rsidRPr="00EF48B1" w:rsidRDefault="00EF48B1" w:rsidP="00EF48B1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F48B1">
        <w:rPr>
          <w:rFonts w:ascii="Times New Roman" w:hAnsi="Times New Roman" w:cs="Times New Roman"/>
        </w:rPr>
        <w:t>8</w:t>
      </w:r>
      <w:r w:rsidRPr="00EF48B1">
        <w:rPr>
          <w:rFonts w:ascii="Times New Roman" w:hAnsi="Times New Roman" w:cs="Times New Roman"/>
        </w:rPr>
        <w:tab/>
        <w:t>Katz, D. L. et al. Teaching healthful food choices to elementary school students and their parents: the Nutrition Detectives™ program. Journal of School Health 81, 21-28 (2011).</w:t>
      </w:r>
    </w:p>
    <w:p w14:paraId="33E09B44" w14:textId="77777777" w:rsidR="00EF48B1" w:rsidRPr="00EF48B1" w:rsidRDefault="00EF48B1" w:rsidP="00EF48B1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F48B1">
        <w:rPr>
          <w:rFonts w:ascii="Times New Roman" w:hAnsi="Times New Roman" w:cs="Times New Roman"/>
        </w:rPr>
        <w:t>9</w:t>
      </w:r>
      <w:r w:rsidRPr="00EF48B1">
        <w:rPr>
          <w:rFonts w:ascii="Times New Roman" w:hAnsi="Times New Roman" w:cs="Times New Roman"/>
        </w:rPr>
        <w:tab/>
        <w:t>McAleese, J. D. &amp; Rankin, L. L. Garden-based nutrition education affects fruit and vegetable consumption in sixth-grade adolescents. Journal of the American Dietetic Association 107, 662-665 (2007).</w:t>
      </w:r>
    </w:p>
    <w:p w14:paraId="09D531EA" w14:textId="77777777" w:rsidR="00EF48B1" w:rsidRPr="00EF48B1" w:rsidRDefault="00EF48B1" w:rsidP="00EF48B1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F48B1">
        <w:rPr>
          <w:rFonts w:ascii="Times New Roman" w:hAnsi="Times New Roman" w:cs="Times New Roman"/>
        </w:rPr>
        <w:t>10</w:t>
      </w:r>
      <w:r w:rsidRPr="00EF48B1">
        <w:rPr>
          <w:rFonts w:ascii="Times New Roman" w:hAnsi="Times New Roman" w:cs="Times New Roman"/>
        </w:rPr>
        <w:tab/>
        <w:t>Miller, A. et al. Food-related behavior and intake of adult main meal preparers of 9–10 year-old children participating in iCook 4-H: A five-state childhood obesity prevention pilot study. Appetite 101, 163-170 (2016).</w:t>
      </w:r>
    </w:p>
    <w:p w14:paraId="70145DB7" w14:textId="77777777" w:rsidR="00EF48B1" w:rsidRPr="00EF48B1" w:rsidRDefault="00EF48B1" w:rsidP="00EF48B1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F48B1">
        <w:rPr>
          <w:rFonts w:ascii="Times New Roman" w:hAnsi="Times New Roman" w:cs="Times New Roman"/>
        </w:rPr>
        <w:t>11</w:t>
      </w:r>
      <w:r w:rsidRPr="00EF48B1">
        <w:rPr>
          <w:rFonts w:ascii="Times New Roman" w:hAnsi="Times New Roman" w:cs="Times New Roman"/>
        </w:rPr>
        <w:tab/>
        <w:t>Morgan, P. J. et al. The impact of nutrition education with and without a school garden on knowledge, vegetable intake and preferences and quality of school life among primary-school students. Public health nutrition 13, 1931-1940 (2010).</w:t>
      </w:r>
    </w:p>
    <w:p w14:paraId="60797AE0" w14:textId="77777777" w:rsidR="00EF48B1" w:rsidRPr="00EF48B1" w:rsidRDefault="00EF48B1" w:rsidP="00EF48B1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F48B1">
        <w:rPr>
          <w:rFonts w:ascii="Times New Roman" w:hAnsi="Times New Roman" w:cs="Times New Roman"/>
        </w:rPr>
        <w:t>12</w:t>
      </w:r>
      <w:r w:rsidRPr="00EF48B1">
        <w:rPr>
          <w:rFonts w:ascii="Times New Roman" w:hAnsi="Times New Roman" w:cs="Times New Roman"/>
        </w:rPr>
        <w:tab/>
        <w:t>Perez-Rodrigo, C. &amp; Aranceta, J. Nutrition education for schoolchildren living in a low-income urban area in Spain. Journal of Nutrition Education 29, 267-273 (1997).</w:t>
      </w:r>
    </w:p>
    <w:p w14:paraId="03B2FEF0" w14:textId="12037099" w:rsidR="00EF48B1" w:rsidRPr="00EF48B1" w:rsidRDefault="00EF48B1" w:rsidP="00EF48B1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F48B1">
        <w:rPr>
          <w:rFonts w:ascii="Times New Roman" w:hAnsi="Times New Roman" w:cs="Times New Roman"/>
        </w:rPr>
        <w:t>13</w:t>
      </w:r>
      <w:r w:rsidRPr="00EF48B1">
        <w:rPr>
          <w:rFonts w:ascii="Times New Roman" w:hAnsi="Times New Roman" w:cs="Times New Roman"/>
        </w:rPr>
        <w:tab/>
        <w:t xml:space="preserve">Public Health Association of British Columbia (PHABC). 2017. History. Farm to School BC. </w:t>
      </w:r>
      <w:hyperlink r:id="rId9" w:history="1">
        <w:r w:rsidRPr="00EF48B1">
          <w:rPr>
            <w:rStyle w:val="Hyperlink"/>
            <w:rFonts w:ascii="Times New Roman" w:hAnsi="Times New Roman" w:cs="Times New Roman"/>
          </w:rPr>
          <w:t>http://farmtoschoolbc.ca/about-us/history/</w:t>
        </w:r>
      </w:hyperlink>
      <w:r w:rsidRPr="00EF48B1">
        <w:rPr>
          <w:rFonts w:ascii="Times New Roman" w:hAnsi="Times New Roman" w:cs="Times New Roman"/>
        </w:rPr>
        <w:t>. Accessed 12 November 2020.</w:t>
      </w:r>
    </w:p>
    <w:p w14:paraId="599B2999" w14:textId="77777777" w:rsidR="00EF48B1" w:rsidRPr="00EF48B1" w:rsidRDefault="00EF48B1" w:rsidP="00EF48B1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F48B1">
        <w:rPr>
          <w:rFonts w:ascii="Times New Roman" w:hAnsi="Times New Roman" w:cs="Times New Roman"/>
        </w:rPr>
        <w:t>14</w:t>
      </w:r>
      <w:r w:rsidRPr="00EF48B1">
        <w:rPr>
          <w:rFonts w:ascii="Times New Roman" w:hAnsi="Times New Roman" w:cs="Times New Roman"/>
        </w:rPr>
        <w:tab/>
        <w:t>Revill, S. A. Evaluation of a school-based nutrition and food preperation skills intervention delivered to schoolchildren from deprived social backgrounds, Newcastle University, (2004).</w:t>
      </w:r>
    </w:p>
    <w:p w14:paraId="1DF90EE1" w14:textId="77777777" w:rsidR="00EF48B1" w:rsidRPr="00EF48B1" w:rsidRDefault="00EF48B1" w:rsidP="00EF48B1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F48B1">
        <w:rPr>
          <w:rFonts w:ascii="Times New Roman" w:hAnsi="Times New Roman" w:cs="Times New Roman"/>
        </w:rPr>
        <w:t>15</w:t>
      </w:r>
      <w:r w:rsidRPr="00EF48B1">
        <w:rPr>
          <w:rFonts w:ascii="Times New Roman" w:hAnsi="Times New Roman" w:cs="Times New Roman"/>
        </w:rPr>
        <w:tab/>
        <w:t>Scherr, R. E. et al. A multicomponent, school-based intervention, the shaping healthy choices program, improves nutrition-related outcomes. Journal of Nutrition Education and Behavior 49, 368-379. e361 (2017).</w:t>
      </w:r>
    </w:p>
    <w:p w14:paraId="3D89F50B" w14:textId="77777777" w:rsidR="00EF48B1" w:rsidRPr="00EF48B1" w:rsidRDefault="00EF48B1" w:rsidP="00EF48B1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F48B1">
        <w:rPr>
          <w:rFonts w:ascii="Times New Roman" w:hAnsi="Times New Roman" w:cs="Times New Roman"/>
        </w:rPr>
        <w:t>16</w:t>
      </w:r>
      <w:r w:rsidRPr="00EF48B1">
        <w:rPr>
          <w:rFonts w:ascii="Times New Roman" w:hAnsi="Times New Roman" w:cs="Times New Roman"/>
        </w:rPr>
        <w:tab/>
        <w:t>Thonney, P. F. &amp; Bisogni, C. A. Cooking up fun! A youth development strategy that promotes independent food skills. Journal of Nutrition Education and Behavior 38, 321-323 (2006).</w:t>
      </w:r>
    </w:p>
    <w:p w14:paraId="74C0AE6A" w14:textId="77777777" w:rsidR="00EF48B1" w:rsidRPr="00EF48B1" w:rsidRDefault="00EF48B1" w:rsidP="00EF48B1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F48B1">
        <w:rPr>
          <w:rFonts w:ascii="Times New Roman" w:hAnsi="Times New Roman" w:cs="Times New Roman"/>
        </w:rPr>
        <w:t>17</w:t>
      </w:r>
      <w:r w:rsidRPr="00EF48B1">
        <w:rPr>
          <w:rFonts w:ascii="Times New Roman" w:hAnsi="Times New Roman" w:cs="Times New Roman"/>
        </w:rPr>
        <w:tab/>
        <w:t>Townsend, M. S., Johns, M., Shilts, M. K. &amp; Farfan-Ramirez, L. Evaluation of a USDA nutrition education program for low-income youth. Journal of nutrition education and behavior 38, 30-41 (2006).</w:t>
      </w:r>
    </w:p>
    <w:p w14:paraId="48B99500" w14:textId="77777777" w:rsidR="00EF48B1" w:rsidRPr="00EF48B1" w:rsidRDefault="00EF48B1" w:rsidP="00EF48B1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F48B1">
        <w:rPr>
          <w:rFonts w:ascii="Times New Roman" w:hAnsi="Times New Roman" w:cs="Times New Roman"/>
        </w:rPr>
        <w:t>18</w:t>
      </w:r>
      <w:r w:rsidRPr="00EF48B1">
        <w:rPr>
          <w:rFonts w:ascii="Times New Roman" w:hAnsi="Times New Roman" w:cs="Times New Roman"/>
        </w:rPr>
        <w:tab/>
        <w:t>Treu, J. A., Doughty, K., Reynolds, J. S., Njike, V. Y. &amp; Katz, D. L. Advancing School and Community Engagement Now for Disease Prevention (ASCEND) a quasi-experimental trial of school-based interventions to prevent childhood obesity. American journal of health promotion 31, 143-152 (2017).</w:t>
      </w:r>
    </w:p>
    <w:p w14:paraId="407B02DD" w14:textId="77777777" w:rsidR="00EF48B1" w:rsidRPr="00EF48B1" w:rsidRDefault="00EF48B1" w:rsidP="00EF48B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F48B1">
        <w:rPr>
          <w:rFonts w:ascii="Times New Roman" w:hAnsi="Times New Roman" w:cs="Times New Roman"/>
        </w:rPr>
        <w:t>19</w:t>
      </w:r>
      <w:r w:rsidRPr="00EF48B1">
        <w:rPr>
          <w:rFonts w:ascii="Times New Roman" w:hAnsi="Times New Roman" w:cs="Times New Roman"/>
        </w:rPr>
        <w:tab/>
        <w:t>Wolfe, W. &amp; Dollahite, J. Choose Health: Food, Fun, and Fitness Curriculum Promotes Positive Behaviors in Youth Compared to Control Period. Journal of nutrition education and behavior 50, S153-S154 (2018).</w:t>
      </w:r>
    </w:p>
    <w:p w14:paraId="54166C7C" w14:textId="1D1B6EEC" w:rsidR="00D62253" w:rsidRPr="00D0569D" w:rsidRDefault="002E2F08" w:rsidP="00EF48B1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Theme="minorHAnsi" w:hAnsi="Times New Roman" w:cs="Times New Roman"/>
          <w:b/>
          <w:bCs/>
          <w:sz w:val="20"/>
          <w:szCs w:val="20"/>
          <w:lang w:bidi="fa-IR"/>
        </w:rPr>
      </w:pPr>
      <w:r w:rsidRPr="00EF48B1">
        <w:rPr>
          <w:rFonts w:ascii="Times New Roman" w:eastAsiaTheme="minorHAnsi" w:hAnsi="Times New Roman" w:cs="Times New Roman"/>
          <w:sz w:val="20"/>
          <w:szCs w:val="20"/>
          <w:lang w:bidi="fa-IR"/>
        </w:rPr>
        <w:fldChar w:fldCharType="end"/>
      </w:r>
    </w:p>
    <w:sectPr w:rsidR="00D62253" w:rsidRPr="00D0569D" w:rsidSect="002E2F08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7EE2" w14:textId="77777777" w:rsidR="00704558" w:rsidRDefault="00704558" w:rsidP="00822A73">
      <w:pPr>
        <w:spacing w:after="0" w:line="240" w:lineRule="auto"/>
      </w:pPr>
      <w:r>
        <w:separator/>
      </w:r>
    </w:p>
  </w:endnote>
  <w:endnote w:type="continuationSeparator" w:id="0">
    <w:p w14:paraId="322F0B7E" w14:textId="77777777" w:rsidR="00704558" w:rsidRDefault="00704558" w:rsidP="0082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idien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vOT863180f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f8f9f13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ridie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A33E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434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9AD51" w14:textId="77777777" w:rsidR="00E54143" w:rsidRDefault="00E541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B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AAC601" w14:textId="77777777" w:rsidR="00E54143" w:rsidRDefault="00E54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3011" w14:textId="77777777" w:rsidR="00704558" w:rsidRDefault="00704558" w:rsidP="00822A73">
      <w:pPr>
        <w:spacing w:after="0" w:line="240" w:lineRule="auto"/>
      </w:pPr>
      <w:r>
        <w:separator/>
      </w:r>
    </w:p>
  </w:footnote>
  <w:footnote w:type="continuationSeparator" w:id="0">
    <w:p w14:paraId="7F03A9D8" w14:textId="77777777" w:rsidR="00704558" w:rsidRDefault="00704558" w:rsidP="00822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7D0"/>
    <w:multiLevelType w:val="hybridMultilevel"/>
    <w:tmpl w:val="840C4968"/>
    <w:lvl w:ilvl="0" w:tplc="EE4C96AA">
      <w:start w:val="1"/>
      <w:numFmt w:val="decimal"/>
      <w:lvlText w:val="%1-"/>
      <w:lvlJc w:val="left"/>
      <w:pPr>
        <w:ind w:left="720" w:hanging="360"/>
      </w:pPr>
      <w:rPr>
        <w:rFonts w:ascii="Meridien-BoldItalic" w:hAnsi="Meridien-BoldItalic" w:cs="Meridien-BoldItalic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52E4"/>
    <w:multiLevelType w:val="hybridMultilevel"/>
    <w:tmpl w:val="54080E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126ED4"/>
    <w:multiLevelType w:val="hybridMultilevel"/>
    <w:tmpl w:val="49C8DB30"/>
    <w:lvl w:ilvl="0" w:tplc="702CE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56121B"/>
    <w:multiLevelType w:val="hybridMultilevel"/>
    <w:tmpl w:val="9BB8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21004"/>
    <w:multiLevelType w:val="hybridMultilevel"/>
    <w:tmpl w:val="56021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07D9B"/>
    <w:multiLevelType w:val="hybridMultilevel"/>
    <w:tmpl w:val="840C4968"/>
    <w:lvl w:ilvl="0" w:tplc="EE4C96AA">
      <w:start w:val="1"/>
      <w:numFmt w:val="decimal"/>
      <w:lvlText w:val="%1-"/>
      <w:lvlJc w:val="left"/>
      <w:pPr>
        <w:ind w:left="720" w:hanging="360"/>
      </w:pPr>
      <w:rPr>
        <w:rFonts w:ascii="Meridien-BoldItalic" w:hAnsi="Meridien-BoldItalic" w:cs="Meridien-BoldItalic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365696">
    <w:abstractNumId w:val="1"/>
  </w:num>
  <w:num w:numId="2" w16cid:durableId="277614546">
    <w:abstractNumId w:val="3"/>
  </w:num>
  <w:num w:numId="3" w16cid:durableId="1555701255">
    <w:abstractNumId w:val="5"/>
  </w:num>
  <w:num w:numId="4" w16cid:durableId="1408959932">
    <w:abstractNumId w:val="0"/>
  </w:num>
  <w:num w:numId="5" w16cid:durableId="1375497231">
    <w:abstractNumId w:val="1"/>
  </w:num>
  <w:num w:numId="6" w16cid:durableId="284429693">
    <w:abstractNumId w:val="2"/>
  </w:num>
  <w:num w:numId="7" w16cid:durableId="992098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MTI0MzA2MjY0MzVS0lEKTi0uzszPAykwrgUA2YqYXCwAAAA="/>
    <w:docVar w:name="EN.Layout" w:val="&lt;ENLayout&gt;&lt;Style&gt;Natur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wxsrdav5ezx02edpduvear6sdreax05tdw0&quot;&gt;FNLIT_Sys.Rev&lt;record-ids&gt;&lt;item&gt;19&lt;/item&gt;&lt;item&gt;20&lt;/item&gt;&lt;item&gt;21&lt;/item&gt;&lt;item&gt;22&lt;/item&gt;&lt;item&gt;23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40&lt;/item&gt;&lt;/record-ids&gt;&lt;/item&gt;&lt;/Libraries&gt;"/>
  </w:docVars>
  <w:rsids>
    <w:rsidRoot w:val="00CB4594"/>
    <w:rsid w:val="00002AE2"/>
    <w:rsid w:val="000039AF"/>
    <w:rsid w:val="000040F9"/>
    <w:rsid w:val="000077D9"/>
    <w:rsid w:val="00011A40"/>
    <w:rsid w:val="00012147"/>
    <w:rsid w:val="00012379"/>
    <w:rsid w:val="0002191D"/>
    <w:rsid w:val="000250EF"/>
    <w:rsid w:val="00025574"/>
    <w:rsid w:val="000308B5"/>
    <w:rsid w:val="00034C01"/>
    <w:rsid w:val="00035ACE"/>
    <w:rsid w:val="00035D39"/>
    <w:rsid w:val="000378B8"/>
    <w:rsid w:val="00040971"/>
    <w:rsid w:val="00040B6D"/>
    <w:rsid w:val="00042B51"/>
    <w:rsid w:val="0004458B"/>
    <w:rsid w:val="0005219A"/>
    <w:rsid w:val="000524AD"/>
    <w:rsid w:val="00055449"/>
    <w:rsid w:val="00057010"/>
    <w:rsid w:val="00060635"/>
    <w:rsid w:val="00064B6B"/>
    <w:rsid w:val="00065E3A"/>
    <w:rsid w:val="00071A4E"/>
    <w:rsid w:val="0007608C"/>
    <w:rsid w:val="00077F11"/>
    <w:rsid w:val="00081F66"/>
    <w:rsid w:val="00085CFA"/>
    <w:rsid w:val="00086782"/>
    <w:rsid w:val="000940C9"/>
    <w:rsid w:val="00094B78"/>
    <w:rsid w:val="00095FB9"/>
    <w:rsid w:val="000A1E53"/>
    <w:rsid w:val="000A2899"/>
    <w:rsid w:val="000A3583"/>
    <w:rsid w:val="000A41EC"/>
    <w:rsid w:val="000A48B6"/>
    <w:rsid w:val="000A7FF7"/>
    <w:rsid w:val="000B005F"/>
    <w:rsid w:val="000B2393"/>
    <w:rsid w:val="000B2B49"/>
    <w:rsid w:val="000B50D9"/>
    <w:rsid w:val="000C0201"/>
    <w:rsid w:val="000C0BAE"/>
    <w:rsid w:val="000C1339"/>
    <w:rsid w:val="000C13FD"/>
    <w:rsid w:val="000C1879"/>
    <w:rsid w:val="000C1F55"/>
    <w:rsid w:val="000C6E02"/>
    <w:rsid w:val="000D00DF"/>
    <w:rsid w:val="000E09B0"/>
    <w:rsid w:val="000E6ADC"/>
    <w:rsid w:val="000E6EA2"/>
    <w:rsid w:val="000E7E84"/>
    <w:rsid w:val="000F03D7"/>
    <w:rsid w:val="000F1698"/>
    <w:rsid w:val="000F4374"/>
    <w:rsid w:val="000F45E6"/>
    <w:rsid w:val="000F4DA6"/>
    <w:rsid w:val="000F6BEE"/>
    <w:rsid w:val="00111DD6"/>
    <w:rsid w:val="0011266D"/>
    <w:rsid w:val="00112705"/>
    <w:rsid w:val="001127FF"/>
    <w:rsid w:val="00113491"/>
    <w:rsid w:val="00117EC3"/>
    <w:rsid w:val="0012114B"/>
    <w:rsid w:val="00121C4B"/>
    <w:rsid w:val="00121E9B"/>
    <w:rsid w:val="001223E1"/>
    <w:rsid w:val="00125EAD"/>
    <w:rsid w:val="00127588"/>
    <w:rsid w:val="00127FB4"/>
    <w:rsid w:val="0013009D"/>
    <w:rsid w:val="00132E18"/>
    <w:rsid w:val="00135058"/>
    <w:rsid w:val="00135C83"/>
    <w:rsid w:val="00141548"/>
    <w:rsid w:val="00142B77"/>
    <w:rsid w:val="00144E2C"/>
    <w:rsid w:val="00147277"/>
    <w:rsid w:val="00147479"/>
    <w:rsid w:val="001504EB"/>
    <w:rsid w:val="00150E2B"/>
    <w:rsid w:val="00151225"/>
    <w:rsid w:val="00153575"/>
    <w:rsid w:val="00155F6C"/>
    <w:rsid w:val="00161A22"/>
    <w:rsid w:val="00166090"/>
    <w:rsid w:val="001663C1"/>
    <w:rsid w:val="00170ADE"/>
    <w:rsid w:val="00171449"/>
    <w:rsid w:val="00171F06"/>
    <w:rsid w:val="0017200E"/>
    <w:rsid w:val="00173BEC"/>
    <w:rsid w:val="001746B3"/>
    <w:rsid w:val="0017496E"/>
    <w:rsid w:val="00177B7A"/>
    <w:rsid w:val="00177EA1"/>
    <w:rsid w:val="0018063A"/>
    <w:rsid w:val="00180C49"/>
    <w:rsid w:val="001840A8"/>
    <w:rsid w:val="00185456"/>
    <w:rsid w:val="00191C97"/>
    <w:rsid w:val="00197C8D"/>
    <w:rsid w:val="001A0E53"/>
    <w:rsid w:val="001A2A37"/>
    <w:rsid w:val="001A32D0"/>
    <w:rsid w:val="001A4481"/>
    <w:rsid w:val="001A69CE"/>
    <w:rsid w:val="001A7671"/>
    <w:rsid w:val="001B22BC"/>
    <w:rsid w:val="001B66AA"/>
    <w:rsid w:val="001B67F3"/>
    <w:rsid w:val="001B7657"/>
    <w:rsid w:val="001C6B58"/>
    <w:rsid w:val="001D3659"/>
    <w:rsid w:val="001D36F6"/>
    <w:rsid w:val="001D5C9B"/>
    <w:rsid w:val="001D687C"/>
    <w:rsid w:val="001D6B5F"/>
    <w:rsid w:val="001D6E9C"/>
    <w:rsid w:val="001D7087"/>
    <w:rsid w:val="001D77AF"/>
    <w:rsid w:val="001D7945"/>
    <w:rsid w:val="001D79CA"/>
    <w:rsid w:val="001E02BE"/>
    <w:rsid w:val="001E02D4"/>
    <w:rsid w:val="001E125A"/>
    <w:rsid w:val="001E26A2"/>
    <w:rsid w:val="001F3D71"/>
    <w:rsid w:val="001F78F9"/>
    <w:rsid w:val="001F7E27"/>
    <w:rsid w:val="00200582"/>
    <w:rsid w:val="00201555"/>
    <w:rsid w:val="00201A78"/>
    <w:rsid w:val="00202788"/>
    <w:rsid w:val="002032A9"/>
    <w:rsid w:val="002034D0"/>
    <w:rsid w:val="00207659"/>
    <w:rsid w:val="00207E0E"/>
    <w:rsid w:val="00210A32"/>
    <w:rsid w:val="002137F5"/>
    <w:rsid w:val="0022158D"/>
    <w:rsid w:val="00222594"/>
    <w:rsid w:val="00224FCD"/>
    <w:rsid w:val="00226437"/>
    <w:rsid w:val="00227532"/>
    <w:rsid w:val="00230A63"/>
    <w:rsid w:val="002324E0"/>
    <w:rsid w:val="00232DBE"/>
    <w:rsid w:val="00233F57"/>
    <w:rsid w:val="0023506C"/>
    <w:rsid w:val="0023644A"/>
    <w:rsid w:val="00237C42"/>
    <w:rsid w:val="00240FA3"/>
    <w:rsid w:val="0024187A"/>
    <w:rsid w:val="00242AE6"/>
    <w:rsid w:val="00243196"/>
    <w:rsid w:val="0024618B"/>
    <w:rsid w:val="00252567"/>
    <w:rsid w:val="002539A9"/>
    <w:rsid w:val="00253CEC"/>
    <w:rsid w:val="00255B99"/>
    <w:rsid w:val="00255D53"/>
    <w:rsid w:val="002562E1"/>
    <w:rsid w:val="00261BAD"/>
    <w:rsid w:val="00262572"/>
    <w:rsid w:val="002626E4"/>
    <w:rsid w:val="00265810"/>
    <w:rsid w:val="00270081"/>
    <w:rsid w:val="00270F9B"/>
    <w:rsid w:val="0027515B"/>
    <w:rsid w:val="002761DC"/>
    <w:rsid w:val="00276946"/>
    <w:rsid w:val="002805F8"/>
    <w:rsid w:val="00280BCD"/>
    <w:rsid w:val="0028685B"/>
    <w:rsid w:val="002870A1"/>
    <w:rsid w:val="00290247"/>
    <w:rsid w:val="00291228"/>
    <w:rsid w:val="00292440"/>
    <w:rsid w:val="00292D4F"/>
    <w:rsid w:val="00296654"/>
    <w:rsid w:val="002A094B"/>
    <w:rsid w:val="002A1368"/>
    <w:rsid w:val="002A1CA5"/>
    <w:rsid w:val="002A5C7C"/>
    <w:rsid w:val="002A6149"/>
    <w:rsid w:val="002A6230"/>
    <w:rsid w:val="002A7525"/>
    <w:rsid w:val="002B088D"/>
    <w:rsid w:val="002B323D"/>
    <w:rsid w:val="002B4104"/>
    <w:rsid w:val="002B5C5A"/>
    <w:rsid w:val="002C0F15"/>
    <w:rsid w:val="002C324B"/>
    <w:rsid w:val="002C3E99"/>
    <w:rsid w:val="002C42F5"/>
    <w:rsid w:val="002C4B98"/>
    <w:rsid w:val="002C6778"/>
    <w:rsid w:val="002C7EF8"/>
    <w:rsid w:val="002D05CE"/>
    <w:rsid w:val="002D230F"/>
    <w:rsid w:val="002D3C3B"/>
    <w:rsid w:val="002D460D"/>
    <w:rsid w:val="002D5ADA"/>
    <w:rsid w:val="002E24AD"/>
    <w:rsid w:val="002E2709"/>
    <w:rsid w:val="002E2F08"/>
    <w:rsid w:val="002E5885"/>
    <w:rsid w:val="002F1675"/>
    <w:rsid w:val="002F2822"/>
    <w:rsid w:val="002F4BE4"/>
    <w:rsid w:val="002F5956"/>
    <w:rsid w:val="003024D5"/>
    <w:rsid w:val="0030264D"/>
    <w:rsid w:val="00303941"/>
    <w:rsid w:val="00304E57"/>
    <w:rsid w:val="003104FF"/>
    <w:rsid w:val="00310C01"/>
    <w:rsid w:val="00315419"/>
    <w:rsid w:val="00316F29"/>
    <w:rsid w:val="003176E1"/>
    <w:rsid w:val="00320EF7"/>
    <w:rsid w:val="003221BF"/>
    <w:rsid w:val="00323383"/>
    <w:rsid w:val="00323711"/>
    <w:rsid w:val="0032423B"/>
    <w:rsid w:val="00326416"/>
    <w:rsid w:val="0033566B"/>
    <w:rsid w:val="00335992"/>
    <w:rsid w:val="00335A05"/>
    <w:rsid w:val="0033694D"/>
    <w:rsid w:val="00336EF8"/>
    <w:rsid w:val="00342674"/>
    <w:rsid w:val="003434B8"/>
    <w:rsid w:val="00343A62"/>
    <w:rsid w:val="00343C42"/>
    <w:rsid w:val="003457F6"/>
    <w:rsid w:val="0034586A"/>
    <w:rsid w:val="00346A42"/>
    <w:rsid w:val="00347D1F"/>
    <w:rsid w:val="00353CB1"/>
    <w:rsid w:val="00353D6E"/>
    <w:rsid w:val="00354160"/>
    <w:rsid w:val="003561BA"/>
    <w:rsid w:val="00361F3F"/>
    <w:rsid w:val="003670FD"/>
    <w:rsid w:val="00376921"/>
    <w:rsid w:val="00380019"/>
    <w:rsid w:val="00380C25"/>
    <w:rsid w:val="003841D0"/>
    <w:rsid w:val="0039345A"/>
    <w:rsid w:val="00394586"/>
    <w:rsid w:val="003A13B1"/>
    <w:rsid w:val="003A1D10"/>
    <w:rsid w:val="003A3C56"/>
    <w:rsid w:val="003A3D79"/>
    <w:rsid w:val="003A5F1B"/>
    <w:rsid w:val="003A6478"/>
    <w:rsid w:val="003A64E7"/>
    <w:rsid w:val="003B0942"/>
    <w:rsid w:val="003B1266"/>
    <w:rsid w:val="003B1BC9"/>
    <w:rsid w:val="003B5AD6"/>
    <w:rsid w:val="003B78DD"/>
    <w:rsid w:val="003B78F9"/>
    <w:rsid w:val="003C02A7"/>
    <w:rsid w:val="003C3613"/>
    <w:rsid w:val="003C789F"/>
    <w:rsid w:val="003C79FE"/>
    <w:rsid w:val="003D032E"/>
    <w:rsid w:val="003D0C29"/>
    <w:rsid w:val="003D3396"/>
    <w:rsid w:val="003D59DA"/>
    <w:rsid w:val="003E1C6A"/>
    <w:rsid w:val="003E390F"/>
    <w:rsid w:val="003E3D66"/>
    <w:rsid w:val="003F053F"/>
    <w:rsid w:val="003F0E48"/>
    <w:rsid w:val="003F1781"/>
    <w:rsid w:val="003F3E57"/>
    <w:rsid w:val="003F438D"/>
    <w:rsid w:val="003F4670"/>
    <w:rsid w:val="003F5833"/>
    <w:rsid w:val="003F5C10"/>
    <w:rsid w:val="003F674B"/>
    <w:rsid w:val="0040079B"/>
    <w:rsid w:val="004029F1"/>
    <w:rsid w:val="00403483"/>
    <w:rsid w:val="00404097"/>
    <w:rsid w:val="00406DF0"/>
    <w:rsid w:val="00410066"/>
    <w:rsid w:val="004130B4"/>
    <w:rsid w:val="0041351D"/>
    <w:rsid w:val="00416148"/>
    <w:rsid w:val="00416502"/>
    <w:rsid w:val="0041701D"/>
    <w:rsid w:val="0041711C"/>
    <w:rsid w:val="004250CD"/>
    <w:rsid w:val="00430CA5"/>
    <w:rsid w:val="00433461"/>
    <w:rsid w:val="0043465A"/>
    <w:rsid w:val="00434BAF"/>
    <w:rsid w:val="0043710A"/>
    <w:rsid w:val="00441569"/>
    <w:rsid w:val="004467A9"/>
    <w:rsid w:val="00447EB7"/>
    <w:rsid w:val="0045181E"/>
    <w:rsid w:val="00461B48"/>
    <w:rsid w:val="0046295C"/>
    <w:rsid w:val="00466045"/>
    <w:rsid w:val="004663C8"/>
    <w:rsid w:val="0047140F"/>
    <w:rsid w:val="004747BE"/>
    <w:rsid w:val="00474B16"/>
    <w:rsid w:val="00474E11"/>
    <w:rsid w:val="004769A7"/>
    <w:rsid w:val="00482110"/>
    <w:rsid w:val="00482FB6"/>
    <w:rsid w:val="00484290"/>
    <w:rsid w:val="004860FC"/>
    <w:rsid w:val="004873CB"/>
    <w:rsid w:val="004876E1"/>
    <w:rsid w:val="0049237D"/>
    <w:rsid w:val="00496627"/>
    <w:rsid w:val="004A0ADB"/>
    <w:rsid w:val="004A0CA3"/>
    <w:rsid w:val="004A29CA"/>
    <w:rsid w:val="004A482E"/>
    <w:rsid w:val="004A4A7A"/>
    <w:rsid w:val="004B049B"/>
    <w:rsid w:val="004B0F74"/>
    <w:rsid w:val="004B267A"/>
    <w:rsid w:val="004C0642"/>
    <w:rsid w:val="004C0FCB"/>
    <w:rsid w:val="004C12C5"/>
    <w:rsid w:val="004C7E74"/>
    <w:rsid w:val="004D1CE6"/>
    <w:rsid w:val="004D5638"/>
    <w:rsid w:val="004D6169"/>
    <w:rsid w:val="004D6368"/>
    <w:rsid w:val="004E0992"/>
    <w:rsid w:val="004E4C6A"/>
    <w:rsid w:val="004E4F6D"/>
    <w:rsid w:val="004E5219"/>
    <w:rsid w:val="004E64EF"/>
    <w:rsid w:val="004E6B37"/>
    <w:rsid w:val="004E7A8A"/>
    <w:rsid w:val="004F30BF"/>
    <w:rsid w:val="004F3D34"/>
    <w:rsid w:val="004F571D"/>
    <w:rsid w:val="004F5D97"/>
    <w:rsid w:val="00503905"/>
    <w:rsid w:val="00503C6F"/>
    <w:rsid w:val="00505BCE"/>
    <w:rsid w:val="00507D49"/>
    <w:rsid w:val="00513775"/>
    <w:rsid w:val="00514EFB"/>
    <w:rsid w:val="00523416"/>
    <w:rsid w:val="00526746"/>
    <w:rsid w:val="00530114"/>
    <w:rsid w:val="0053119D"/>
    <w:rsid w:val="005317B2"/>
    <w:rsid w:val="00532482"/>
    <w:rsid w:val="00532BC3"/>
    <w:rsid w:val="005331A7"/>
    <w:rsid w:val="00533A2D"/>
    <w:rsid w:val="00534106"/>
    <w:rsid w:val="00546198"/>
    <w:rsid w:val="00546CD4"/>
    <w:rsid w:val="00556AD6"/>
    <w:rsid w:val="00556FDF"/>
    <w:rsid w:val="00557F12"/>
    <w:rsid w:val="00562EE1"/>
    <w:rsid w:val="00563388"/>
    <w:rsid w:val="00571157"/>
    <w:rsid w:val="00572C75"/>
    <w:rsid w:val="00576715"/>
    <w:rsid w:val="00577181"/>
    <w:rsid w:val="005776F9"/>
    <w:rsid w:val="005811C6"/>
    <w:rsid w:val="00583CB9"/>
    <w:rsid w:val="00584909"/>
    <w:rsid w:val="00585DF3"/>
    <w:rsid w:val="0059157E"/>
    <w:rsid w:val="00593D76"/>
    <w:rsid w:val="005A3176"/>
    <w:rsid w:val="005A41E8"/>
    <w:rsid w:val="005A7BD6"/>
    <w:rsid w:val="005B153F"/>
    <w:rsid w:val="005B2D3D"/>
    <w:rsid w:val="005B3459"/>
    <w:rsid w:val="005B365D"/>
    <w:rsid w:val="005B4371"/>
    <w:rsid w:val="005B72B8"/>
    <w:rsid w:val="005C0713"/>
    <w:rsid w:val="005C0E7D"/>
    <w:rsid w:val="005C38E4"/>
    <w:rsid w:val="005C439B"/>
    <w:rsid w:val="005C4BE7"/>
    <w:rsid w:val="005C7D0D"/>
    <w:rsid w:val="005D17A0"/>
    <w:rsid w:val="005D1EFF"/>
    <w:rsid w:val="005D3966"/>
    <w:rsid w:val="005E06F9"/>
    <w:rsid w:val="005E4DB1"/>
    <w:rsid w:val="005E523E"/>
    <w:rsid w:val="005E7711"/>
    <w:rsid w:val="005F0D82"/>
    <w:rsid w:val="005F107E"/>
    <w:rsid w:val="005F3641"/>
    <w:rsid w:val="005F4644"/>
    <w:rsid w:val="005F66C5"/>
    <w:rsid w:val="0060047C"/>
    <w:rsid w:val="0060050B"/>
    <w:rsid w:val="00601AC1"/>
    <w:rsid w:val="00601F3F"/>
    <w:rsid w:val="00603928"/>
    <w:rsid w:val="00603A5F"/>
    <w:rsid w:val="00605952"/>
    <w:rsid w:val="00610C39"/>
    <w:rsid w:val="00612B5E"/>
    <w:rsid w:val="006139C7"/>
    <w:rsid w:val="00617F1D"/>
    <w:rsid w:val="00621105"/>
    <w:rsid w:val="006224C7"/>
    <w:rsid w:val="00627D52"/>
    <w:rsid w:val="0063214A"/>
    <w:rsid w:val="0063237F"/>
    <w:rsid w:val="00633440"/>
    <w:rsid w:val="00635769"/>
    <w:rsid w:val="006421A6"/>
    <w:rsid w:val="00643F86"/>
    <w:rsid w:val="00646219"/>
    <w:rsid w:val="006514C7"/>
    <w:rsid w:val="00651844"/>
    <w:rsid w:val="006526D6"/>
    <w:rsid w:val="00654A71"/>
    <w:rsid w:val="00656536"/>
    <w:rsid w:val="00661463"/>
    <w:rsid w:val="00663B41"/>
    <w:rsid w:val="00663F56"/>
    <w:rsid w:val="00664379"/>
    <w:rsid w:val="00666ABC"/>
    <w:rsid w:val="00666DF3"/>
    <w:rsid w:val="0067063F"/>
    <w:rsid w:val="0067245C"/>
    <w:rsid w:val="00675C5C"/>
    <w:rsid w:val="00675E45"/>
    <w:rsid w:val="00676B3E"/>
    <w:rsid w:val="0068233D"/>
    <w:rsid w:val="006826E9"/>
    <w:rsid w:val="00684B1B"/>
    <w:rsid w:val="00691084"/>
    <w:rsid w:val="00691A97"/>
    <w:rsid w:val="006941AF"/>
    <w:rsid w:val="00695398"/>
    <w:rsid w:val="0069648B"/>
    <w:rsid w:val="0069746F"/>
    <w:rsid w:val="00697647"/>
    <w:rsid w:val="00697815"/>
    <w:rsid w:val="006A259C"/>
    <w:rsid w:val="006A45F2"/>
    <w:rsid w:val="006A6C6B"/>
    <w:rsid w:val="006B1426"/>
    <w:rsid w:val="006B3039"/>
    <w:rsid w:val="006B48F3"/>
    <w:rsid w:val="006B4B86"/>
    <w:rsid w:val="006C1808"/>
    <w:rsid w:val="006C34B7"/>
    <w:rsid w:val="006C49B0"/>
    <w:rsid w:val="006C5571"/>
    <w:rsid w:val="006C5F06"/>
    <w:rsid w:val="006C64BE"/>
    <w:rsid w:val="006C6E85"/>
    <w:rsid w:val="006D3293"/>
    <w:rsid w:val="006E5EF9"/>
    <w:rsid w:val="006F06CD"/>
    <w:rsid w:val="006F15E8"/>
    <w:rsid w:val="006F4565"/>
    <w:rsid w:val="006F6D24"/>
    <w:rsid w:val="00700918"/>
    <w:rsid w:val="00703A8B"/>
    <w:rsid w:val="00704558"/>
    <w:rsid w:val="0070514F"/>
    <w:rsid w:val="00705A98"/>
    <w:rsid w:val="00706DCE"/>
    <w:rsid w:val="00707C7A"/>
    <w:rsid w:val="00711F3F"/>
    <w:rsid w:val="00712BE1"/>
    <w:rsid w:val="00714D35"/>
    <w:rsid w:val="00720222"/>
    <w:rsid w:val="00721F6C"/>
    <w:rsid w:val="007229F0"/>
    <w:rsid w:val="00725094"/>
    <w:rsid w:val="007352C2"/>
    <w:rsid w:val="0073721C"/>
    <w:rsid w:val="00737F05"/>
    <w:rsid w:val="00741136"/>
    <w:rsid w:val="00745427"/>
    <w:rsid w:val="00747781"/>
    <w:rsid w:val="007531E6"/>
    <w:rsid w:val="007568D1"/>
    <w:rsid w:val="00765118"/>
    <w:rsid w:val="00770539"/>
    <w:rsid w:val="00774631"/>
    <w:rsid w:val="00774CE9"/>
    <w:rsid w:val="0077546B"/>
    <w:rsid w:val="007756BE"/>
    <w:rsid w:val="007817CE"/>
    <w:rsid w:val="007837DF"/>
    <w:rsid w:val="00784172"/>
    <w:rsid w:val="00784E04"/>
    <w:rsid w:val="00785223"/>
    <w:rsid w:val="0078535E"/>
    <w:rsid w:val="00785387"/>
    <w:rsid w:val="00785F57"/>
    <w:rsid w:val="00785FD3"/>
    <w:rsid w:val="007877CA"/>
    <w:rsid w:val="00787ADE"/>
    <w:rsid w:val="00787EDA"/>
    <w:rsid w:val="00792893"/>
    <w:rsid w:val="0079353D"/>
    <w:rsid w:val="007960BE"/>
    <w:rsid w:val="00796330"/>
    <w:rsid w:val="00797B4C"/>
    <w:rsid w:val="00797B94"/>
    <w:rsid w:val="007A0EF2"/>
    <w:rsid w:val="007A3120"/>
    <w:rsid w:val="007A37AE"/>
    <w:rsid w:val="007A79F0"/>
    <w:rsid w:val="007B1B58"/>
    <w:rsid w:val="007B2B0D"/>
    <w:rsid w:val="007B5F4E"/>
    <w:rsid w:val="007B697D"/>
    <w:rsid w:val="007B7416"/>
    <w:rsid w:val="007C1156"/>
    <w:rsid w:val="007C1A14"/>
    <w:rsid w:val="007C21DA"/>
    <w:rsid w:val="007C400B"/>
    <w:rsid w:val="007C447C"/>
    <w:rsid w:val="007D2B97"/>
    <w:rsid w:val="007D41E5"/>
    <w:rsid w:val="007D4C12"/>
    <w:rsid w:val="007D5E96"/>
    <w:rsid w:val="007D6B29"/>
    <w:rsid w:val="007E0310"/>
    <w:rsid w:val="007E086C"/>
    <w:rsid w:val="007E2479"/>
    <w:rsid w:val="007E42B5"/>
    <w:rsid w:val="007E432B"/>
    <w:rsid w:val="007E4CE5"/>
    <w:rsid w:val="007F1E62"/>
    <w:rsid w:val="007F2369"/>
    <w:rsid w:val="007F39CA"/>
    <w:rsid w:val="007F3E90"/>
    <w:rsid w:val="007F5272"/>
    <w:rsid w:val="007F5292"/>
    <w:rsid w:val="007F790E"/>
    <w:rsid w:val="00801470"/>
    <w:rsid w:val="0080631F"/>
    <w:rsid w:val="00807C36"/>
    <w:rsid w:val="00807EEF"/>
    <w:rsid w:val="00810134"/>
    <w:rsid w:val="00812424"/>
    <w:rsid w:val="00814B73"/>
    <w:rsid w:val="00815985"/>
    <w:rsid w:val="00822A73"/>
    <w:rsid w:val="008259AA"/>
    <w:rsid w:val="00826E4B"/>
    <w:rsid w:val="00843961"/>
    <w:rsid w:val="008478AD"/>
    <w:rsid w:val="00850056"/>
    <w:rsid w:val="00853AF6"/>
    <w:rsid w:val="008542B4"/>
    <w:rsid w:val="008557E9"/>
    <w:rsid w:val="00857F82"/>
    <w:rsid w:val="0086782B"/>
    <w:rsid w:val="008702AB"/>
    <w:rsid w:val="008728FC"/>
    <w:rsid w:val="0087553F"/>
    <w:rsid w:val="00882A47"/>
    <w:rsid w:val="008842BD"/>
    <w:rsid w:val="0088756D"/>
    <w:rsid w:val="00890BBF"/>
    <w:rsid w:val="008933C2"/>
    <w:rsid w:val="008976F1"/>
    <w:rsid w:val="008A0862"/>
    <w:rsid w:val="008A1536"/>
    <w:rsid w:val="008A3B82"/>
    <w:rsid w:val="008B0A67"/>
    <w:rsid w:val="008B1651"/>
    <w:rsid w:val="008B17CF"/>
    <w:rsid w:val="008B3297"/>
    <w:rsid w:val="008B3765"/>
    <w:rsid w:val="008B382C"/>
    <w:rsid w:val="008B40EA"/>
    <w:rsid w:val="008B4E04"/>
    <w:rsid w:val="008B50B6"/>
    <w:rsid w:val="008B5E9D"/>
    <w:rsid w:val="008B70E7"/>
    <w:rsid w:val="008B721C"/>
    <w:rsid w:val="008B7C96"/>
    <w:rsid w:val="008C4A9E"/>
    <w:rsid w:val="008C7089"/>
    <w:rsid w:val="008D1767"/>
    <w:rsid w:val="008D6ACD"/>
    <w:rsid w:val="008E0933"/>
    <w:rsid w:val="008E0E13"/>
    <w:rsid w:val="008E1572"/>
    <w:rsid w:val="008E58D0"/>
    <w:rsid w:val="008E70F8"/>
    <w:rsid w:val="008F0040"/>
    <w:rsid w:val="008F0192"/>
    <w:rsid w:val="008F56D5"/>
    <w:rsid w:val="00900586"/>
    <w:rsid w:val="00902FF1"/>
    <w:rsid w:val="0090622E"/>
    <w:rsid w:val="00906FC3"/>
    <w:rsid w:val="00910D3B"/>
    <w:rsid w:val="00911F4A"/>
    <w:rsid w:val="00912C7A"/>
    <w:rsid w:val="00915617"/>
    <w:rsid w:val="009212CB"/>
    <w:rsid w:val="00921B53"/>
    <w:rsid w:val="00923045"/>
    <w:rsid w:val="00925D64"/>
    <w:rsid w:val="0093395F"/>
    <w:rsid w:val="00934237"/>
    <w:rsid w:val="00940604"/>
    <w:rsid w:val="00941D68"/>
    <w:rsid w:val="00942B05"/>
    <w:rsid w:val="00943924"/>
    <w:rsid w:val="00951805"/>
    <w:rsid w:val="009518C4"/>
    <w:rsid w:val="00952A52"/>
    <w:rsid w:val="00952DDD"/>
    <w:rsid w:val="0095409C"/>
    <w:rsid w:val="00954367"/>
    <w:rsid w:val="00962781"/>
    <w:rsid w:val="009658D6"/>
    <w:rsid w:val="009712E1"/>
    <w:rsid w:val="00971750"/>
    <w:rsid w:val="00971C2A"/>
    <w:rsid w:val="00984B21"/>
    <w:rsid w:val="00985154"/>
    <w:rsid w:val="00987036"/>
    <w:rsid w:val="00991E01"/>
    <w:rsid w:val="00991E68"/>
    <w:rsid w:val="00992051"/>
    <w:rsid w:val="00996810"/>
    <w:rsid w:val="009971A4"/>
    <w:rsid w:val="009A1EE4"/>
    <w:rsid w:val="009A2F7C"/>
    <w:rsid w:val="009B247B"/>
    <w:rsid w:val="009C1706"/>
    <w:rsid w:val="009C24B9"/>
    <w:rsid w:val="009C2C92"/>
    <w:rsid w:val="009C53B6"/>
    <w:rsid w:val="009C5909"/>
    <w:rsid w:val="009D0B2D"/>
    <w:rsid w:val="009D0FAF"/>
    <w:rsid w:val="009D48C6"/>
    <w:rsid w:val="009D5F52"/>
    <w:rsid w:val="009D713A"/>
    <w:rsid w:val="009E077F"/>
    <w:rsid w:val="009E4959"/>
    <w:rsid w:val="009E522F"/>
    <w:rsid w:val="009E5C3D"/>
    <w:rsid w:val="009E64FE"/>
    <w:rsid w:val="009F0B0F"/>
    <w:rsid w:val="009F1D6C"/>
    <w:rsid w:val="009F2209"/>
    <w:rsid w:val="009F4722"/>
    <w:rsid w:val="009F60FD"/>
    <w:rsid w:val="00A02419"/>
    <w:rsid w:val="00A02B40"/>
    <w:rsid w:val="00A0405A"/>
    <w:rsid w:val="00A0557D"/>
    <w:rsid w:val="00A05A7E"/>
    <w:rsid w:val="00A07093"/>
    <w:rsid w:val="00A07305"/>
    <w:rsid w:val="00A12FA7"/>
    <w:rsid w:val="00A13DD1"/>
    <w:rsid w:val="00A15CB7"/>
    <w:rsid w:val="00A16841"/>
    <w:rsid w:val="00A23ECA"/>
    <w:rsid w:val="00A279F2"/>
    <w:rsid w:val="00A31C33"/>
    <w:rsid w:val="00A34927"/>
    <w:rsid w:val="00A4038E"/>
    <w:rsid w:val="00A4062D"/>
    <w:rsid w:val="00A438D1"/>
    <w:rsid w:val="00A441DC"/>
    <w:rsid w:val="00A451A3"/>
    <w:rsid w:val="00A47817"/>
    <w:rsid w:val="00A53DAE"/>
    <w:rsid w:val="00A54ACF"/>
    <w:rsid w:val="00A55924"/>
    <w:rsid w:val="00A56AF8"/>
    <w:rsid w:val="00A626FD"/>
    <w:rsid w:val="00A62DB0"/>
    <w:rsid w:val="00A64861"/>
    <w:rsid w:val="00A71198"/>
    <w:rsid w:val="00A7402A"/>
    <w:rsid w:val="00A74202"/>
    <w:rsid w:val="00A80788"/>
    <w:rsid w:val="00A81C0F"/>
    <w:rsid w:val="00A868AC"/>
    <w:rsid w:val="00A913EB"/>
    <w:rsid w:val="00A917B2"/>
    <w:rsid w:val="00A91DA1"/>
    <w:rsid w:val="00A9287E"/>
    <w:rsid w:val="00A93E05"/>
    <w:rsid w:val="00A95BD0"/>
    <w:rsid w:val="00A976D3"/>
    <w:rsid w:val="00AA38C8"/>
    <w:rsid w:val="00AA458C"/>
    <w:rsid w:val="00AA4968"/>
    <w:rsid w:val="00AA795C"/>
    <w:rsid w:val="00AB0FC6"/>
    <w:rsid w:val="00AB520E"/>
    <w:rsid w:val="00AC0934"/>
    <w:rsid w:val="00AC2996"/>
    <w:rsid w:val="00AC5F8E"/>
    <w:rsid w:val="00AC6312"/>
    <w:rsid w:val="00AC7178"/>
    <w:rsid w:val="00AD0C2E"/>
    <w:rsid w:val="00AD5142"/>
    <w:rsid w:val="00AE02B6"/>
    <w:rsid w:val="00AE2429"/>
    <w:rsid w:val="00AE3348"/>
    <w:rsid w:val="00AE56A9"/>
    <w:rsid w:val="00AF0CD9"/>
    <w:rsid w:val="00AF2192"/>
    <w:rsid w:val="00AF4BCD"/>
    <w:rsid w:val="00AF673D"/>
    <w:rsid w:val="00B01AC8"/>
    <w:rsid w:val="00B0260A"/>
    <w:rsid w:val="00B027B7"/>
    <w:rsid w:val="00B03B10"/>
    <w:rsid w:val="00B03B76"/>
    <w:rsid w:val="00B062F7"/>
    <w:rsid w:val="00B12F7C"/>
    <w:rsid w:val="00B15CB0"/>
    <w:rsid w:val="00B170BB"/>
    <w:rsid w:val="00B200C2"/>
    <w:rsid w:val="00B21698"/>
    <w:rsid w:val="00B22B3C"/>
    <w:rsid w:val="00B25389"/>
    <w:rsid w:val="00B26135"/>
    <w:rsid w:val="00B267A0"/>
    <w:rsid w:val="00B30FDD"/>
    <w:rsid w:val="00B31C25"/>
    <w:rsid w:val="00B32270"/>
    <w:rsid w:val="00B32289"/>
    <w:rsid w:val="00B339E6"/>
    <w:rsid w:val="00B34A05"/>
    <w:rsid w:val="00B35819"/>
    <w:rsid w:val="00B414F0"/>
    <w:rsid w:val="00B41FD0"/>
    <w:rsid w:val="00B43FFB"/>
    <w:rsid w:val="00B462FC"/>
    <w:rsid w:val="00B47B4E"/>
    <w:rsid w:val="00B50A3D"/>
    <w:rsid w:val="00B50A85"/>
    <w:rsid w:val="00B514FF"/>
    <w:rsid w:val="00B52C91"/>
    <w:rsid w:val="00B56359"/>
    <w:rsid w:val="00B5651F"/>
    <w:rsid w:val="00B619C6"/>
    <w:rsid w:val="00B62013"/>
    <w:rsid w:val="00B66959"/>
    <w:rsid w:val="00B67603"/>
    <w:rsid w:val="00B73616"/>
    <w:rsid w:val="00B7573C"/>
    <w:rsid w:val="00B76781"/>
    <w:rsid w:val="00B77920"/>
    <w:rsid w:val="00B80A41"/>
    <w:rsid w:val="00B82166"/>
    <w:rsid w:val="00B847DE"/>
    <w:rsid w:val="00B85BCD"/>
    <w:rsid w:val="00B90B7D"/>
    <w:rsid w:val="00B93A42"/>
    <w:rsid w:val="00B93D50"/>
    <w:rsid w:val="00B942D1"/>
    <w:rsid w:val="00B9769F"/>
    <w:rsid w:val="00BA3B89"/>
    <w:rsid w:val="00BA6727"/>
    <w:rsid w:val="00BA69BF"/>
    <w:rsid w:val="00BA709D"/>
    <w:rsid w:val="00BB34A1"/>
    <w:rsid w:val="00BB451D"/>
    <w:rsid w:val="00BB4FE7"/>
    <w:rsid w:val="00BB5A4D"/>
    <w:rsid w:val="00BB7BF3"/>
    <w:rsid w:val="00BC17F1"/>
    <w:rsid w:val="00BC39C4"/>
    <w:rsid w:val="00BC3D0A"/>
    <w:rsid w:val="00BC4D13"/>
    <w:rsid w:val="00BC6C23"/>
    <w:rsid w:val="00BD1358"/>
    <w:rsid w:val="00BD3C7A"/>
    <w:rsid w:val="00BD61F6"/>
    <w:rsid w:val="00BD7971"/>
    <w:rsid w:val="00BD7FFE"/>
    <w:rsid w:val="00BE1868"/>
    <w:rsid w:val="00BE397F"/>
    <w:rsid w:val="00BE5432"/>
    <w:rsid w:val="00BE545F"/>
    <w:rsid w:val="00BE6634"/>
    <w:rsid w:val="00BF08CC"/>
    <w:rsid w:val="00BF186F"/>
    <w:rsid w:val="00BF238C"/>
    <w:rsid w:val="00BF2720"/>
    <w:rsid w:val="00BF36EE"/>
    <w:rsid w:val="00BF4A69"/>
    <w:rsid w:val="00BF632A"/>
    <w:rsid w:val="00C010AF"/>
    <w:rsid w:val="00C126B2"/>
    <w:rsid w:val="00C137CD"/>
    <w:rsid w:val="00C13CD2"/>
    <w:rsid w:val="00C146B4"/>
    <w:rsid w:val="00C16FB8"/>
    <w:rsid w:val="00C1747F"/>
    <w:rsid w:val="00C223A1"/>
    <w:rsid w:val="00C23258"/>
    <w:rsid w:val="00C23578"/>
    <w:rsid w:val="00C26C00"/>
    <w:rsid w:val="00C30A74"/>
    <w:rsid w:val="00C33488"/>
    <w:rsid w:val="00C3417F"/>
    <w:rsid w:val="00C34CFC"/>
    <w:rsid w:val="00C35DB1"/>
    <w:rsid w:val="00C36BD1"/>
    <w:rsid w:val="00C43AD6"/>
    <w:rsid w:val="00C468A1"/>
    <w:rsid w:val="00C478DE"/>
    <w:rsid w:val="00C500C2"/>
    <w:rsid w:val="00C519EC"/>
    <w:rsid w:val="00C52270"/>
    <w:rsid w:val="00C524E2"/>
    <w:rsid w:val="00C525C7"/>
    <w:rsid w:val="00C55711"/>
    <w:rsid w:val="00C55966"/>
    <w:rsid w:val="00C56623"/>
    <w:rsid w:val="00C57020"/>
    <w:rsid w:val="00C618A8"/>
    <w:rsid w:val="00C6319B"/>
    <w:rsid w:val="00C65F82"/>
    <w:rsid w:val="00C67E72"/>
    <w:rsid w:val="00C70D3E"/>
    <w:rsid w:val="00C73232"/>
    <w:rsid w:val="00C80909"/>
    <w:rsid w:val="00C81B91"/>
    <w:rsid w:val="00C82E60"/>
    <w:rsid w:val="00C847BB"/>
    <w:rsid w:val="00C867DD"/>
    <w:rsid w:val="00C9036A"/>
    <w:rsid w:val="00C916C0"/>
    <w:rsid w:val="00C935B4"/>
    <w:rsid w:val="00C93A55"/>
    <w:rsid w:val="00C979D8"/>
    <w:rsid w:val="00CA1005"/>
    <w:rsid w:val="00CA5BC4"/>
    <w:rsid w:val="00CA6918"/>
    <w:rsid w:val="00CB1129"/>
    <w:rsid w:val="00CB1726"/>
    <w:rsid w:val="00CB28B5"/>
    <w:rsid w:val="00CB365E"/>
    <w:rsid w:val="00CB3A78"/>
    <w:rsid w:val="00CB4594"/>
    <w:rsid w:val="00CB47AC"/>
    <w:rsid w:val="00CC2B85"/>
    <w:rsid w:val="00CC407E"/>
    <w:rsid w:val="00CC56FD"/>
    <w:rsid w:val="00CC7550"/>
    <w:rsid w:val="00CD1017"/>
    <w:rsid w:val="00CD292D"/>
    <w:rsid w:val="00CD3BAC"/>
    <w:rsid w:val="00CD3CFC"/>
    <w:rsid w:val="00CD49A5"/>
    <w:rsid w:val="00CD4DFE"/>
    <w:rsid w:val="00CD6C8A"/>
    <w:rsid w:val="00CD71B0"/>
    <w:rsid w:val="00CD763A"/>
    <w:rsid w:val="00CE013B"/>
    <w:rsid w:val="00CE1176"/>
    <w:rsid w:val="00CE146B"/>
    <w:rsid w:val="00CE241D"/>
    <w:rsid w:val="00CF00C7"/>
    <w:rsid w:val="00CF0359"/>
    <w:rsid w:val="00CF0458"/>
    <w:rsid w:val="00CF0B02"/>
    <w:rsid w:val="00CF14B5"/>
    <w:rsid w:val="00CF4D0D"/>
    <w:rsid w:val="00CF532D"/>
    <w:rsid w:val="00CF5BD4"/>
    <w:rsid w:val="00D00123"/>
    <w:rsid w:val="00D03AB7"/>
    <w:rsid w:val="00D0569D"/>
    <w:rsid w:val="00D07924"/>
    <w:rsid w:val="00D07EE4"/>
    <w:rsid w:val="00D100D5"/>
    <w:rsid w:val="00D11E73"/>
    <w:rsid w:val="00D12553"/>
    <w:rsid w:val="00D12F73"/>
    <w:rsid w:val="00D13014"/>
    <w:rsid w:val="00D15DA5"/>
    <w:rsid w:val="00D22AD3"/>
    <w:rsid w:val="00D22CDD"/>
    <w:rsid w:val="00D23D2F"/>
    <w:rsid w:val="00D24AAC"/>
    <w:rsid w:val="00D25840"/>
    <w:rsid w:val="00D32C28"/>
    <w:rsid w:val="00D3553D"/>
    <w:rsid w:val="00D35AE2"/>
    <w:rsid w:val="00D40F91"/>
    <w:rsid w:val="00D436C8"/>
    <w:rsid w:val="00D44A87"/>
    <w:rsid w:val="00D50705"/>
    <w:rsid w:val="00D5364A"/>
    <w:rsid w:val="00D60673"/>
    <w:rsid w:val="00D62253"/>
    <w:rsid w:val="00D67AA4"/>
    <w:rsid w:val="00D8046B"/>
    <w:rsid w:val="00D80B38"/>
    <w:rsid w:val="00D80E89"/>
    <w:rsid w:val="00D875AA"/>
    <w:rsid w:val="00D90F70"/>
    <w:rsid w:val="00D91CB4"/>
    <w:rsid w:val="00D91CD3"/>
    <w:rsid w:val="00D92AEA"/>
    <w:rsid w:val="00D95448"/>
    <w:rsid w:val="00D974B6"/>
    <w:rsid w:val="00DA0CD0"/>
    <w:rsid w:val="00DA3B34"/>
    <w:rsid w:val="00DA420B"/>
    <w:rsid w:val="00DA5243"/>
    <w:rsid w:val="00DA5B68"/>
    <w:rsid w:val="00DB177E"/>
    <w:rsid w:val="00DB1F0F"/>
    <w:rsid w:val="00DB279E"/>
    <w:rsid w:val="00DB764F"/>
    <w:rsid w:val="00DB7C7C"/>
    <w:rsid w:val="00DC10FD"/>
    <w:rsid w:val="00DC1B2A"/>
    <w:rsid w:val="00DC2D22"/>
    <w:rsid w:val="00DC2DB3"/>
    <w:rsid w:val="00DC67EE"/>
    <w:rsid w:val="00DD0EB0"/>
    <w:rsid w:val="00DD17C5"/>
    <w:rsid w:val="00DD1862"/>
    <w:rsid w:val="00DD3561"/>
    <w:rsid w:val="00DD5E2B"/>
    <w:rsid w:val="00DD5FE3"/>
    <w:rsid w:val="00DD606D"/>
    <w:rsid w:val="00DD69B5"/>
    <w:rsid w:val="00DD7137"/>
    <w:rsid w:val="00DD7E7C"/>
    <w:rsid w:val="00DE764A"/>
    <w:rsid w:val="00DF11CB"/>
    <w:rsid w:val="00DF2D09"/>
    <w:rsid w:val="00DF3F68"/>
    <w:rsid w:val="00DF621F"/>
    <w:rsid w:val="00DF7AA4"/>
    <w:rsid w:val="00E04AB5"/>
    <w:rsid w:val="00E052B6"/>
    <w:rsid w:val="00E05F2C"/>
    <w:rsid w:val="00E060AD"/>
    <w:rsid w:val="00E1115D"/>
    <w:rsid w:val="00E135E9"/>
    <w:rsid w:val="00E14F2B"/>
    <w:rsid w:val="00E16FD6"/>
    <w:rsid w:val="00E17FC8"/>
    <w:rsid w:val="00E2555B"/>
    <w:rsid w:val="00E2694E"/>
    <w:rsid w:val="00E32058"/>
    <w:rsid w:val="00E36E5D"/>
    <w:rsid w:val="00E40D34"/>
    <w:rsid w:val="00E414EE"/>
    <w:rsid w:val="00E434B0"/>
    <w:rsid w:val="00E44DB6"/>
    <w:rsid w:val="00E45D51"/>
    <w:rsid w:val="00E464B1"/>
    <w:rsid w:val="00E5104D"/>
    <w:rsid w:val="00E5338A"/>
    <w:rsid w:val="00E537B6"/>
    <w:rsid w:val="00E53928"/>
    <w:rsid w:val="00E53BD9"/>
    <w:rsid w:val="00E54143"/>
    <w:rsid w:val="00E577BC"/>
    <w:rsid w:val="00E60A84"/>
    <w:rsid w:val="00E624D1"/>
    <w:rsid w:val="00E627A6"/>
    <w:rsid w:val="00E63C93"/>
    <w:rsid w:val="00E64089"/>
    <w:rsid w:val="00E64741"/>
    <w:rsid w:val="00E64FD8"/>
    <w:rsid w:val="00E66C4A"/>
    <w:rsid w:val="00E710C6"/>
    <w:rsid w:val="00E76E52"/>
    <w:rsid w:val="00E81A65"/>
    <w:rsid w:val="00E83156"/>
    <w:rsid w:val="00E83561"/>
    <w:rsid w:val="00E83CD8"/>
    <w:rsid w:val="00E851B1"/>
    <w:rsid w:val="00E86586"/>
    <w:rsid w:val="00E86F41"/>
    <w:rsid w:val="00E90E6C"/>
    <w:rsid w:val="00E9254A"/>
    <w:rsid w:val="00E93BFE"/>
    <w:rsid w:val="00EA0EFA"/>
    <w:rsid w:val="00EA14E7"/>
    <w:rsid w:val="00EA3A62"/>
    <w:rsid w:val="00EA4558"/>
    <w:rsid w:val="00EA620A"/>
    <w:rsid w:val="00EB2A33"/>
    <w:rsid w:val="00EB693F"/>
    <w:rsid w:val="00EC031C"/>
    <w:rsid w:val="00EC06E3"/>
    <w:rsid w:val="00EC154B"/>
    <w:rsid w:val="00EC2002"/>
    <w:rsid w:val="00EC257A"/>
    <w:rsid w:val="00EC27B6"/>
    <w:rsid w:val="00ED01DF"/>
    <w:rsid w:val="00ED144D"/>
    <w:rsid w:val="00ED48E8"/>
    <w:rsid w:val="00EE2166"/>
    <w:rsid w:val="00EE324F"/>
    <w:rsid w:val="00EE63FD"/>
    <w:rsid w:val="00EE6C7E"/>
    <w:rsid w:val="00EE71A9"/>
    <w:rsid w:val="00EF0E34"/>
    <w:rsid w:val="00EF1AA9"/>
    <w:rsid w:val="00EF2617"/>
    <w:rsid w:val="00EF357C"/>
    <w:rsid w:val="00EF48B1"/>
    <w:rsid w:val="00EF569B"/>
    <w:rsid w:val="00EF589A"/>
    <w:rsid w:val="00EF7CCB"/>
    <w:rsid w:val="00F026B6"/>
    <w:rsid w:val="00F12A20"/>
    <w:rsid w:val="00F13FF3"/>
    <w:rsid w:val="00F20932"/>
    <w:rsid w:val="00F229D7"/>
    <w:rsid w:val="00F24191"/>
    <w:rsid w:val="00F25136"/>
    <w:rsid w:val="00F25533"/>
    <w:rsid w:val="00F2629F"/>
    <w:rsid w:val="00F27B6C"/>
    <w:rsid w:val="00F30D8F"/>
    <w:rsid w:val="00F31754"/>
    <w:rsid w:val="00F31F6F"/>
    <w:rsid w:val="00F3526A"/>
    <w:rsid w:val="00F361DB"/>
    <w:rsid w:val="00F36944"/>
    <w:rsid w:val="00F36A2B"/>
    <w:rsid w:val="00F37CC1"/>
    <w:rsid w:val="00F43832"/>
    <w:rsid w:val="00F45199"/>
    <w:rsid w:val="00F52CEB"/>
    <w:rsid w:val="00F54AE3"/>
    <w:rsid w:val="00F571BA"/>
    <w:rsid w:val="00F57431"/>
    <w:rsid w:val="00F62BF7"/>
    <w:rsid w:val="00F6348D"/>
    <w:rsid w:val="00F63499"/>
    <w:rsid w:val="00F63983"/>
    <w:rsid w:val="00F714C0"/>
    <w:rsid w:val="00F76513"/>
    <w:rsid w:val="00F771DA"/>
    <w:rsid w:val="00F8215A"/>
    <w:rsid w:val="00F82172"/>
    <w:rsid w:val="00F83979"/>
    <w:rsid w:val="00F844E5"/>
    <w:rsid w:val="00F85B24"/>
    <w:rsid w:val="00F8654E"/>
    <w:rsid w:val="00F93B35"/>
    <w:rsid w:val="00F9598B"/>
    <w:rsid w:val="00F96B69"/>
    <w:rsid w:val="00FA0C31"/>
    <w:rsid w:val="00FA25E9"/>
    <w:rsid w:val="00FA5971"/>
    <w:rsid w:val="00FA59B4"/>
    <w:rsid w:val="00FA68EB"/>
    <w:rsid w:val="00FB0D05"/>
    <w:rsid w:val="00FB3F41"/>
    <w:rsid w:val="00FB5754"/>
    <w:rsid w:val="00FB7EA2"/>
    <w:rsid w:val="00FC09C9"/>
    <w:rsid w:val="00FC1F61"/>
    <w:rsid w:val="00FD0942"/>
    <w:rsid w:val="00FD35F5"/>
    <w:rsid w:val="00FD43D1"/>
    <w:rsid w:val="00FD44E9"/>
    <w:rsid w:val="00FD5643"/>
    <w:rsid w:val="00FE1A64"/>
    <w:rsid w:val="00FE2D3E"/>
    <w:rsid w:val="00FE4A4E"/>
    <w:rsid w:val="00FE6133"/>
    <w:rsid w:val="00FE6867"/>
    <w:rsid w:val="00FF0DF4"/>
    <w:rsid w:val="00FF4F7C"/>
    <w:rsid w:val="00FF58AD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0924"/>
  <w15:docId w15:val="{DC2F3FB5-F35A-4365-A193-4BEEEC75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089"/>
    <w:pPr>
      <w:spacing w:after="0" w:line="240" w:lineRule="auto"/>
    </w:pPr>
    <w:rPr>
      <w:lang w:val="nb-NO"/>
    </w:rPr>
  </w:style>
  <w:style w:type="table" w:styleId="TableGrid">
    <w:name w:val="Table Grid"/>
    <w:basedOn w:val="TableNormal"/>
    <w:uiPriority w:val="39"/>
    <w:rsid w:val="00E64089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56359"/>
    <w:pPr>
      <w:spacing w:after="0" w:line="240" w:lineRule="auto"/>
    </w:pPr>
    <w:rPr>
      <w:rFonts w:ascii="Arial" w:eastAsiaTheme="minorHAnsi" w:hAnsi="Arial" w:cs="Calibr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A73"/>
  </w:style>
  <w:style w:type="paragraph" w:styleId="Footer">
    <w:name w:val="footer"/>
    <w:basedOn w:val="Normal"/>
    <w:link w:val="FooterChar"/>
    <w:uiPriority w:val="99"/>
    <w:unhideWhenUsed/>
    <w:rsid w:val="00822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73"/>
  </w:style>
  <w:style w:type="paragraph" w:styleId="Caption">
    <w:name w:val="caption"/>
    <w:basedOn w:val="Normal"/>
    <w:next w:val="Normal"/>
    <w:uiPriority w:val="35"/>
    <w:unhideWhenUsed/>
    <w:qFormat/>
    <w:rsid w:val="007F39CA"/>
    <w:pPr>
      <w:spacing w:line="240" w:lineRule="auto"/>
    </w:pPr>
    <w:rPr>
      <w:rFonts w:ascii="Calibri" w:eastAsia="Times New Roman" w:hAnsi="Calibri" w:cs="Arial"/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180C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34B0"/>
    <w:pPr>
      <w:ind w:left="720"/>
      <w:contextualSpacing/>
    </w:pPr>
  </w:style>
  <w:style w:type="paragraph" w:customStyle="1" w:styleId="MDPI31text">
    <w:name w:val="MDPI_3.1_text"/>
    <w:link w:val="MDPI31textChar"/>
    <w:qFormat/>
    <w:rsid w:val="00C26C00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character" w:customStyle="1" w:styleId="MDPI31textChar">
    <w:name w:val="MDPI_3.1_text Char"/>
    <w:basedOn w:val="DefaultParagraphFont"/>
    <w:link w:val="MDPI31text"/>
    <w:rsid w:val="00C26C00"/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character" w:styleId="Hyperlink">
    <w:name w:val="Hyperlink"/>
    <w:basedOn w:val="DefaultParagraphFont"/>
    <w:uiPriority w:val="99"/>
    <w:unhideWhenUsed/>
    <w:rsid w:val="00EE2166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2E2F0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E2F0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E2F08"/>
    <w:pPr>
      <w:spacing w:line="240" w:lineRule="auto"/>
      <w:jc w:val="lowKashida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E2F08"/>
    <w:rPr>
      <w:rFonts w:ascii="Calibri" w:hAnsi="Calibri" w:cs="Calibri"/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154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177/10901981114229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armtoschoolbc.ca/about-us/his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0011-9A11-43C1-95B9-C5CC199F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5443</Words>
  <Characters>31028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5</cp:revision>
  <dcterms:created xsi:type="dcterms:W3CDTF">2021-11-17T08:15:00Z</dcterms:created>
  <dcterms:modified xsi:type="dcterms:W3CDTF">2022-07-31T17:45:00Z</dcterms:modified>
</cp:coreProperties>
</file>