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0C" w:rsidRDefault="00361E0C">
      <w:pPr>
        <w:tabs>
          <w:tab w:val="clear" w:pos="7788"/>
          <w:tab w:val="clear" w:pos="8284"/>
          <w:tab w:val="left" w:pos="7767"/>
        </w:tabs>
        <w:jc w:val="center"/>
        <w:rPr>
          <w:rFonts w:ascii="Times New Roman Bold" w:hAnsi="Times New Roman Bold"/>
          <w:sz w:val="36"/>
          <w:lang w:val="en-GB"/>
        </w:rPr>
      </w:pPr>
      <w:r>
        <w:rPr>
          <w:rFonts w:ascii="Times New Roman Bold" w:hAnsi="Times New Roman Bold"/>
          <w:sz w:val="36"/>
          <w:lang w:val="en-GB"/>
        </w:rPr>
        <w:t>Auntie Knows Best?</w:t>
      </w:r>
    </w:p>
    <w:p w:rsidR="00361E0C" w:rsidRDefault="00361E0C">
      <w:pPr>
        <w:tabs>
          <w:tab w:val="clear" w:pos="7788"/>
          <w:tab w:val="clear" w:pos="8284"/>
          <w:tab w:val="left" w:pos="7767"/>
        </w:tabs>
        <w:jc w:val="center"/>
        <w:rPr>
          <w:rFonts w:ascii="Times New Roman Bold" w:hAnsi="Times New Roman Bold"/>
          <w:sz w:val="28"/>
          <w:lang w:val="en-GB"/>
        </w:rPr>
      </w:pPr>
      <w:r>
        <w:rPr>
          <w:rFonts w:ascii="Times New Roman Bold" w:hAnsi="Times New Roman Bold"/>
          <w:sz w:val="28"/>
          <w:lang w:val="en-GB"/>
        </w:rPr>
        <w:t>Public Broadcasters and Current Affairs Knowledge</w:t>
      </w:r>
    </w:p>
    <w:p w:rsidR="00361E0C" w:rsidRDefault="00361E0C">
      <w:pPr>
        <w:pStyle w:val="BodyA"/>
        <w:jc w:val="center"/>
        <w:rPr>
          <w:rFonts w:ascii="Times New Roman Bold" w:hAnsi="Times New Roman Bold"/>
          <w:sz w:val="26"/>
          <w:lang w:val="en-GB"/>
        </w:rPr>
      </w:pPr>
    </w:p>
    <w:p w:rsidR="00361E0C" w:rsidRDefault="00361E0C">
      <w:pPr>
        <w:pStyle w:val="BodyA"/>
        <w:jc w:val="center"/>
        <w:rPr>
          <w:rFonts w:ascii="Times New Roman Bold" w:hAnsi="Times New Roman Bold"/>
          <w:sz w:val="26"/>
          <w:lang w:val="en-GB"/>
        </w:rPr>
      </w:pPr>
      <w:r>
        <w:rPr>
          <w:rFonts w:ascii="Times New Roman Bold" w:hAnsi="Times New Roman Bold"/>
          <w:sz w:val="26"/>
          <w:lang w:val="en-GB"/>
        </w:rPr>
        <w:t>Online Appendix</w:t>
      </w:r>
    </w:p>
    <w:p w:rsidR="00361E0C" w:rsidRDefault="00361E0C">
      <w:pPr>
        <w:pStyle w:val="BodyA"/>
        <w:rPr>
          <w:rFonts w:ascii="Times New Roman" w:hAnsi="Times New Roman"/>
          <w:sz w:val="22"/>
          <w:lang w:val="en-GB"/>
        </w:rPr>
      </w:pPr>
    </w:p>
    <w:p w:rsidR="00361E0C" w:rsidRDefault="00361E0C">
      <w:pPr>
        <w:pStyle w:val="BodyA"/>
        <w:spacing w:after="120"/>
        <w:rPr>
          <w:rFonts w:ascii="Times New Roman" w:hAnsi="Times New Roman"/>
          <w:sz w:val="22"/>
          <w:lang w:val="en-GB"/>
        </w:rPr>
      </w:pPr>
    </w:p>
    <w:p w:rsidR="00361E0C" w:rsidRDefault="00361E0C">
      <w:pPr>
        <w:pStyle w:val="BodyA"/>
        <w:spacing w:after="120"/>
        <w:rPr>
          <w:rFonts w:ascii="Times New Roman Bold" w:hAnsi="Times New Roman Bold"/>
          <w:sz w:val="22"/>
          <w:lang w:val="en-GB"/>
        </w:rPr>
      </w:pPr>
      <w:r>
        <w:rPr>
          <w:rFonts w:ascii="Times New Roman Bold" w:hAnsi="Times New Roman Bold"/>
          <w:sz w:val="22"/>
          <w:lang w:val="en-GB"/>
        </w:rPr>
        <w:t>Survey Details</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Surveys in the US, UK, Canada, Australia, Italy, Japan and Norway were conducted by YouGov-PMX. YouGov uses a matching methodology for delivering online samples that mirror target populations on key demographics. The approach is described in some detail in Shanto Iyengar and Lynn Vavreck, 'Online Panels and the Future of Political Communicaiton Research', in Holli A. Semetko and Margaret Scammell, eds, Sage Handbook of Political Communicaiton (Beverly Hills: Sage, 2011).</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 xml:space="preserve">The samples for the US and UK are in this case based directly on existing YouGov panels. </w:t>
      </w:r>
      <w:proofErr w:type="gramStart"/>
      <w:r>
        <w:rPr>
          <w:rFonts w:ascii="Times New Roman" w:hAnsi="Times New Roman"/>
          <w:sz w:val="22"/>
          <w:lang w:val="en-GB"/>
        </w:rPr>
        <w:t>In  other</w:t>
      </w:r>
      <w:proofErr w:type="gramEnd"/>
      <w:r>
        <w:rPr>
          <w:rFonts w:ascii="Times New Roman" w:hAnsi="Times New Roman"/>
          <w:sz w:val="22"/>
          <w:lang w:val="en-GB"/>
        </w:rPr>
        <w:t xml:space="preserve"> countries, YouGov applied their sampling techniques to panels maintained by Research Now (Canada, Norway, Japan, Australia) and Zapera (Norway).</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 xml:space="preserve">The Korean survey was conducted by Nielsen KoreanClick, where respondents were drawn from a panel of 12,000 Internet users, with matching implement on gender, age and education.  </w:t>
      </w:r>
    </w:p>
    <w:p w:rsidR="002977BB" w:rsidRDefault="00361E0C">
      <w:pPr>
        <w:pStyle w:val="BodyA"/>
        <w:spacing w:after="120"/>
        <w:jc w:val="both"/>
        <w:rPr>
          <w:rFonts w:ascii="Times New Roman" w:hAnsi="Times New Roman"/>
          <w:sz w:val="22"/>
          <w:lang w:val="en-GB"/>
        </w:rPr>
      </w:pPr>
      <w:r>
        <w:rPr>
          <w:rFonts w:ascii="Times New Roman" w:hAnsi="Times New Roman"/>
          <w:sz w:val="22"/>
          <w:lang w:val="en-GB"/>
        </w:rPr>
        <w:t xml:space="preserve">Principle investigators </w:t>
      </w:r>
      <w:r w:rsidR="002977BB">
        <w:rPr>
          <w:rFonts w:ascii="Times New Roman" w:hAnsi="Times New Roman"/>
          <w:sz w:val="22"/>
          <w:lang w:val="en-GB"/>
        </w:rPr>
        <w:t>are included as authors for the paper;</w:t>
      </w:r>
      <w:r>
        <w:rPr>
          <w:rFonts w:ascii="Times New Roman" w:hAnsi="Times New Roman"/>
          <w:sz w:val="22"/>
          <w:lang w:val="en-GB"/>
        </w:rPr>
        <w:t xml:space="preserve"> funding sources </w:t>
      </w:r>
      <w:r w:rsidR="002977BB">
        <w:rPr>
          <w:rFonts w:ascii="Times New Roman" w:hAnsi="Times New Roman"/>
          <w:sz w:val="22"/>
          <w:lang w:val="en-GB"/>
        </w:rPr>
        <w:t>are acknowledged in the paper as well.</w:t>
      </w:r>
    </w:p>
    <w:p w:rsidR="00361E0C" w:rsidRDefault="00361E0C">
      <w:pPr>
        <w:pStyle w:val="BodyA"/>
        <w:spacing w:after="120"/>
        <w:jc w:val="both"/>
        <w:rPr>
          <w:rFonts w:ascii="Times New Roman Bold" w:hAnsi="Times New Roman Bold"/>
          <w:sz w:val="22"/>
          <w:lang w:val="en-GB"/>
        </w:rPr>
      </w:pPr>
      <w:r>
        <w:rPr>
          <w:rFonts w:ascii="Times New Roman Bold" w:hAnsi="Times New Roman Bold"/>
          <w:sz w:val="22"/>
          <w:lang w:val="en-GB"/>
        </w:rPr>
        <w:t>Appendix Tables</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 xml:space="preserve">Table 1 includes the the full matching models that precede the propensity score analyses in the main body of the paper. </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 xml:space="preserve">Table 2 includes a sample battery of knowledge questions used to capture hard and soft news knowledge.  Questions vary slightly across countries; specific questions are available in the country-level survey data files, from the principle investigators listed above.  </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Table 3 shows results of a comparison of television versus newspaper exposure on political knowledge.  The models are estimated in exactly the same way as for the analyses of public versus private broadcasters in the text, with two minor changes: (1) the television viewing variable capture television viewing generally rather than public or private viewing, and (2) the “other media exposure” variable used in the estimation of propensity scores uses radio and newspaper reading in models of television viewing, and radio and television viewing in models of newspaper reading. Note that using just general television viewing allows us to include both US and Australian data as well.  There is of course much more than can be done with these data, but for our purposes (see the Conclusions above) what is most critical is that the estimated impact of newspapers on knowledge is not consistently higher than the estimated impact of television viewing.</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Tables 4 through 6 include results for the impact of public and private television viewing replicated using OLS.  Those results are discussed in some detail below.</w:t>
      </w:r>
    </w:p>
    <w:p w:rsidR="00361E0C" w:rsidRDefault="00361E0C">
      <w:pPr>
        <w:pStyle w:val="BodyA"/>
        <w:spacing w:after="120"/>
        <w:jc w:val="both"/>
        <w:rPr>
          <w:rFonts w:ascii="Times New Roman Bold" w:hAnsi="Times New Roman Bold"/>
          <w:sz w:val="22"/>
          <w:lang w:val="en-GB"/>
        </w:rPr>
      </w:pPr>
      <w:r>
        <w:rPr>
          <w:rFonts w:ascii="Times New Roman Bold" w:hAnsi="Times New Roman Bold"/>
          <w:sz w:val="22"/>
          <w:lang w:val="en-GB"/>
        </w:rPr>
        <w:t>Matching vs. OLS Estimates of Media Effects</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lastRenderedPageBreak/>
        <w:t>We have discussed in the main body of the paper the potential advantages of using propensity score matching to produce estimates of media effects. There are both advantages and disadvantages to that approach, however, and we discuss those in somewhat more detail here.  That said</w:t>
      </w:r>
      <w:proofErr w:type="gramStart"/>
      <w:r>
        <w:rPr>
          <w:rFonts w:ascii="Times New Roman" w:hAnsi="Times New Roman"/>
          <w:sz w:val="22"/>
          <w:lang w:val="en-GB"/>
        </w:rPr>
        <w:t>,</w:t>
      </w:r>
      <w:proofErr w:type="gramEnd"/>
      <w:r>
        <w:rPr>
          <w:rFonts w:ascii="Times New Roman" w:hAnsi="Times New Roman"/>
          <w:sz w:val="22"/>
          <w:lang w:val="en-GB"/>
        </w:rPr>
        <w:t xml:space="preserve"> the most critical implication of the findings in Tables 4 through 6 is that they are not substantially different from those in the text — that is, media effects estimated by OLS are very similar to those estimated using matching methods above. Our results are robust to changes in estimation.</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 xml:space="preserve">We have already </w:t>
      </w:r>
      <w:proofErr w:type="gramStart"/>
      <w:r>
        <w:rPr>
          <w:rFonts w:ascii="Times New Roman" w:hAnsi="Times New Roman"/>
          <w:sz w:val="22"/>
          <w:lang w:val="en-GB"/>
        </w:rPr>
        <w:t>noted  the</w:t>
      </w:r>
      <w:proofErr w:type="gramEnd"/>
      <w:r>
        <w:rPr>
          <w:rFonts w:ascii="Times New Roman" w:hAnsi="Times New Roman"/>
          <w:sz w:val="22"/>
          <w:lang w:val="en-GB"/>
        </w:rPr>
        <w:t xml:space="preserve"> issue of endogeneity in the evaluation of media effects.  In the present case, PSB may provide a greater amount of hard news information than commercial broadcasting, but it is also the case that people interested in, and with higher levels of hard news knowledge to begin with, choose to watch PSB. Statistical analyses must try to capture which comes first, knowledge or exposure.</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 xml:space="preserve">There are several different possible approaches to this issue.  The more common approach is to use a regular (e.g., OLS) regression model, including the other variables related to the likelihood of exposure.  By including education and income, for instance, the media exposure variable is assumed to capture the impact of exposure above and beyond the impact of education and income.  The coefficient is intended to capture the impact of exposure </w:t>
      </w:r>
      <w:r>
        <w:rPr>
          <w:rFonts w:ascii="Times New Roman Italic" w:hAnsi="Times New Roman Italic"/>
          <w:sz w:val="22"/>
          <w:lang w:val="en-GB"/>
        </w:rPr>
        <w:t>ceteris paribus</w:t>
      </w:r>
      <w:r>
        <w:rPr>
          <w:rFonts w:ascii="Times New Roman" w:hAnsi="Times New Roman"/>
          <w:sz w:val="22"/>
          <w:lang w:val="en-GB"/>
        </w:rPr>
        <w:t>, that is, holding other things equal.</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 xml:space="preserve">There are serious weaknesses to this approach, however.  First and foremost is the fact that the impact of exposure is only exposure </w:t>
      </w:r>
      <w:r>
        <w:rPr>
          <w:rFonts w:ascii="Times New Roman Italic" w:hAnsi="Times New Roman Italic"/>
          <w:sz w:val="22"/>
          <w:lang w:val="en-GB"/>
        </w:rPr>
        <w:t>per se</w:t>
      </w:r>
      <w:r>
        <w:rPr>
          <w:rFonts w:ascii="Times New Roman" w:hAnsi="Times New Roman"/>
          <w:sz w:val="22"/>
          <w:lang w:val="en-GB"/>
        </w:rPr>
        <w:t xml:space="preserve"> to the extent that all other possible factors driving exposure (self-selection) are included in the model.  Missing any of these factors leads to omitted variable bias, and an over-estimate of the coefficient for exposure.  It is likely that most if not all existing work relying on standard regression models to estimate the impact of media exposure on knowledge makes this error.</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Matching methods may provide more realistic estimates - realistic in the sense that they may capture the impact of exposure, more independent of the various factors that lead respondents to self-select into high- or low-exposure groups. As discussed in the text, whether this is the case is a function of the model which produces the propensity score.  If that model includes the variables that account for self-selection, then matching methods will produce good estimates.  If that model does not include the variables accounting for self-selection, however, all the problems associated with missing variable bias still apply.  The impact of exposure may include the impact of other factors related to self-selection.</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That said</w:t>
      </w:r>
      <w:proofErr w:type="gramStart"/>
      <w:r>
        <w:rPr>
          <w:rFonts w:ascii="Times New Roman" w:hAnsi="Times New Roman"/>
          <w:sz w:val="22"/>
          <w:lang w:val="en-GB"/>
        </w:rPr>
        <w:t>,</w:t>
      </w:r>
      <w:proofErr w:type="gramEnd"/>
      <w:r>
        <w:rPr>
          <w:rFonts w:ascii="Times New Roman" w:hAnsi="Times New Roman"/>
          <w:sz w:val="22"/>
          <w:lang w:val="en-GB"/>
        </w:rPr>
        <w:t xml:space="preserve"> the problems resulting from missing variable bias may be somewhat smaller in a propensity score analysis.  First, the impact of missing variables, to the extent that they are correlated to variables included in the model of the propensity score, may be subsumed in part by the coefficients for those included variables.  The result is an inaccurate (over-stated) estimate of coefficients in the model of the propensity score; but, as a consequence, an estimated propensity score that takes into account, at least in part, these missing variables.  The coefficient estimates in the propensity score model are of course of little interest — what matters is the estimated treatment effect, which in this case may be somewhat more accurate as a consequence of shifting (some of) the impact of missing variables into the estimation of the propensity score (rather than leaving it in the estimate of treatment effects).</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 xml:space="preserve">It is still the case that estimating propensity scores likely does not remove the bias produced by missing variables; put differently, matching cannot completely solve the problem of self-selection in the kinds of models explored above.  Indeed, some work suggests that estimates </w:t>
      </w:r>
      <w:r>
        <w:rPr>
          <w:rFonts w:ascii="Times New Roman" w:hAnsi="Times New Roman"/>
          <w:sz w:val="22"/>
          <w:lang w:val="en-GB"/>
        </w:rPr>
        <w:lastRenderedPageBreak/>
        <w:t xml:space="preserve">resulting from matching may be no more reliable than those resulting from more traditional regressions. (For a particularly useful discussion, see Arceneaux et al. 2006.)  It is, in sum, sensible to think of a propensity score analysis </w:t>
      </w:r>
      <w:r>
        <w:rPr>
          <w:rFonts w:ascii="Times New Roman Italic" w:hAnsi="Times New Roman Italic"/>
          <w:sz w:val="22"/>
          <w:lang w:val="en-GB"/>
        </w:rPr>
        <w:t>not</w:t>
      </w:r>
      <w:r>
        <w:rPr>
          <w:rFonts w:ascii="Times New Roman" w:hAnsi="Times New Roman"/>
          <w:sz w:val="22"/>
          <w:lang w:val="en-GB"/>
        </w:rPr>
        <w:t xml:space="preserve"> as a method of solving the endogeneity problem, but rather as a method that may in the right circumstances reduce bias in the estimated treatment effect, in this case, news exposure.</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There are some other advantages and disadvantages of matching methods and OLS, but those have been discussed in some detail elsewhere (see citations in the text).  Here, the goal is mainly to confirm that results shown in the text are not driven by our choice of estimation strategy. To do this, we have both re-estimated results using a number of different matching algorithms, and re-estimated results using simple OLS models.  We show the latter here.</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 xml:space="preserve">OLS models rely on the same variables as the </w:t>
      </w:r>
      <w:proofErr w:type="gramStart"/>
      <w:r>
        <w:rPr>
          <w:rFonts w:ascii="Times New Roman" w:hAnsi="Times New Roman"/>
          <w:sz w:val="22"/>
          <w:lang w:val="en-GB"/>
        </w:rPr>
        <w:t>propensity score</w:t>
      </w:r>
      <w:proofErr w:type="gramEnd"/>
      <w:r>
        <w:rPr>
          <w:rFonts w:ascii="Times New Roman" w:hAnsi="Times New Roman"/>
          <w:sz w:val="22"/>
          <w:lang w:val="en-GB"/>
        </w:rPr>
        <w:t xml:space="preserve"> analysis, though here obviously we include all variables in a single model, predicting knowledge as a function of television viewing alongside the other controls.  Note that while the matching models require that we run separate analyses for our two treatments — public and private television viewing — we can include both simultaneously in OLS models; and since doing so does not produce coefficients that are vastly different from OLS models that examine the two treatments separately, we just show just the combined models here.</w:t>
      </w:r>
    </w:p>
    <w:p w:rsidR="00361E0C" w:rsidRDefault="00361E0C">
      <w:pPr>
        <w:pStyle w:val="BodyA"/>
        <w:spacing w:after="120"/>
        <w:jc w:val="both"/>
        <w:rPr>
          <w:rFonts w:ascii="Times New Roman" w:hAnsi="Times New Roman"/>
          <w:sz w:val="22"/>
          <w:lang w:val="en-GB"/>
        </w:rPr>
      </w:pPr>
      <w:r>
        <w:rPr>
          <w:rFonts w:ascii="Times New Roman" w:hAnsi="Times New Roman"/>
          <w:sz w:val="22"/>
          <w:lang w:val="en-GB"/>
        </w:rPr>
        <w:t>There are some minor differences between the matching and OLS results, to be sure.  OLS reveals no significant impact of television viewing on knowledge in Canada; and the ratio of the impact of public versus private television varies somewhat in certain countries from the matching to the OLS results.  But these are relatively minor differences; and the general findings hold.  That is, it is still the case that (a) in most countries, public television viewing has a significant positive impact on knowledge, while private television viewing does not, (b) this is particularly true for hard news knowledge, while for soft news knowledge private television viewing, particularly in Japan and Norway, (c) by far the largest gap in impact between public and and private broadcasters is in the UK, followed by, depending on whether it is combined, hard, or soft news knowledge, some combination of Norway and Japan.</w:t>
      </w:r>
    </w:p>
    <w:p w:rsidR="00361E0C" w:rsidRDefault="00361E0C">
      <w:pPr>
        <w:pStyle w:val="FreeFormBB"/>
        <w:jc w:val="both"/>
        <w:rPr>
          <w:sz w:val="22"/>
          <w:lang w:val="en-GB"/>
        </w:rPr>
      </w:pPr>
      <w:r>
        <w:rPr>
          <w:sz w:val="22"/>
          <w:lang w:val="en-GB"/>
        </w:rPr>
        <w:t>In sum, these results make clear that analyses in the text are not a peculiar product of propensity score matching.  That said</w:t>
      </w:r>
      <w:proofErr w:type="gramStart"/>
      <w:r>
        <w:rPr>
          <w:sz w:val="22"/>
          <w:lang w:val="en-GB"/>
        </w:rPr>
        <w:t>,</w:t>
      </w:r>
      <w:proofErr w:type="gramEnd"/>
      <w:r>
        <w:rPr>
          <w:sz w:val="22"/>
          <w:lang w:val="en-GB"/>
        </w:rPr>
        <w:t xml:space="preserve"> they do make clear that the advantages of propensity score matching may be rather limited where eliminating endogeneity is concerned.  The magnitude of the effect as estimated using OLS is not consistently lower than the effect estimated using matching, for instance.  (This is true in some but not all cases.)  Endogeneity remains a concern, clearly, and panel data (in which respondents actually change their sources of news) may be the only way to solve that problem definitively.  In the meantime, we suggest that our results come as close as they can with cross-sectional data; and while the overall impact of television news may be slightly over-stated overall, the differences between public and private television are both robust to changes in specification, and meaningful.</w:t>
      </w:r>
    </w:p>
    <w:p w:rsidR="00361E0C" w:rsidRDefault="00361E0C">
      <w:pPr>
        <w:pStyle w:val="FreeFormBB"/>
        <w:rPr>
          <w:sz w:val="22"/>
          <w:lang w:val="en-GB"/>
        </w:rPr>
      </w:pPr>
      <w:r>
        <w:rPr>
          <w:sz w:val="22"/>
          <w:lang w:val="en-GB"/>
        </w:rPr>
        <w:t xml:space="preserve"> </w:t>
      </w:r>
      <w:r>
        <w:br w:type="page"/>
      </w:r>
      <w:proofErr w:type="gramStart"/>
      <w:r>
        <w:rPr>
          <w:sz w:val="22"/>
          <w:lang w:val="en-GB"/>
        </w:rPr>
        <w:lastRenderedPageBreak/>
        <w:t>Online Appendix Table 1.</w:t>
      </w:r>
      <w:proofErr w:type="gramEnd"/>
      <w:r>
        <w:rPr>
          <w:sz w:val="22"/>
          <w:lang w:val="en-GB"/>
        </w:rPr>
        <w:t xml:space="preserve"> Propensity Score Models, Public, Private and Semi-Private Television Viewing</w:t>
      </w:r>
    </w:p>
    <w:p w:rsidR="00361E0C" w:rsidRDefault="00361E0C">
      <w:pPr>
        <w:pStyle w:val="FreeFormBB"/>
        <w:rPr>
          <w:lang w:val="en-GB"/>
        </w:rPr>
      </w:pPr>
    </w:p>
    <w:tbl>
      <w:tblPr>
        <w:tblW w:w="0" w:type="auto"/>
        <w:shd w:val="clear" w:color="auto" w:fill="FFFFFF"/>
        <w:tblLayout w:type="fixed"/>
        <w:tblLook w:val="0000"/>
      </w:tblPr>
      <w:tblGrid>
        <w:gridCol w:w="1294"/>
        <w:gridCol w:w="850"/>
        <w:gridCol w:w="850"/>
        <w:gridCol w:w="850"/>
        <w:gridCol w:w="850"/>
        <w:gridCol w:w="850"/>
        <w:gridCol w:w="856"/>
        <w:gridCol w:w="1238"/>
      </w:tblGrid>
      <w:tr w:rsidR="00361E0C">
        <w:trPr>
          <w:cantSplit/>
          <w:trHeight w:val="190"/>
        </w:trPr>
        <w:tc>
          <w:tcPr>
            <w:tcW w:w="1294"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pPr>
          </w:p>
        </w:tc>
        <w:tc>
          <w:tcPr>
            <w:tcW w:w="5106" w:type="dxa"/>
            <w:gridSpan w:val="6"/>
            <w:tcBorders>
              <w:top w:val="singl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DV: Public TV Viewing</w:t>
            </w:r>
          </w:p>
        </w:tc>
        <w:tc>
          <w:tcPr>
            <w:tcW w:w="1238" w:type="dxa"/>
            <w:tcBorders>
              <w:top w:val="singl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Semi(private</w:t>
            </w:r>
          </w:p>
        </w:tc>
      </w:tr>
      <w:tr w:rsidR="00361E0C">
        <w:trPr>
          <w:cantSplit/>
          <w:trHeight w:val="18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CA</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IT</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JP</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NO</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UK</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KR</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UK</w:t>
            </w:r>
          </w:p>
        </w:tc>
      </w:tr>
      <w:tr w:rsidR="00361E0C">
        <w:trPr>
          <w:cantSplit/>
          <w:trHeight w:val="23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Age: 35(54</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0.076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.315**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.526**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.350** </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.351**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(0.061</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(0.152)</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(0.112</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(0.089</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(0.127</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Age: 55+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0.173</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.450**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.882**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1.225**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.662** </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.819**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(0.038</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(0.129)</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(0.156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(0.138</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(0.132</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(0.150</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Education</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0.026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0.055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.333**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0.102</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(0.114</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(0.033</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0.057</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(0.091)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(0.076)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(0.088</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(0.082</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(0.049</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(0.101</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Interest, cat1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-1.182**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0.038</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(.707**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(.486**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(.523** </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(.352**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(0.212</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(0.182)</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(0.151)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(0.231)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(0.223</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(0.177</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(0.163</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(0.187</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Interest, cat2</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-1.049**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.227*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-.290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(.587**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(.393** </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(0.169</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(.491** </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(0.149)</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(0.214</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(0.171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(0.164</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(0.138</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(0.167</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Interest, cat3</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-.616**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.318**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-.024</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(0.063</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(0.104</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(0.125</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(0.138</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(0.214</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(0.167</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(0.139</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(0.154</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Media Use</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.300**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.265**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.223**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.350**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.298** </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.286**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.358** </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(0.067)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(0.054)</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(0.076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(0.072</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(0.067</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(0.055</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(0.070</w:t>
            </w:r>
          </w:p>
        </w:tc>
      </w:tr>
      <w:tr w:rsidR="00361E0C">
        <w:trPr>
          <w:cantSplit/>
          <w:trHeight w:val="22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Constant</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-0.241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(.941**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-1.026**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-.963**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0.360</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-.633**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-1.540** </w:t>
            </w:r>
          </w:p>
        </w:tc>
      </w:tr>
      <w:tr w:rsidR="00361E0C">
        <w:trPr>
          <w:cantSplit/>
          <w:trHeight w:val="23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(0.279)</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(0.246)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(0.445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(0.319</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(0.276</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(0.192</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(0.314</w:t>
            </w:r>
          </w:p>
        </w:tc>
      </w:tr>
      <w:tr w:rsidR="00361E0C">
        <w:trPr>
          <w:cantSplit/>
          <w:trHeight w:val="240"/>
        </w:trPr>
        <w:tc>
          <w:tcPr>
            <w:tcW w:w="129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N </w:t>
            </w:r>
          </w:p>
        </w:tc>
        <w:tc>
          <w:tcPr>
            <w:tcW w:w="8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759</w:t>
            </w:r>
          </w:p>
        </w:tc>
        <w:tc>
          <w:tcPr>
            <w:tcW w:w="8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904</w:t>
            </w:r>
          </w:p>
        </w:tc>
        <w:tc>
          <w:tcPr>
            <w:tcW w:w="8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926</w:t>
            </w:r>
          </w:p>
        </w:tc>
        <w:tc>
          <w:tcPr>
            <w:tcW w:w="8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922</w:t>
            </w:r>
          </w:p>
        </w:tc>
        <w:tc>
          <w:tcPr>
            <w:tcW w:w="8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867</w:t>
            </w:r>
          </w:p>
        </w:tc>
        <w:tc>
          <w:tcPr>
            <w:tcW w:w="85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1192</w:t>
            </w:r>
          </w:p>
        </w:tc>
        <w:tc>
          <w:tcPr>
            <w:tcW w:w="1238"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878</w:t>
            </w:r>
          </w:p>
        </w:tc>
      </w:tr>
      <w:tr w:rsidR="00361E0C">
        <w:trPr>
          <w:cantSplit/>
          <w:trHeight w:val="190"/>
        </w:trPr>
        <w:tc>
          <w:tcPr>
            <w:tcW w:w="1294"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c>
          <w:tcPr>
            <w:tcW w:w="5106" w:type="dxa"/>
            <w:gridSpan w:val="6"/>
            <w:tcBorders>
              <w:top w:val="singl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DV: Private TV Viewing</w:t>
            </w:r>
          </w:p>
        </w:tc>
        <w:tc>
          <w:tcPr>
            <w:tcW w:w="1238"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18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c>
          <w:tcPr>
            <w:tcW w:w="850"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CA</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IT</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JP</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NO</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UK</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40" w:type="dxa"/>
              <w:left w:w="40" w:type="dxa"/>
              <w:bottom w:w="40" w:type="dxa"/>
              <w:right w:w="40" w:type="dxa"/>
            </w:tcMar>
          </w:tcPr>
          <w:p w:rsidR="00361E0C" w:rsidRDefault="00361E0C">
            <w:pPr>
              <w:pStyle w:val="FreeFormBB"/>
              <w:jc w:val="center"/>
              <w:rPr>
                <w:rFonts w:ascii="Arial" w:hAnsi="Arial"/>
                <w:sz w:val="18"/>
                <w:lang w:val="en-US"/>
              </w:rPr>
            </w:pPr>
            <w:r>
              <w:rPr>
                <w:rFonts w:ascii="Arial" w:hAnsi="Arial"/>
                <w:sz w:val="18"/>
                <w:lang w:val="en-US"/>
              </w:rPr>
              <w:t>KR</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3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Age: 35(54</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.322**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0.065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.355**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.388**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.247** </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.386**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(0.123</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(0.140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(0.117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(0.110</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(0.092</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Age: 55+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.693**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0.026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.701**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.723**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.242* </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.601**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(0.124</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(0.151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(0.171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(0.147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(0.126</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(0.132</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Education</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(0.046</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0.070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(0.042</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(0.081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(.420** </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0.055</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(0.094</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(0.085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(0.134</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(0.089</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(0.079</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(0.050</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Interest, cat1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(.758**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(.300*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(0.257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(0.242</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0.122</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(.370**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(0.175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(0.169</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(0.280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(0.210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(0.165</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(0.164</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Interest, cat2</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(.658**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(0.180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0.100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(0.245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0.133</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(.344**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(0.150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(0.263</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(0.157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(0.147</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(0.140</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Interest, cat3</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(.324**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(0.208</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0.161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(0.239</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0.016</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(0.191</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(0.142</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(0.127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(0.255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(0.157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(0.145</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(0.139</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Media Use</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.312**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.359**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.248**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.115**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.243** </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.263**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(0.067</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(0.060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(0.085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(0.020</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(0.062</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(0.056</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0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_cons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(0.285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(1.386**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0.348</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(.913**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(0.054</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 xml:space="preserve">(.942** </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30"/>
        </w:trPr>
        <w:tc>
          <w:tcPr>
            <w:tcW w:w="129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 </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(0.283</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(0.271</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(0.515</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(0.319</w:t>
            </w:r>
          </w:p>
        </w:tc>
        <w:tc>
          <w:tcPr>
            <w:tcW w:w="8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(0.262</w:t>
            </w:r>
          </w:p>
        </w:tc>
        <w:tc>
          <w:tcPr>
            <w:tcW w:w="85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(0.194</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r w:rsidR="00361E0C">
        <w:trPr>
          <w:cantSplit/>
          <w:trHeight w:val="240"/>
        </w:trPr>
        <w:tc>
          <w:tcPr>
            <w:tcW w:w="129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rPr>
                <w:rFonts w:ascii="Arial" w:hAnsi="Arial"/>
                <w:sz w:val="18"/>
                <w:lang w:val="en-US"/>
              </w:rPr>
            </w:pPr>
            <w:r>
              <w:rPr>
                <w:rFonts w:ascii="Arial" w:hAnsi="Arial"/>
                <w:sz w:val="18"/>
                <w:lang w:val="en-US"/>
              </w:rPr>
              <w:t xml:space="preserve">N </w:t>
            </w:r>
          </w:p>
        </w:tc>
        <w:tc>
          <w:tcPr>
            <w:tcW w:w="8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752</w:t>
            </w:r>
          </w:p>
        </w:tc>
        <w:tc>
          <w:tcPr>
            <w:tcW w:w="8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875</w:t>
            </w:r>
          </w:p>
        </w:tc>
        <w:tc>
          <w:tcPr>
            <w:tcW w:w="8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919</w:t>
            </w:r>
          </w:p>
        </w:tc>
        <w:tc>
          <w:tcPr>
            <w:tcW w:w="8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913</w:t>
            </w:r>
          </w:p>
        </w:tc>
        <w:tc>
          <w:tcPr>
            <w:tcW w:w="8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877</w:t>
            </w:r>
          </w:p>
        </w:tc>
        <w:tc>
          <w:tcPr>
            <w:tcW w:w="85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center"/>
              <w:rPr>
                <w:rFonts w:ascii="Arial" w:hAnsi="Arial"/>
                <w:sz w:val="18"/>
                <w:lang w:val="en-US"/>
              </w:rPr>
            </w:pPr>
            <w:r>
              <w:rPr>
                <w:rFonts w:ascii="Arial" w:hAnsi="Arial"/>
                <w:sz w:val="18"/>
                <w:lang w:val="en-US"/>
              </w:rPr>
              <w:t>1192</w:t>
            </w:r>
          </w:p>
        </w:tc>
        <w:tc>
          <w:tcPr>
            <w:tcW w:w="12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B"/>
              <w:jc w:val="right"/>
            </w:pPr>
          </w:p>
        </w:tc>
      </w:tr>
    </w:tbl>
    <w:p w:rsidR="00361E0C" w:rsidRDefault="00361E0C">
      <w:pPr>
        <w:pStyle w:val="FreeFormB"/>
        <w:ind w:left="20"/>
        <w:rPr>
          <w:sz w:val="20"/>
          <w:lang w:val="en-GB"/>
        </w:rPr>
      </w:pPr>
    </w:p>
    <w:p w:rsidR="00361E0C" w:rsidRDefault="00361E0C">
      <w:pPr>
        <w:pStyle w:val="FreeFormBB"/>
        <w:ind w:right="1852"/>
        <w:jc w:val="both"/>
        <w:rPr>
          <w:rFonts w:ascii="Helvetica" w:hAnsi="Helvetica"/>
          <w:sz w:val="18"/>
          <w:lang w:val="en-GB"/>
        </w:rPr>
      </w:pPr>
      <w:r>
        <w:rPr>
          <w:rFonts w:ascii="Helvetica" w:hAnsi="Helvetica"/>
          <w:sz w:val="18"/>
          <w:lang w:val="en-GB"/>
        </w:rPr>
        <w:t xml:space="preserve">* </w:t>
      </w:r>
      <w:proofErr w:type="gramStart"/>
      <w:r>
        <w:rPr>
          <w:rFonts w:ascii="Helvetica" w:hAnsi="Helvetica"/>
          <w:sz w:val="18"/>
          <w:lang w:val="en-GB"/>
        </w:rPr>
        <w:t>p</w:t>
      </w:r>
      <w:proofErr w:type="gramEnd"/>
      <w:r>
        <w:rPr>
          <w:rFonts w:ascii="Helvetica" w:hAnsi="Helvetica"/>
          <w:sz w:val="18"/>
          <w:lang w:val="en-GB"/>
        </w:rPr>
        <w:t xml:space="preserve"> &lt; .10; ** p &lt; .05. Cells contain probit regression coefficients with standard errors in parentheses.</w:t>
      </w:r>
    </w:p>
    <w:p w:rsidR="00361E0C" w:rsidRDefault="00361E0C">
      <w:pPr>
        <w:pStyle w:val="FreeForm"/>
        <w:rPr>
          <w:lang w:val="en-GB"/>
        </w:rPr>
      </w:pPr>
      <w:r>
        <w:br w:type="page"/>
      </w:r>
      <w:proofErr w:type="gramStart"/>
      <w:r>
        <w:rPr>
          <w:sz w:val="22"/>
          <w:lang w:val="en-GB"/>
        </w:rPr>
        <w:lastRenderedPageBreak/>
        <w:t>Online Appendix Table 2.</w:t>
      </w:r>
      <w:proofErr w:type="gramEnd"/>
      <w:r>
        <w:rPr>
          <w:sz w:val="22"/>
          <w:lang w:val="en-GB"/>
        </w:rPr>
        <w:t xml:space="preserve"> Knowledge Questions: Cross-National and UK Domestic</w:t>
      </w:r>
    </w:p>
    <w:p w:rsidR="00361E0C" w:rsidRDefault="00361E0C">
      <w:pPr>
        <w:pStyle w:val="FreeFormBB"/>
        <w:rPr>
          <w:sz w:val="22"/>
          <w:lang w:val="en-GB"/>
        </w:rPr>
      </w:pPr>
    </w:p>
    <w:p w:rsidR="00361E0C" w:rsidRDefault="00361E0C">
      <w:pPr>
        <w:pStyle w:val="FreeFormBB"/>
        <w:jc w:val="both"/>
        <w:rPr>
          <w:sz w:val="22"/>
          <w:lang w:val="en-GB"/>
        </w:rPr>
      </w:pPr>
      <w:r>
        <w:rPr>
          <w:sz w:val="22"/>
          <w:lang w:val="en-GB"/>
        </w:rPr>
        <w:t>As noted in the text, hard and soft news knowledge is based on a battery of knowledge questions asked in each country. Some questions were the same from country to country; others were country-specific (the goal being to capture a combination of national and international affairs knowledge). We list below the knowledge questions asked in the Canadian survey, indicating whether they were common to all surveys or specific to the Canada. Other country-specific questions are available in the the datafiles and codebooks for each country; these are available from the Principle Investigators for each survey.</w:t>
      </w:r>
    </w:p>
    <w:p w:rsidR="00361E0C" w:rsidRDefault="00361E0C">
      <w:pPr>
        <w:pStyle w:val="FreeFormBB"/>
        <w:jc w:val="both"/>
        <w:rPr>
          <w:sz w:val="22"/>
          <w:lang w:val="en-GB"/>
        </w:rPr>
      </w:pPr>
    </w:p>
    <w:tbl>
      <w:tblPr>
        <w:tblW w:w="0" w:type="auto"/>
        <w:shd w:val="clear" w:color="auto" w:fill="FFFFFF"/>
        <w:tblLayout w:type="fixed"/>
        <w:tblLook w:val="0000"/>
      </w:tblPr>
      <w:tblGrid>
        <w:gridCol w:w="4007"/>
        <w:gridCol w:w="4007"/>
      </w:tblGrid>
      <w:tr w:rsidR="00361E0C">
        <w:trPr>
          <w:cantSplit/>
          <w:trHeight w:val="320"/>
        </w:trPr>
        <w:tc>
          <w:tcPr>
            <w:tcW w:w="4007" w:type="dxa"/>
            <w:tcBorders>
              <w:top w:val="singl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rPr>
                <w:rFonts w:ascii="Arial Bold" w:hAnsi="Arial Bold"/>
                <w:sz w:val="18"/>
                <w:lang w:val="en-US"/>
              </w:rPr>
            </w:pPr>
            <w:r>
              <w:rPr>
                <w:rFonts w:ascii="Arial Bold" w:hAnsi="Arial Bold"/>
                <w:sz w:val="18"/>
                <w:lang w:val="en-US"/>
              </w:rPr>
              <w:t>Hard News</w:t>
            </w:r>
          </w:p>
        </w:tc>
        <w:tc>
          <w:tcPr>
            <w:tcW w:w="4007"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r>
      <w:tr w:rsidR="00361E0C">
        <w:trPr>
          <w:cantSplit/>
          <w:trHeight w:val="320"/>
        </w:trPr>
        <w:tc>
          <w:tcPr>
            <w:tcW w:w="4007" w:type="dxa"/>
            <w:tcBorders>
              <w:top w:val="singl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rPr>
                <w:rFonts w:ascii="Arial Bold" w:hAnsi="Arial Bold"/>
                <w:sz w:val="18"/>
                <w:lang w:val="en-US"/>
              </w:rPr>
            </w:pPr>
            <w:r>
              <w:rPr>
                <w:rFonts w:ascii="Arial Bold" w:hAnsi="Arial Bold"/>
                <w:sz w:val="18"/>
                <w:lang w:val="en-US"/>
              </w:rPr>
              <w:t>Common</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r>
      <w:tr w:rsidR="00361E0C">
        <w:trPr>
          <w:cantSplit/>
          <w:trHeight w:val="1310"/>
        </w:trPr>
        <w:tc>
          <w:tcPr>
            <w:tcW w:w="4007"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Angela Merkel holds what position?</w:t>
            </w:r>
          </w:p>
          <w:p w:rsidR="00361E0C" w:rsidRDefault="00361E0C">
            <w:pPr>
              <w:numPr>
                <w:ilvl w:val="0"/>
                <w:numId w:val="1"/>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Chancellor of Germany </w:t>
            </w:r>
          </w:p>
          <w:p w:rsidR="00361E0C" w:rsidRDefault="00361E0C">
            <w:pPr>
              <w:numPr>
                <w:ilvl w:val="0"/>
                <w:numId w:val="1"/>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US Attorney General </w:t>
            </w:r>
          </w:p>
          <w:p w:rsidR="00361E0C" w:rsidRDefault="00361E0C">
            <w:pPr>
              <w:numPr>
                <w:ilvl w:val="0"/>
                <w:numId w:val="1"/>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European Union chairman </w:t>
            </w:r>
          </w:p>
          <w:p w:rsidR="00361E0C" w:rsidRDefault="00361E0C">
            <w:pPr>
              <w:numPr>
                <w:ilvl w:val="0"/>
                <w:numId w:val="1"/>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Austrian Prime Minister  </w:t>
            </w:r>
          </w:p>
          <w:p w:rsidR="00361E0C" w:rsidRDefault="00361E0C">
            <w:pPr>
              <w:numPr>
                <w:ilvl w:val="0"/>
                <w:numId w:val="1"/>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Can't say</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Vladimir Putin serves as: </w:t>
            </w:r>
          </w:p>
          <w:p w:rsidR="00361E0C" w:rsidRDefault="00361E0C">
            <w:pPr>
              <w:numPr>
                <w:ilvl w:val="0"/>
                <w:numId w:val="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Prime Minister of Russia </w:t>
            </w:r>
          </w:p>
          <w:p w:rsidR="00361E0C" w:rsidRDefault="00361E0C">
            <w:pPr>
              <w:numPr>
                <w:ilvl w:val="0"/>
                <w:numId w:val="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Coach of the Edmonton Oilers </w:t>
            </w:r>
          </w:p>
          <w:p w:rsidR="00361E0C" w:rsidRDefault="00361E0C">
            <w:pPr>
              <w:numPr>
                <w:ilvl w:val="0"/>
                <w:numId w:val="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Owner of the Yokos Oil Company </w:t>
            </w:r>
          </w:p>
          <w:p w:rsidR="00361E0C" w:rsidRDefault="00361E0C">
            <w:pPr>
              <w:numPr>
                <w:ilvl w:val="0"/>
                <w:numId w:val="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Russia’s UN ambassador </w:t>
            </w:r>
          </w:p>
          <w:p w:rsidR="00361E0C" w:rsidRDefault="00361E0C">
            <w:pPr>
              <w:numPr>
                <w:ilvl w:val="0"/>
                <w:numId w:val="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Can't say</w:t>
            </w:r>
          </w:p>
        </w:tc>
      </w:tr>
      <w:tr w:rsidR="00361E0C">
        <w:trPr>
          <w:cantSplit/>
          <w:trHeight w:val="1700"/>
        </w:trPr>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In Thailand the 'red shirts' are: </w:t>
            </w:r>
          </w:p>
          <w:p w:rsidR="00361E0C" w:rsidRDefault="00361E0C">
            <w:pPr>
              <w:numPr>
                <w:ilvl w:val="0"/>
                <w:numId w:val="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Demonstrators sympathetic to ousted prime minister, Thaksin Shinawatra </w:t>
            </w:r>
          </w:p>
          <w:p w:rsidR="00361E0C" w:rsidRDefault="00361E0C">
            <w:pPr>
              <w:numPr>
                <w:ilvl w:val="0"/>
                <w:numId w:val="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Buddhist social movement  </w:t>
            </w:r>
          </w:p>
          <w:p w:rsidR="00361E0C" w:rsidRDefault="00361E0C">
            <w:pPr>
              <w:numPr>
                <w:ilvl w:val="0"/>
                <w:numId w:val="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Pro-communist demonstrators  </w:t>
            </w:r>
          </w:p>
          <w:p w:rsidR="00361E0C" w:rsidRDefault="00361E0C">
            <w:pPr>
              <w:numPr>
                <w:ilvl w:val="0"/>
                <w:numId w:val="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A section of the armed forces violently suppressing dissent </w:t>
            </w:r>
          </w:p>
          <w:p w:rsidR="00361E0C" w:rsidRDefault="00361E0C">
            <w:pPr>
              <w:numPr>
                <w:ilvl w:val="0"/>
                <w:numId w:val="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Can’t say</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Angela Merkel holds what position?</w:t>
            </w:r>
          </w:p>
          <w:p w:rsidR="00361E0C" w:rsidRDefault="00361E0C">
            <w:pPr>
              <w:numPr>
                <w:ilvl w:val="0"/>
                <w:numId w:val="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Chancellor of Germany </w:t>
            </w:r>
          </w:p>
          <w:p w:rsidR="00361E0C" w:rsidRDefault="00361E0C">
            <w:pPr>
              <w:numPr>
                <w:ilvl w:val="0"/>
                <w:numId w:val="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US Attorney General </w:t>
            </w:r>
          </w:p>
          <w:p w:rsidR="00361E0C" w:rsidRDefault="00361E0C">
            <w:pPr>
              <w:numPr>
                <w:ilvl w:val="0"/>
                <w:numId w:val="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European Union chairman </w:t>
            </w:r>
          </w:p>
          <w:p w:rsidR="00361E0C" w:rsidRDefault="00361E0C">
            <w:pPr>
              <w:numPr>
                <w:ilvl w:val="0"/>
                <w:numId w:val="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Austrian Prime Minister  </w:t>
            </w:r>
          </w:p>
          <w:p w:rsidR="00361E0C" w:rsidRDefault="00361E0C">
            <w:pPr>
              <w:numPr>
                <w:ilvl w:val="0"/>
                <w:numId w:val="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Can't say</w:t>
            </w:r>
          </w:p>
        </w:tc>
      </w:tr>
      <w:tr w:rsidR="00361E0C">
        <w:trPr>
          <w:cantSplit/>
          <w:trHeight w:val="1500"/>
        </w:trPr>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The Copenhagen Summit refers to a: </w:t>
            </w:r>
          </w:p>
          <w:p w:rsidR="00361E0C" w:rsidRDefault="00361E0C">
            <w:pPr>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Conference on climate change </w:t>
            </w:r>
          </w:p>
          <w:p w:rsidR="00361E0C" w:rsidRDefault="00361E0C">
            <w:pPr>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Meeting of EU Heads of State </w:t>
            </w:r>
          </w:p>
          <w:p w:rsidR="00361E0C" w:rsidRDefault="00361E0C">
            <w:pPr>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Free Trade Treaty </w:t>
            </w:r>
          </w:p>
          <w:p w:rsidR="00361E0C" w:rsidRDefault="00361E0C">
            <w:pPr>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Agreement to increase foreign aid for developing nations </w:t>
            </w:r>
          </w:p>
          <w:p w:rsidR="00361E0C" w:rsidRDefault="00361E0C">
            <w:pPr>
              <w:numPr>
                <w:ilvl w:val="0"/>
                <w:numId w:val="5"/>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Can’t say</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The term Taliban refers to: </w:t>
            </w:r>
          </w:p>
          <w:p w:rsidR="00361E0C" w:rsidRDefault="00361E0C">
            <w:pPr>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The Rulers of Afghanistan 1996-2001 </w:t>
            </w:r>
          </w:p>
          <w:p w:rsidR="00361E0C" w:rsidRDefault="00361E0C">
            <w:pPr>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An Iranian political party </w:t>
            </w:r>
          </w:p>
          <w:p w:rsidR="00361E0C" w:rsidRDefault="00361E0C">
            <w:pPr>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A Province in the disputed Kashmir region </w:t>
            </w:r>
          </w:p>
          <w:p w:rsidR="00361E0C" w:rsidRDefault="00361E0C">
            <w:pPr>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Supporters of the former dictator of Iraq </w:t>
            </w:r>
          </w:p>
          <w:p w:rsidR="00361E0C" w:rsidRDefault="00361E0C">
            <w:pPr>
              <w:numPr>
                <w:ilvl w:val="0"/>
                <w:numId w:val="6"/>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Can't say </w:t>
            </w:r>
          </w:p>
        </w:tc>
      </w:tr>
      <w:tr w:rsidR="00361E0C">
        <w:trPr>
          <w:cantSplit/>
          <w:trHeight w:val="1510"/>
        </w:trPr>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Please identify the UN secretary  General: </w:t>
            </w:r>
          </w:p>
          <w:p w:rsidR="00361E0C" w:rsidRDefault="00361E0C">
            <w:pPr>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Ban Ki-Moon </w:t>
            </w:r>
          </w:p>
          <w:p w:rsidR="00361E0C" w:rsidRDefault="00361E0C">
            <w:pPr>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Hu Jintao </w:t>
            </w:r>
          </w:p>
          <w:p w:rsidR="00361E0C" w:rsidRDefault="00361E0C">
            <w:pPr>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Wen Jiabao  </w:t>
            </w:r>
          </w:p>
          <w:p w:rsidR="00361E0C" w:rsidRDefault="00361E0C">
            <w:pPr>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Pratibha Patil </w:t>
            </w:r>
          </w:p>
          <w:p w:rsidR="00361E0C" w:rsidRDefault="00361E0C">
            <w:pPr>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Can’t say</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The national unemployment rate at the moment is around: </w:t>
            </w:r>
          </w:p>
          <w:p w:rsidR="00361E0C" w:rsidRDefault="00361E0C">
            <w:pPr>
              <w:numPr>
                <w:ilvl w:val="0"/>
                <w:numId w:val="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10 percent </w:t>
            </w:r>
          </w:p>
          <w:p w:rsidR="00361E0C" w:rsidRDefault="00361E0C">
            <w:pPr>
              <w:numPr>
                <w:ilvl w:val="0"/>
                <w:numId w:val="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15 percent </w:t>
            </w:r>
          </w:p>
          <w:p w:rsidR="00361E0C" w:rsidRDefault="00361E0C">
            <w:pPr>
              <w:numPr>
                <w:ilvl w:val="0"/>
                <w:numId w:val="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5 percent </w:t>
            </w:r>
          </w:p>
          <w:p w:rsidR="00361E0C" w:rsidRDefault="00361E0C">
            <w:pPr>
              <w:numPr>
                <w:ilvl w:val="0"/>
                <w:numId w:val="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20 percent </w:t>
            </w:r>
          </w:p>
          <w:p w:rsidR="00361E0C" w:rsidRDefault="00361E0C">
            <w:pPr>
              <w:numPr>
                <w:ilvl w:val="0"/>
                <w:numId w:val="8"/>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Can’t say </w:t>
            </w:r>
          </w:p>
        </w:tc>
      </w:tr>
      <w:tr w:rsidR="00361E0C">
        <w:trPr>
          <w:cantSplit/>
          <w:trHeight w:val="320"/>
        </w:trPr>
        <w:tc>
          <w:tcPr>
            <w:tcW w:w="4007"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rPr>
                <w:rFonts w:ascii="Arial Bold" w:hAnsi="Arial Bold"/>
                <w:sz w:val="18"/>
                <w:lang w:val="en-US"/>
              </w:rPr>
            </w:pPr>
            <w:r>
              <w:rPr>
                <w:rFonts w:ascii="Arial Bold" w:hAnsi="Arial Bold"/>
                <w:sz w:val="18"/>
                <w:lang w:val="en-US"/>
              </w:rPr>
              <w:t>Canada Only</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r>
      <w:tr w:rsidR="00361E0C">
        <w:trPr>
          <w:cantSplit/>
          <w:trHeight w:val="1510"/>
        </w:trPr>
        <w:tc>
          <w:tcPr>
            <w:tcW w:w="4007"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The Speaker of the House of Commons recently issued a ruling related to what issue?</w:t>
            </w:r>
          </w:p>
          <w:p w:rsidR="00361E0C" w:rsidRDefault="00361E0C">
            <w:pPr>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Afghan detainees</w:t>
            </w:r>
          </w:p>
          <w:p w:rsidR="00361E0C" w:rsidRDefault="00361E0C">
            <w:pPr>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Illegal immigration</w:t>
            </w:r>
          </w:p>
          <w:p w:rsidR="00361E0C" w:rsidRDefault="00361E0C">
            <w:pPr>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Private healthcare</w:t>
            </w:r>
          </w:p>
          <w:p w:rsidR="00361E0C" w:rsidRDefault="00361E0C">
            <w:pPr>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Unemployment</w:t>
            </w:r>
          </w:p>
          <w:p w:rsidR="00361E0C" w:rsidRDefault="00361E0C">
            <w:pPr>
              <w:numPr>
                <w:ilvl w:val="0"/>
                <w:numId w:val="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Can’t say</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rPr>
                <w:rFonts w:ascii="Arial" w:hAnsi="Arial"/>
                <w:sz w:val="18"/>
                <w:lang w:val="en-US"/>
              </w:rPr>
            </w:pPr>
            <w:r>
              <w:rPr>
                <w:rFonts w:ascii="Arial" w:hAnsi="Arial"/>
                <w:sz w:val="18"/>
                <w:lang w:val="en-US"/>
              </w:rPr>
              <w:t>The current Secretary of State of the United States is</w:t>
            </w:r>
          </w:p>
          <w:p w:rsidR="00361E0C" w:rsidRDefault="00361E0C">
            <w:pPr>
              <w:pStyle w:val="BodyB"/>
              <w:numPr>
                <w:ilvl w:val="0"/>
                <w:numId w:val="10"/>
              </w:numPr>
              <w:rPr>
                <w:rFonts w:ascii="Arial" w:hAnsi="Arial"/>
                <w:sz w:val="18"/>
                <w:lang w:val="en-US"/>
              </w:rPr>
            </w:pPr>
            <w:r>
              <w:rPr>
                <w:rFonts w:ascii="Arial" w:hAnsi="Arial"/>
                <w:sz w:val="18"/>
                <w:lang w:val="en-US"/>
              </w:rPr>
              <w:t>Hillary Clinton</w:t>
            </w:r>
          </w:p>
          <w:p w:rsidR="00361E0C" w:rsidRDefault="00361E0C">
            <w:pPr>
              <w:pStyle w:val="BodyB"/>
              <w:numPr>
                <w:ilvl w:val="0"/>
                <w:numId w:val="10"/>
              </w:numPr>
              <w:rPr>
                <w:rFonts w:ascii="Arial" w:hAnsi="Arial"/>
                <w:sz w:val="18"/>
                <w:lang w:val="en-US"/>
              </w:rPr>
            </w:pPr>
            <w:r>
              <w:rPr>
                <w:rFonts w:ascii="Arial" w:hAnsi="Arial"/>
                <w:sz w:val="18"/>
                <w:lang w:val="en-US"/>
              </w:rPr>
              <w:t>Barak Obama</w:t>
            </w:r>
          </w:p>
          <w:p w:rsidR="00361E0C" w:rsidRDefault="00361E0C">
            <w:pPr>
              <w:pStyle w:val="BodyB"/>
              <w:numPr>
                <w:ilvl w:val="0"/>
                <w:numId w:val="10"/>
              </w:numPr>
              <w:rPr>
                <w:rFonts w:ascii="Arial" w:hAnsi="Arial"/>
                <w:sz w:val="18"/>
                <w:lang w:val="en-US"/>
              </w:rPr>
            </w:pPr>
            <w:r>
              <w:rPr>
                <w:rFonts w:ascii="Arial" w:hAnsi="Arial"/>
                <w:sz w:val="18"/>
                <w:lang w:val="en-US"/>
              </w:rPr>
              <w:t>Joe Biden</w:t>
            </w:r>
          </w:p>
          <w:p w:rsidR="00361E0C" w:rsidRDefault="00361E0C">
            <w:pPr>
              <w:pStyle w:val="BodyB"/>
              <w:numPr>
                <w:ilvl w:val="0"/>
                <w:numId w:val="10"/>
              </w:numPr>
              <w:rPr>
                <w:rFonts w:ascii="Arial" w:hAnsi="Arial"/>
                <w:sz w:val="18"/>
                <w:lang w:val="en-US"/>
              </w:rPr>
            </w:pPr>
            <w:r>
              <w:rPr>
                <w:rFonts w:ascii="Arial" w:hAnsi="Arial"/>
                <w:sz w:val="18"/>
                <w:lang w:val="en-US"/>
              </w:rPr>
              <w:t>John McCain</w:t>
            </w:r>
          </w:p>
          <w:p w:rsidR="00361E0C" w:rsidRDefault="00361E0C">
            <w:pPr>
              <w:pStyle w:val="BodyB"/>
              <w:numPr>
                <w:ilvl w:val="0"/>
                <w:numId w:val="10"/>
              </w:numPr>
              <w:rPr>
                <w:rFonts w:ascii="Arial" w:hAnsi="Arial"/>
                <w:sz w:val="18"/>
                <w:lang w:val="en-US"/>
              </w:rPr>
            </w:pPr>
            <w:r>
              <w:rPr>
                <w:rFonts w:ascii="Arial" w:hAnsi="Arial"/>
                <w:sz w:val="18"/>
                <w:lang w:val="en-US"/>
              </w:rPr>
              <w:t>Can’t say</w:t>
            </w:r>
          </w:p>
        </w:tc>
      </w:tr>
      <w:tr w:rsidR="00361E0C">
        <w:trPr>
          <w:cantSplit/>
          <w:trHeight w:val="1900"/>
        </w:trPr>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rPr>
                <w:rFonts w:ascii="Arial" w:hAnsi="Arial"/>
                <w:sz w:val="18"/>
                <w:lang w:val="en-US"/>
              </w:rPr>
            </w:pPr>
            <w:r>
              <w:rPr>
                <w:rFonts w:ascii="Arial" w:hAnsi="Arial"/>
                <w:sz w:val="18"/>
                <w:lang w:val="en-US"/>
              </w:rPr>
              <w:lastRenderedPageBreak/>
              <w:t>Former Conservative MP Rahim Jaffer is involved in a parliamentary investigation about what?</w:t>
            </w:r>
          </w:p>
          <w:p w:rsidR="00361E0C" w:rsidRDefault="00361E0C">
            <w:pPr>
              <w:pStyle w:val="BodyB"/>
              <w:numPr>
                <w:ilvl w:val="0"/>
                <w:numId w:val="11"/>
              </w:numPr>
              <w:rPr>
                <w:rFonts w:ascii="Arial" w:hAnsi="Arial"/>
                <w:sz w:val="18"/>
                <w:lang w:val="en-US"/>
              </w:rPr>
            </w:pPr>
            <w:r>
              <w:rPr>
                <w:rFonts w:ascii="Arial" w:hAnsi="Arial"/>
                <w:sz w:val="18"/>
                <w:lang w:val="en-US"/>
              </w:rPr>
              <w:t>Lobbying activities and parliamentary ethics</w:t>
            </w:r>
          </w:p>
          <w:p w:rsidR="00361E0C" w:rsidRDefault="00361E0C">
            <w:pPr>
              <w:pStyle w:val="BodyB"/>
              <w:numPr>
                <w:ilvl w:val="0"/>
                <w:numId w:val="11"/>
              </w:numPr>
              <w:rPr>
                <w:rFonts w:ascii="Arial" w:hAnsi="Arial"/>
                <w:sz w:val="18"/>
                <w:lang w:val="en-US"/>
              </w:rPr>
            </w:pPr>
            <w:r>
              <w:rPr>
                <w:rFonts w:ascii="Arial" w:hAnsi="Arial"/>
                <w:sz w:val="18"/>
                <w:lang w:val="en-US"/>
              </w:rPr>
              <w:t>Using undisclosed personal finances to pay for his campaign</w:t>
            </w:r>
          </w:p>
          <w:p w:rsidR="00361E0C" w:rsidRDefault="00361E0C">
            <w:pPr>
              <w:pStyle w:val="BodyB"/>
              <w:numPr>
                <w:ilvl w:val="0"/>
                <w:numId w:val="11"/>
              </w:numPr>
              <w:rPr>
                <w:rFonts w:ascii="Arial" w:hAnsi="Arial"/>
                <w:sz w:val="18"/>
                <w:lang w:val="en-US"/>
              </w:rPr>
            </w:pPr>
            <w:r>
              <w:rPr>
                <w:rFonts w:ascii="Arial" w:hAnsi="Arial"/>
                <w:sz w:val="18"/>
                <w:lang w:val="en-US"/>
              </w:rPr>
              <w:t>Unauthorized publication of government documents</w:t>
            </w:r>
          </w:p>
          <w:p w:rsidR="00361E0C" w:rsidRDefault="00361E0C">
            <w:pPr>
              <w:pStyle w:val="BodyB"/>
              <w:numPr>
                <w:ilvl w:val="0"/>
                <w:numId w:val="11"/>
              </w:numPr>
              <w:rPr>
                <w:rFonts w:ascii="Arial" w:hAnsi="Arial"/>
                <w:sz w:val="18"/>
                <w:lang w:val="en-US"/>
              </w:rPr>
            </w:pPr>
            <w:r>
              <w:rPr>
                <w:rFonts w:ascii="Arial" w:hAnsi="Arial"/>
                <w:sz w:val="18"/>
                <w:lang w:val="en-US"/>
              </w:rPr>
              <w:t>Human rights violations</w:t>
            </w:r>
          </w:p>
          <w:p w:rsidR="00361E0C" w:rsidRDefault="00361E0C">
            <w:pPr>
              <w:pStyle w:val="BodyB"/>
              <w:numPr>
                <w:ilvl w:val="0"/>
                <w:numId w:val="11"/>
              </w:numPr>
              <w:rPr>
                <w:rFonts w:ascii="Arial" w:hAnsi="Arial"/>
                <w:sz w:val="18"/>
                <w:lang w:val="en-US"/>
              </w:rPr>
            </w:pPr>
            <w:r>
              <w:rPr>
                <w:rFonts w:ascii="Arial" w:hAnsi="Arial"/>
                <w:sz w:val="18"/>
                <w:lang w:val="en-US"/>
              </w:rPr>
              <w:t>Can’t say</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r>
      <w:tr w:rsidR="00361E0C">
        <w:trPr>
          <w:cantSplit/>
          <w:trHeight w:val="310"/>
        </w:trPr>
        <w:tc>
          <w:tcPr>
            <w:tcW w:w="4007"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c>
          <w:tcPr>
            <w:tcW w:w="4007"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r>
      <w:tr w:rsidR="00361E0C">
        <w:trPr>
          <w:cantSplit/>
          <w:trHeight w:val="320"/>
        </w:trPr>
        <w:tc>
          <w:tcPr>
            <w:tcW w:w="4007" w:type="dxa"/>
            <w:tcBorders>
              <w:top w:val="singl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rPr>
                <w:rFonts w:ascii="Arial Bold" w:hAnsi="Arial Bold"/>
                <w:sz w:val="18"/>
                <w:lang w:val="en-US"/>
              </w:rPr>
            </w:pPr>
            <w:r>
              <w:rPr>
                <w:rFonts w:ascii="Arial Bold" w:hAnsi="Arial Bold"/>
                <w:sz w:val="18"/>
                <w:lang w:val="en-US"/>
              </w:rPr>
              <w:t>Soft News</w:t>
            </w:r>
          </w:p>
        </w:tc>
        <w:tc>
          <w:tcPr>
            <w:tcW w:w="4007"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r>
      <w:tr w:rsidR="00361E0C">
        <w:trPr>
          <w:cantSplit/>
          <w:trHeight w:val="320"/>
        </w:trPr>
        <w:tc>
          <w:tcPr>
            <w:tcW w:w="4007" w:type="dxa"/>
            <w:tcBorders>
              <w:top w:val="singl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rPr>
                <w:rFonts w:ascii="Arial Bold" w:hAnsi="Arial Bold"/>
                <w:sz w:val="18"/>
                <w:lang w:val="en-US"/>
              </w:rPr>
            </w:pPr>
            <w:r>
              <w:rPr>
                <w:rFonts w:ascii="Arial Bold" w:hAnsi="Arial Bold"/>
                <w:sz w:val="18"/>
                <w:lang w:val="en-US"/>
              </w:rPr>
              <w:t>Common</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r>
      <w:tr w:rsidR="00361E0C">
        <w:trPr>
          <w:cantSplit/>
          <w:trHeight w:val="2110"/>
        </w:trPr>
        <w:tc>
          <w:tcPr>
            <w:tcW w:w="4007"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 The 2010 World Exposition is taking place in:</w:t>
            </w:r>
          </w:p>
          <w:p w:rsidR="00361E0C" w:rsidRDefault="00361E0C">
            <w:pPr>
              <w:numPr>
                <w:ilvl w:val="0"/>
                <w:numId w:val="1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Shanghai </w:t>
            </w:r>
          </w:p>
          <w:p w:rsidR="00361E0C" w:rsidRDefault="00361E0C">
            <w:pPr>
              <w:numPr>
                <w:ilvl w:val="0"/>
                <w:numId w:val="1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Paris </w:t>
            </w:r>
          </w:p>
          <w:p w:rsidR="00361E0C" w:rsidRDefault="00361E0C">
            <w:pPr>
              <w:numPr>
                <w:ilvl w:val="0"/>
                <w:numId w:val="1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Mumbai </w:t>
            </w:r>
          </w:p>
          <w:p w:rsidR="00361E0C" w:rsidRDefault="00361E0C">
            <w:pPr>
              <w:numPr>
                <w:ilvl w:val="0"/>
                <w:numId w:val="1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Vancouver </w:t>
            </w:r>
          </w:p>
          <w:p w:rsidR="00361E0C" w:rsidRDefault="00361E0C">
            <w:pPr>
              <w:numPr>
                <w:ilvl w:val="0"/>
                <w:numId w:val="12"/>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Can’t say</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American golfer Tiger Woods recently took a break from the professional tour. Why did he stop taking part in tournaments? </w:t>
            </w:r>
          </w:p>
          <w:p w:rsidR="00361E0C" w:rsidRDefault="00361E0C">
            <w:pPr>
              <w:numPr>
                <w:ilvl w:val="0"/>
                <w:numId w:val="1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He was undergoing marital counseling </w:t>
            </w:r>
          </w:p>
          <w:p w:rsidR="00361E0C" w:rsidRDefault="00361E0C">
            <w:pPr>
              <w:numPr>
                <w:ilvl w:val="0"/>
                <w:numId w:val="1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Other commercial interests took precedence over golf </w:t>
            </w:r>
          </w:p>
          <w:p w:rsidR="00361E0C" w:rsidRDefault="00361E0C">
            <w:pPr>
              <w:numPr>
                <w:ilvl w:val="0"/>
                <w:numId w:val="1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He was recovering from back surgery </w:t>
            </w:r>
          </w:p>
          <w:p w:rsidR="00361E0C" w:rsidRDefault="00361E0C">
            <w:pPr>
              <w:numPr>
                <w:ilvl w:val="0"/>
                <w:numId w:val="1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 xml:space="preserve">His was working on his technique with his golf coach </w:t>
            </w:r>
          </w:p>
          <w:p w:rsidR="00361E0C" w:rsidRDefault="00361E0C">
            <w:pPr>
              <w:numPr>
                <w:ilvl w:val="0"/>
                <w:numId w:val="1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284"/>
              </w:tabs>
              <w:spacing w:after="0"/>
              <w:jc w:val="left"/>
              <w:rPr>
                <w:rFonts w:ascii="Arial" w:hAnsi="Arial"/>
                <w:sz w:val="18"/>
              </w:rPr>
            </w:pPr>
            <w:r>
              <w:rPr>
                <w:rFonts w:ascii="Arial" w:hAnsi="Arial"/>
                <w:sz w:val="18"/>
              </w:rPr>
              <w:t>Can't say</w:t>
            </w:r>
          </w:p>
        </w:tc>
      </w:tr>
      <w:tr w:rsidR="00361E0C">
        <w:trPr>
          <w:cantSplit/>
          <w:trHeight w:val="310"/>
        </w:trPr>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r>
      <w:tr w:rsidR="00361E0C">
        <w:trPr>
          <w:cantSplit/>
          <w:trHeight w:val="320"/>
        </w:trPr>
        <w:tc>
          <w:tcPr>
            <w:tcW w:w="4007"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rPr>
                <w:rFonts w:ascii="Arial Bold" w:hAnsi="Arial Bold"/>
                <w:sz w:val="18"/>
                <w:lang w:val="en-US"/>
              </w:rPr>
            </w:pPr>
            <w:r>
              <w:rPr>
                <w:rFonts w:ascii="Arial Bold" w:hAnsi="Arial Bold"/>
                <w:sz w:val="18"/>
                <w:lang w:val="en-US"/>
              </w:rPr>
              <w:t>Canada Only</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r>
      <w:tr w:rsidR="00361E0C">
        <w:trPr>
          <w:cantSplit/>
          <w:trHeight w:val="1510"/>
        </w:trPr>
        <w:tc>
          <w:tcPr>
            <w:tcW w:w="4007"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rPr>
                <w:rFonts w:ascii="Arial" w:hAnsi="Arial"/>
                <w:sz w:val="18"/>
                <w:lang w:val="en-US"/>
              </w:rPr>
            </w:pPr>
            <w:r>
              <w:rPr>
                <w:rFonts w:ascii="Arial" w:hAnsi="Arial"/>
                <w:sz w:val="18"/>
                <w:lang w:val="en-US"/>
              </w:rPr>
              <w:t>Who was voted “best actress” at the last Academy Awards ceremony?</w:t>
            </w:r>
          </w:p>
          <w:p w:rsidR="00361E0C" w:rsidRDefault="00361E0C">
            <w:pPr>
              <w:pStyle w:val="BodyB"/>
              <w:numPr>
                <w:ilvl w:val="0"/>
                <w:numId w:val="14"/>
              </w:numPr>
              <w:rPr>
                <w:rFonts w:ascii="Arial" w:hAnsi="Arial"/>
                <w:sz w:val="18"/>
                <w:lang w:val="en-US"/>
              </w:rPr>
            </w:pPr>
            <w:r>
              <w:rPr>
                <w:rFonts w:ascii="Arial" w:hAnsi="Arial"/>
                <w:sz w:val="18"/>
                <w:lang w:val="en-US"/>
              </w:rPr>
              <w:t>Sandra Bullock</w:t>
            </w:r>
          </w:p>
          <w:p w:rsidR="00361E0C" w:rsidRDefault="00361E0C">
            <w:pPr>
              <w:pStyle w:val="BodyB"/>
              <w:numPr>
                <w:ilvl w:val="0"/>
                <w:numId w:val="14"/>
              </w:numPr>
              <w:rPr>
                <w:rFonts w:ascii="Arial" w:hAnsi="Arial"/>
                <w:sz w:val="18"/>
                <w:lang w:val="en-US"/>
              </w:rPr>
            </w:pPr>
            <w:r>
              <w:rPr>
                <w:rFonts w:ascii="Arial" w:hAnsi="Arial"/>
                <w:sz w:val="18"/>
                <w:lang w:val="en-US"/>
              </w:rPr>
              <w:t>Helen Mirren</w:t>
            </w:r>
          </w:p>
          <w:p w:rsidR="00361E0C" w:rsidRDefault="00361E0C">
            <w:pPr>
              <w:pStyle w:val="BodyB"/>
              <w:numPr>
                <w:ilvl w:val="0"/>
                <w:numId w:val="14"/>
              </w:numPr>
              <w:rPr>
                <w:rFonts w:ascii="Arial" w:hAnsi="Arial"/>
                <w:sz w:val="18"/>
                <w:lang w:val="en-US"/>
              </w:rPr>
            </w:pPr>
            <w:r>
              <w:rPr>
                <w:rFonts w:ascii="Arial" w:hAnsi="Arial"/>
                <w:sz w:val="18"/>
                <w:lang w:val="en-US"/>
              </w:rPr>
              <w:t>Meryl Streep</w:t>
            </w:r>
          </w:p>
          <w:p w:rsidR="00361E0C" w:rsidRDefault="00361E0C">
            <w:pPr>
              <w:pStyle w:val="BodyB"/>
              <w:numPr>
                <w:ilvl w:val="0"/>
                <w:numId w:val="14"/>
              </w:numPr>
              <w:rPr>
                <w:rFonts w:ascii="Arial" w:hAnsi="Arial"/>
                <w:sz w:val="18"/>
                <w:lang w:val="en-US"/>
              </w:rPr>
            </w:pPr>
            <w:r>
              <w:rPr>
                <w:rFonts w:ascii="Arial" w:hAnsi="Arial"/>
                <w:sz w:val="18"/>
                <w:lang w:val="en-US"/>
              </w:rPr>
              <w:t>Jodie Foster</w:t>
            </w:r>
          </w:p>
          <w:p w:rsidR="00361E0C" w:rsidRDefault="00361E0C">
            <w:pPr>
              <w:pStyle w:val="BodyB"/>
              <w:numPr>
                <w:ilvl w:val="0"/>
                <w:numId w:val="14"/>
              </w:numPr>
              <w:rPr>
                <w:rFonts w:ascii="Arial" w:hAnsi="Arial"/>
                <w:sz w:val="18"/>
                <w:lang w:val="en-US"/>
              </w:rPr>
            </w:pPr>
            <w:r>
              <w:rPr>
                <w:rFonts w:ascii="Arial" w:hAnsi="Arial"/>
                <w:sz w:val="18"/>
                <w:lang w:val="en-US"/>
              </w:rPr>
              <w:t>Can’t say</w:t>
            </w: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rPr>
                <w:rFonts w:ascii="Arial" w:hAnsi="Arial"/>
                <w:sz w:val="18"/>
                <w:lang w:val="en-US"/>
              </w:rPr>
            </w:pPr>
            <w:r>
              <w:rPr>
                <w:rFonts w:ascii="Arial" w:hAnsi="Arial"/>
                <w:sz w:val="18"/>
                <w:lang w:val="en-US"/>
              </w:rPr>
              <w:t>Sidney Crosby is a member of which professional sports team?</w:t>
            </w:r>
          </w:p>
          <w:p w:rsidR="00361E0C" w:rsidRDefault="00361E0C">
            <w:pPr>
              <w:pStyle w:val="BodyB"/>
              <w:numPr>
                <w:ilvl w:val="0"/>
                <w:numId w:val="15"/>
              </w:numPr>
              <w:rPr>
                <w:rFonts w:ascii="Arial" w:hAnsi="Arial"/>
                <w:sz w:val="18"/>
                <w:lang w:val="en-US"/>
              </w:rPr>
            </w:pPr>
            <w:r>
              <w:rPr>
                <w:rFonts w:ascii="Arial" w:hAnsi="Arial"/>
                <w:sz w:val="18"/>
                <w:lang w:val="en-US"/>
              </w:rPr>
              <w:t>Pittsburg Penguins</w:t>
            </w:r>
          </w:p>
          <w:p w:rsidR="00361E0C" w:rsidRDefault="00361E0C">
            <w:pPr>
              <w:pStyle w:val="BodyB"/>
              <w:numPr>
                <w:ilvl w:val="0"/>
                <w:numId w:val="15"/>
              </w:numPr>
              <w:rPr>
                <w:rFonts w:ascii="Arial" w:hAnsi="Arial"/>
                <w:sz w:val="18"/>
                <w:lang w:val="en-US"/>
              </w:rPr>
            </w:pPr>
            <w:r>
              <w:rPr>
                <w:rFonts w:ascii="Arial" w:hAnsi="Arial"/>
                <w:sz w:val="18"/>
                <w:lang w:val="en-US"/>
              </w:rPr>
              <w:t>Toronto Maple Leafs</w:t>
            </w:r>
          </w:p>
          <w:p w:rsidR="00361E0C" w:rsidRDefault="00361E0C">
            <w:pPr>
              <w:pStyle w:val="BodyB"/>
              <w:numPr>
                <w:ilvl w:val="0"/>
                <w:numId w:val="15"/>
              </w:numPr>
              <w:rPr>
                <w:rFonts w:ascii="Arial" w:hAnsi="Arial"/>
                <w:sz w:val="18"/>
                <w:lang w:val="en-US"/>
              </w:rPr>
            </w:pPr>
            <w:r>
              <w:rPr>
                <w:rFonts w:ascii="Arial" w:hAnsi="Arial"/>
                <w:sz w:val="18"/>
                <w:lang w:val="en-US"/>
              </w:rPr>
              <w:t>Saskatchewan Rough Riders</w:t>
            </w:r>
          </w:p>
          <w:p w:rsidR="00361E0C" w:rsidRDefault="00361E0C">
            <w:pPr>
              <w:pStyle w:val="BodyB"/>
              <w:numPr>
                <w:ilvl w:val="0"/>
                <w:numId w:val="15"/>
              </w:numPr>
              <w:rPr>
                <w:rFonts w:ascii="Arial" w:hAnsi="Arial"/>
                <w:sz w:val="18"/>
                <w:lang w:val="en-US"/>
              </w:rPr>
            </w:pPr>
            <w:r>
              <w:rPr>
                <w:rFonts w:ascii="Arial" w:hAnsi="Arial"/>
                <w:sz w:val="18"/>
                <w:lang w:val="en-US"/>
              </w:rPr>
              <w:t>Vancouver Whitecaps</w:t>
            </w:r>
          </w:p>
          <w:p w:rsidR="00361E0C" w:rsidRDefault="00361E0C">
            <w:pPr>
              <w:pStyle w:val="BodyB"/>
              <w:numPr>
                <w:ilvl w:val="0"/>
                <w:numId w:val="15"/>
              </w:numPr>
              <w:rPr>
                <w:rFonts w:ascii="Arial" w:hAnsi="Arial"/>
                <w:sz w:val="18"/>
                <w:lang w:val="en-US"/>
              </w:rPr>
            </w:pPr>
            <w:r>
              <w:rPr>
                <w:rFonts w:ascii="Arial" w:hAnsi="Arial"/>
                <w:sz w:val="18"/>
                <w:lang w:val="en-US"/>
              </w:rPr>
              <w:t>Can’t say</w:t>
            </w:r>
          </w:p>
        </w:tc>
      </w:tr>
      <w:tr w:rsidR="00361E0C">
        <w:trPr>
          <w:cantSplit/>
          <w:trHeight w:val="310"/>
        </w:trPr>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c>
          <w:tcPr>
            <w:tcW w:w="400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BodyB"/>
            </w:pPr>
          </w:p>
        </w:tc>
      </w:tr>
    </w:tbl>
    <w:p w:rsidR="00361E0C" w:rsidRDefault="00361E0C">
      <w:pPr>
        <w:pStyle w:val="FreeForm"/>
        <w:ind w:left="108"/>
        <w:rPr>
          <w:sz w:val="22"/>
          <w:lang w:val="en-GB"/>
        </w:rPr>
      </w:pPr>
    </w:p>
    <w:p w:rsidR="00361E0C" w:rsidRDefault="00361E0C">
      <w:pPr>
        <w:pStyle w:val="FreeFormBB"/>
        <w:jc w:val="both"/>
        <w:rPr>
          <w:sz w:val="22"/>
          <w:lang w:val="en-GB"/>
        </w:rPr>
      </w:pPr>
    </w:p>
    <w:p w:rsidR="00361E0C" w:rsidRDefault="00361E0C">
      <w:pPr>
        <w:pStyle w:val="FreeFormBB"/>
        <w:rPr>
          <w:lang w:val="en-GB"/>
        </w:rPr>
      </w:pPr>
    </w:p>
    <w:p w:rsidR="00361E0C" w:rsidRDefault="00361E0C">
      <w:pPr>
        <w:pStyle w:val="FreeFormB"/>
        <w:rPr>
          <w:sz w:val="22"/>
          <w:lang w:val="en-GB"/>
        </w:rPr>
      </w:pPr>
    </w:p>
    <w:p w:rsidR="00361E0C" w:rsidRDefault="00361E0C">
      <w:pPr>
        <w:pStyle w:val="FreeFormB"/>
        <w:rPr>
          <w:sz w:val="22"/>
          <w:lang w:val="en-GB"/>
        </w:rPr>
      </w:pPr>
    </w:p>
    <w:p w:rsidR="00361E0C" w:rsidRDefault="00361E0C">
      <w:pPr>
        <w:pStyle w:val="FreeFormB"/>
        <w:rPr>
          <w:sz w:val="22"/>
          <w:lang w:val="en-GB"/>
        </w:rPr>
      </w:pPr>
      <w:r>
        <w:br w:type="page"/>
      </w:r>
      <w:proofErr w:type="gramStart"/>
      <w:r>
        <w:rPr>
          <w:rFonts w:ascii="Times New Roman" w:hAnsi="Times New Roman"/>
          <w:sz w:val="22"/>
          <w:lang w:val="en-US"/>
        </w:rPr>
        <w:lastRenderedPageBreak/>
        <w:t>Online Appendix Table 3.</w:t>
      </w:r>
      <w:proofErr w:type="gramEnd"/>
      <w:r>
        <w:rPr>
          <w:rFonts w:ascii="Times New Roman" w:hAnsi="Times New Roman"/>
          <w:sz w:val="22"/>
          <w:lang w:val="en-US"/>
        </w:rPr>
        <w:t xml:space="preserve"> The Effect </w:t>
      </w:r>
      <w:proofErr w:type="gramStart"/>
      <w:r>
        <w:rPr>
          <w:rFonts w:ascii="Times New Roman" w:hAnsi="Times New Roman"/>
          <w:sz w:val="22"/>
          <w:lang w:val="en-US"/>
        </w:rPr>
        <w:t>of  Television</w:t>
      </w:r>
      <w:proofErr w:type="gramEnd"/>
      <w:r>
        <w:rPr>
          <w:rFonts w:ascii="Times New Roman" w:hAnsi="Times New Roman"/>
          <w:sz w:val="22"/>
          <w:lang w:val="en-US"/>
        </w:rPr>
        <w:t xml:space="preserve"> versus Newspapers</w:t>
      </w:r>
    </w:p>
    <w:p w:rsidR="00361E0C" w:rsidRDefault="00361E0C">
      <w:pPr>
        <w:pStyle w:val="BodyA"/>
        <w:rPr>
          <w:lang w:val="en-US"/>
        </w:rPr>
      </w:pPr>
    </w:p>
    <w:tbl>
      <w:tblPr>
        <w:tblW w:w="0" w:type="auto"/>
        <w:tblLayout w:type="fixed"/>
        <w:tblLook w:val="0000"/>
      </w:tblPr>
      <w:tblGrid>
        <w:gridCol w:w="585"/>
        <w:gridCol w:w="658"/>
        <w:gridCol w:w="658"/>
        <w:gridCol w:w="665"/>
        <w:gridCol w:w="666"/>
        <w:gridCol w:w="669"/>
        <w:gridCol w:w="666"/>
        <w:gridCol w:w="666"/>
        <w:gridCol w:w="668"/>
        <w:gridCol w:w="739"/>
        <w:gridCol w:w="739"/>
        <w:gridCol w:w="741"/>
      </w:tblGrid>
      <w:tr w:rsidR="00361E0C">
        <w:trPr>
          <w:cantSplit/>
          <w:trHeight w:val="190"/>
        </w:trPr>
        <w:tc>
          <w:tcPr>
            <w:tcW w:w="5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Bold" w:hAnsi="Arial Bold"/>
                <w:sz w:val="18"/>
                <w:lang w:val="en-US"/>
              </w:rPr>
            </w:pPr>
            <w:r>
              <w:rPr>
                <w:rFonts w:ascii="Arial Bold" w:hAnsi="Arial Bold"/>
                <w:sz w:val="18"/>
                <w:lang w:val="en-US"/>
              </w:rPr>
              <w:t>TV</w:t>
            </w:r>
          </w:p>
        </w:tc>
        <w:tc>
          <w:tcPr>
            <w:tcW w:w="658"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58"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7"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7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7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7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right"/>
            </w:pPr>
          </w:p>
        </w:tc>
        <w:tc>
          <w:tcPr>
            <w:tcW w:w="1316" w:type="dxa"/>
            <w:gridSpan w:val="2"/>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N</w:t>
            </w:r>
          </w:p>
        </w:tc>
        <w:tc>
          <w:tcPr>
            <w:tcW w:w="2000" w:type="dxa"/>
            <w:gridSpan w:val="3"/>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All News</w:t>
            </w:r>
          </w:p>
        </w:tc>
        <w:tc>
          <w:tcPr>
            <w:tcW w:w="2000" w:type="dxa"/>
            <w:gridSpan w:val="3"/>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Hard News</w:t>
            </w:r>
          </w:p>
        </w:tc>
        <w:tc>
          <w:tcPr>
            <w:tcW w:w="2219" w:type="dxa"/>
            <w:gridSpan w:val="3"/>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Soft News</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pPr>
          </w:p>
        </w:tc>
        <w:tc>
          <w:tcPr>
            <w:tcW w:w="658"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treat</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control</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ATTR</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se</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t-ratio</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ATTR</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se</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t-ratio</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ATTR</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se</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t-ratio</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AS</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711</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228</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0.276</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0.083</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3.331</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0.057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0.019</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2.981</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0.276</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0.088</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3.136</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CA</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469</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299</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0.157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0.084</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1.876</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0.034</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0.024</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1.440</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0.173</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0.086</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2.017</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IT</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778</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140</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0.307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0.120</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2.568</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0.028</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0.024</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1.167</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0.426</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0.120</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3.554</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JP</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771</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155</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0.298</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0.114</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2.625</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0.049</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1.803</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0.420</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0.117</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3.593</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NO</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606</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323</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0.464</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0.074</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6.243</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0.114</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0.020</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5.807</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0.347</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0.079</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4.400</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UK</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662</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240</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0.300</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0.085</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3.517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0.061</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0.022</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2.843</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0.311</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0.089</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3.488</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US</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606</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312</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0.084</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0.082</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1.030</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-0.003</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0.020</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-0.133</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0.219</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0.082</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2.673</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KR</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707</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485</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0.387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0.061</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6.354</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0.070</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0.012</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5.794</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0.326</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0.063</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5.174</w:t>
            </w:r>
          </w:p>
        </w:tc>
      </w:tr>
      <w:tr w:rsidR="00361E0C">
        <w:trPr>
          <w:cantSplit/>
          <w:trHeight w:val="190"/>
        </w:trPr>
        <w:tc>
          <w:tcPr>
            <w:tcW w:w="5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right"/>
            </w:pPr>
          </w:p>
        </w:tc>
        <w:tc>
          <w:tcPr>
            <w:tcW w:w="658"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58"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7"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73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73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73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r>
      <w:tr w:rsidR="00361E0C">
        <w:trPr>
          <w:cantSplit/>
          <w:trHeight w:val="190"/>
        </w:trPr>
        <w:tc>
          <w:tcPr>
            <w:tcW w:w="1243" w:type="dxa"/>
            <w:gridSpan w:val="2"/>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Bold" w:hAnsi="Arial Bold"/>
                <w:sz w:val="18"/>
                <w:lang w:val="en-US"/>
              </w:rPr>
            </w:pPr>
            <w:r>
              <w:rPr>
                <w:rFonts w:ascii="Arial Bold" w:hAnsi="Arial Bold"/>
                <w:sz w:val="18"/>
                <w:lang w:val="en-US"/>
              </w:rPr>
              <w:t>Newspapers</w:t>
            </w:r>
          </w:p>
        </w:tc>
        <w:tc>
          <w:tcPr>
            <w:tcW w:w="658"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7"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666"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7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7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c>
          <w:tcPr>
            <w:tcW w:w="7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pP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right"/>
            </w:pPr>
          </w:p>
        </w:tc>
        <w:tc>
          <w:tcPr>
            <w:tcW w:w="1316" w:type="dxa"/>
            <w:gridSpan w:val="2"/>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N</w:t>
            </w:r>
          </w:p>
        </w:tc>
        <w:tc>
          <w:tcPr>
            <w:tcW w:w="2000" w:type="dxa"/>
            <w:gridSpan w:val="3"/>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All News</w:t>
            </w:r>
          </w:p>
        </w:tc>
        <w:tc>
          <w:tcPr>
            <w:tcW w:w="2000" w:type="dxa"/>
            <w:gridSpan w:val="3"/>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Hard News</w:t>
            </w:r>
          </w:p>
        </w:tc>
        <w:tc>
          <w:tcPr>
            <w:tcW w:w="2219" w:type="dxa"/>
            <w:gridSpan w:val="3"/>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Soft News</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right"/>
            </w:pPr>
          </w:p>
        </w:tc>
        <w:tc>
          <w:tcPr>
            <w:tcW w:w="658"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treat</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control</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ATTR</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se</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t-ratio</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ATTR</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se</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t-ratio</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ATTR</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se</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tcPr>
          <w:p w:rsidR="00361E0C" w:rsidRDefault="00361E0C">
            <w:pPr>
              <w:pStyle w:val="FreeFormA"/>
              <w:jc w:val="center"/>
              <w:rPr>
                <w:rFonts w:ascii="Arial" w:hAnsi="Arial"/>
                <w:sz w:val="18"/>
                <w:lang w:val="en-US"/>
              </w:rPr>
            </w:pPr>
            <w:r>
              <w:rPr>
                <w:rFonts w:ascii="Arial" w:hAnsi="Arial"/>
                <w:sz w:val="18"/>
                <w:lang w:val="en-US"/>
              </w:rPr>
              <w:t>t-ratio</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AS</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426</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513</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0.172</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0.068</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2.537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0.037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0.016</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2.355</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0.145</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0.068</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2.141</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CA</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385</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383</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0.205</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0.078</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2.616</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0.056</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0.022</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2.556</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0.143</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0.080</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1.796</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IT</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551</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367</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0.176</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0.074</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2.369</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0.029</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0.015</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2.014</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0.153</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0.075</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2.036</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JP</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579</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347</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0.216</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0.077</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2.817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0.038</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0.019</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2.014</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0.283</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0.077</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3.651</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NO</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727</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202</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0.252</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0.093</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2.709</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0.050</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0.024</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2.146</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0.273</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0.103</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2.660</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UK</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451</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451</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0.160</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0.069</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2.325</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0.030</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0.017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1.772</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0.186</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0.069</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2.680</w:t>
            </w:r>
          </w:p>
        </w:tc>
      </w:tr>
      <w:tr w:rsidR="00361E0C">
        <w:trPr>
          <w:cantSplit/>
          <w:trHeight w:val="180"/>
        </w:trPr>
        <w:tc>
          <w:tcPr>
            <w:tcW w:w="5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US</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413</w:t>
            </w:r>
          </w:p>
        </w:tc>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505</w:t>
            </w:r>
          </w:p>
        </w:tc>
        <w:tc>
          <w:tcPr>
            <w:tcW w:w="66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0.169</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0.068</w:t>
            </w:r>
          </w:p>
        </w:tc>
        <w:tc>
          <w:tcPr>
            <w:tcW w:w="66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2.475</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0.028</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0.017</w:t>
            </w:r>
          </w:p>
        </w:tc>
        <w:tc>
          <w:tcPr>
            <w:tcW w:w="66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1.694</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0.185</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0.069</w:t>
            </w:r>
          </w:p>
        </w:tc>
        <w:tc>
          <w:tcPr>
            <w:tcW w:w="7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2.677</w:t>
            </w:r>
          </w:p>
        </w:tc>
      </w:tr>
      <w:tr w:rsidR="00361E0C">
        <w:trPr>
          <w:cantSplit/>
          <w:trHeight w:val="190"/>
        </w:trPr>
        <w:tc>
          <w:tcPr>
            <w:tcW w:w="5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rPr>
                <w:rFonts w:ascii="Arial" w:hAnsi="Arial"/>
                <w:sz w:val="18"/>
                <w:lang w:val="en-US"/>
              </w:rPr>
            </w:pPr>
            <w:r>
              <w:rPr>
                <w:rFonts w:ascii="Arial" w:hAnsi="Arial"/>
                <w:sz w:val="18"/>
                <w:lang w:val="en-US"/>
              </w:rPr>
              <w:t>KR</w:t>
            </w:r>
          </w:p>
        </w:tc>
        <w:tc>
          <w:tcPr>
            <w:tcW w:w="658"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567</w:t>
            </w:r>
          </w:p>
        </w:tc>
        <w:tc>
          <w:tcPr>
            <w:tcW w:w="658"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625</w:t>
            </w:r>
          </w:p>
        </w:tc>
        <w:tc>
          <w:tcPr>
            <w:tcW w:w="66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0.472</w:t>
            </w:r>
          </w:p>
        </w:tc>
        <w:tc>
          <w:tcPr>
            <w:tcW w:w="666"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0.058</w:t>
            </w:r>
          </w:p>
        </w:tc>
        <w:tc>
          <w:tcPr>
            <w:tcW w:w="667"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8.118</w:t>
            </w:r>
          </w:p>
        </w:tc>
        <w:tc>
          <w:tcPr>
            <w:tcW w:w="666"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0.094</w:t>
            </w:r>
          </w:p>
        </w:tc>
        <w:tc>
          <w:tcPr>
            <w:tcW w:w="666"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0.012</w:t>
            </w:r>
          </w:p>
        </w:tc>
        <w:tc>
          <w:tcPr>
            <w:tcW w:w="666"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8.100</w:t>
            </w:r>
          </w:p>
        </w:tc>
        <w:tc>
          <w:tcPr>
            <w:tcW w:w="73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0.320</w:t>
            </w:r>
          </w:p>
        </w:tc>
        <w:tc>
          <w:tcPr>
            <w:tcW w:w="73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0.059</w:t>
            </w:r>
          </w:p>
        </w:tc>
        <w:tc>
          <w:tcPr>
            <w:tcW w:w="73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A"/>
              <w:jc w:val="center"/>
              <w:rPr>
                <w:rFonts w:ascii="Arial" w:hAnsi="Arial"/>
                <w:sz w:val="18"/>
                <w:lang w:val="en-US"/>
              </w:rPr>
            </w:pPr>
            <w:r>
              <w:rPr>
                <w:rFonts w:ascii="Arial" w:hAnsi="Arial"/>
                <w:sz w:val="18"/>
                <w:lang w:val="en-US"/>
              </w:rPr>
              <w:t>5.391</w:t>
            </w:r>
          </w:p>
        </w:tc>
      </w:tr>
    </w:tbl>
    <w:p w:rsidR="00361E0C" w:rsidRDefault="00361E0C">
      <w:pPr>
        <w:pStyle w:val="BodyA"/>
        <w:ind w:right="576"/>
        <w:jc w:val="both"/>
        <w:rPr>
          <w:rFonts w:ascii="Arial" w:hAnsi="Arial"/>
          <w:sz w:val="18"/>
          <w:lang w:val="en-US"/>
        </w:rPr>
      </w:pPr>
      <w:r>
        <w:rPr>
          <w:rFonts w:ascii="Arial" w:hAnsi="Arial"/>
          <w:sz w:val="18"/>
          <w:lang w:val="en-US"/>
        </w:rPr>
        <w:t>Propensity scores are based on probit models with age, education, political interest and other media use as IVs. Results are estimated using radius matching method.</w:t>
      </w:r>
    </w:p>
    <w:p w:rsidR="00361E0C" w:rsidRDefault="00361E0C">
      <w:pPr>
        <w:pStyle w:val="BodyA"/>
        <w:rPr>
          <w:lang w:val="en-US"/>
        </w:rPr>
      </w:pPr>
    </w:p>
    <w:p w:rsidR="00361E0C" w:rsidRDefault="00361E0C">
      <w:pPr>
        <w:pStyle w:val="FreeFormB"/>
        <w:rPr>
          <w:sz w:val="22"/>
          <w:lang w:val="en-GB"/>
        </w:rPr>
      </w:pPr>
    </w:p>
    <w:p w:rsidR="00361E0C" w:rsidRDefault="00361E0C">
      <w:pPr>
        <w:pStyle w:val="FreeFormB"/>
        <w:rPr>
          <w:sz w:val="22"/>
          <w:lang w:val="en-GB"/>
        </w:rPr>
      </w:pPr>
      <w:r>
        <w:br w:type="page"/>
      </w:r>
      <w:proofErr w:type="gramStart"/>
      <w:r>
        <w:rPr>
          <w:sz w:val="22"/>
          <w:lang w:val="en-GB"/>
        </w:rPr>
        <w:lastRenderedPageBreak/>
        <w:t>Online Appendix Table 4.</w:t>
      </w:r>
      <w:proofErr w:type="gramEnd"/>
      <w:r>
        <w:rPr>
          <w:sz w:val="22"/>
          <w:lang w:val="en-GB"/>
        </w:rPr>
        <w:t xml:space="preserve"> All Knowledge, OLS estimates</w:t>
      </w:r>
    </w:p>
    <w:p w:rsidR="00361E0C" w:rsidRDefault="00361E0C">
      <w:pPr>
        <w:pStyle w:val="FreeFormB"/>
        <w:rPr>
          <w:sz w:val="20"/>
          <w:lang w:val="en-GB"/>
        </w:rPr>
      </w:pPr>
    </w:p>
    <w:tbl>
      <w:tblPr>
        <w:tblW w:w="0" w:type="auto"/>
        <w:shd w:val="clear" w:color="auto" w:fill="FFFFFF"/>
        <w:tblLayout w:type="fixed"/>
        <w:tblLook w:val="0000"/>
      </w:tblPr>
      <w:tblGrid>
        <w:gridCol w:w="1195"/>
        <w:gridCol w:w="784"/>
        <w:gridCol w:w="785"/>
        <w:gridCol w:w="785"/>
        <w:gridCol w:w="785"/>
        <w:gridCol w:w="785"/>
        <w:gridCol w:w="790"/>
      </w:tblGrid>
      <w:tr w:rsidR="00361E0C">
        <w:trPr>
          <w:cantSplit/>
          <w:trHeight w:val="230"/>
        </w:trPr>
        <w:tc>
          <w:tcPr>
            <w:tcW w:w="119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pPr>
          </w:p>
        </w:tc>
        <w:tc>
          <w:tcPr>
            <w:tcW w:w="4714" w:type="dxa"/>
            <w:gridSpan w:val="6"/>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DV: All Knowledge</w:t>
            </w:r>
          </w:p>
        </w:tc>
      </w:tr>
      <w:tr w:rsidR="00361E0C">
        <w:trPr>
          <w:cantSplit/>
          <w:trHeight w:val="230"/>
        </w:trPr>
        <w:tc>
          <w:tcPr>
            <w:tcW w:w="119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CA</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IT</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JP</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NO</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UK</w:t>
            </w:r>
          </w:p>
        </w:tc>
        <w:tc>
          <w:tcPr>
            <w:tcW w:w="78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KR</w:t>
            </w:r>
          </w:p>
        </w:tc>
      </w:tr>
      <w:tr w:rsidR="00361E0C">
        <w:trPr>
          <w:cantSplit/>
          <w:trHeight w:val="230"/>
        </w:trPr>
        <w:tc>
          <w:tcPr>
            <w:tcW w:w="119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Public</w:t>
            </w:r>
          </w:p>
        </w:tc>
        <w:tc>
          <w:tcPr>
            <w:tcW w:w="784"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-.092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-.165*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.339**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.213**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.375** </w:t>
            </w:r>
          </w:p>
        </w:tc>
        <w:tc>
          <w:tcPr>
            <w:tcW w:w="78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-.086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(.077)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(.061)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Private</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-.007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.137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-.383**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-.038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pP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(.066)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(.063)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Age: 35-54</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.359**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.158*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.384**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.256**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pP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(.078)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(.066)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Age: 55+</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.784**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.227*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.160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.470**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.422**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.196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(.084)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(.100)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Education</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.390**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.307**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.465**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.308**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.169**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.027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(.054)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(.034)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Interest, cat1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-.915**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-.639**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-.832**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-.848**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-.849**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-.631**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(.128)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(.131)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(.114)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(.126)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Interest, cat2</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-.607**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-.327**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-.490**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-.511**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-.513**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-.355**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(.097)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(.115)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Interest, cat3</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-.183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-.145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-.296**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-.223*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-.079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(.091)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(.115)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Media Use</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.212**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.174**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.279**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.263**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.346**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(.040)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(.039)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Constant</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-.929**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-.844**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-1.367**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-1.432**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-.865**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-.487** </w:t>
            </w:r>
          </w:p>
        </w:tc>
      </w:tr>
      <w:tr w:rsidR="00361E0C">
        <w:trPr>
          <w:cantSplit/>
          <w:trHeight w:val="230"/>
        </w:trPr>
        <w:tc>
          <w:tcPr>
            <w:tcW w:w="119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(.197)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(.195)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(.248)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(.199)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(.187) </w:t>
            </w:r>
          </w:p>
        </w:tc>
        <w:tc>
          <w:tcPr>
            <w:tcW w:w="78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(.151) </w:t>
            </w:r>
          </w:p>
        </w:tc>
      </w:tr>
      <w:tr w:rsidR="00361E0C">
        <w:trPr>
          <w:cantSplit/>
          <w:trHeight w:val="240"/>
        </w:trPr>
        <w:tc>
          <w:tcPr>
            <w:tcW w:w="119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N </w:t>
            </w:r>
          </w:p>
        </w:tc>
        <w:tc>
          <w:tcPr>
            <w:tcW w:w="784"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752</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875</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919</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913</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877</w:t>
            </w:r>
          </w:p>
        </w:tc>
        <w:tc>
          <w:tcPr>
            <w:tcW w:w="78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1192</w:t>
            </w:r>
          </w:p>
        </w:tc>
      </w:tr>
      <w:tr w:rsidR="00361E0C">
        <w:trPr>
          <w:cantSplit/>
          <w:trHeight w:val="240"/>
        </w:trPr>
        <w:tc>
          <w:tcPr>
            <w:tcW w:w="119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Rsq</w:t>
            </w:r>
          </w:p>
        </w:tc>
        <w:tc>
          <w:tcPr>
            <w:tcW w:w="78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.278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.137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.330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.329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.276 </w:t>
            </w:r>
          </w:p>
        </w:tc>
        <w:tc>
          <w:tcPr>
            <w:tcW w:w="78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.155 </w:t>
            </w:r>
          </w:p>
        </w:tc>
      </w:tr>
    </w:tbl>
    <w:p w:rsidR="00361E0C" w:rsidRDefault="00361E0C">
      <w:pPr>
        <w:pStyle w:val="FreeForm"/>
        <w:ind w:left="20"/>
        <w:rPr>
          <w:lang w:val="en-GB"/>
        </w:rPr>
      </w:pPr>
    </w:p>
    <w:p w:rsidR="00361E0C" w:rsidRDefault="00361E0C">
      <w:pPr>
        <w:pStyle w:val="FreeFormB"/>
        <w:ind w:right="3456"/>
        <w:jc w:val="both"/>
        <w:rPr>
          <w:rFonts w:ascii="Helvetica" w:hAnsi="Helvetica"/>
          <w:sz w:val="18"/>
          <w:lang w:val="en-GB"/>
        </w:rPr>
      </w:pPr>
      <w:r>
        <w:rPr>
          <w:rFonts w:ascii="Helvetica" w:hAnsi="Helvetica"/>
          <w:sz w:val="18"/>
          <w:lang w:val="en-GB"/>
        </w:rPr>
        <w:t xml:space="preserve">* </w:t>
      </w:r>
      <w:proofErr w:type="gramStart"/>
      <w:r>
        <w:rPr>
          <w:rFonts w:ascii="Helvetica" w:hAnsi="Helvetica"/>
          <w:sz w:val="18"/>
          <w:lang w:val="en-GB"/>
        </w:rPr>
        <w:t>p</w:t>
      </w:r>
      <w:proofErr w:type="gramEnd"/>
      <w:r>
        <w:rPr>
          <w:rFonts w:ascii="Helvetica" w:hAnsi="Helvetica"/>
          <w:sz w:val="18"/>
          <w:lang w:val="en-GB"/>
        </w:rPr>
        <w:t xml:space="preserve"> &lt; .05; ** p &lt; .01. Cells contain OLS regression coefficients with standard errors in parentheses</w:t>
      </w:r>
    </w:p>
    <w:p w:rsidR="00361E0C" w:rsidRDefault="00361E0C">
      <w:pPr>
        <w:pStyle w:val="FreeFormB"/>
        <w:ind w:right="3456"/>
        <w:jc w:val="both"/>
        <w:rPr>
          <w:rFonts w:ascii="Helvetica" w:hAnsi="Helvetica"/>
          <w:sz w:val="18"/>
          <w:lang w:val="en-GB"/>
        </w:rPr>
      </w:pPr>
    </w:p>
    <w:p w:rsidR="00361E0C" w:rsidRDefault="00361E0C">
      <w:pPr>
        <w:pStyle w:val="FreeFormB"/>
        <w:ind w:right="3456"/>
        <w:jc w:val="both"/>
        <w:rPr>
          <w:rFonts w:ascii="Helvetica" w:hAnsi="Helvetica"/>
          <w:sz w:val="18"/>
          <w:lang w:val="en-GB"/>
        </w:rPr>
      </w:pPr>
    </w:p>
    <w:p w:rsidR="00361E0C" w:rsidRDefault="00361E0C">
      <w:pPr>
        <w:pStyle w:val="FreeFormB"/>
        <w:ind w:right="3456"/>
        <w:jc w:val="both"/>
        <w:rPr>
          <w:rFonts w:ascii="Helvetica" w:hAnsi="Helvetica"/>
          <w:sz w:val="18"/>
          <w:lang w:val="en-GB"/>
        </w:rPr>
      </w:pPr>
      <w:r>
        <w:br w:type="page"/>
      </w:r>
      <w:proofErr w:type="gramStart"/>
      <w:r>
        <w:rPr>
          <w:sz w:val="22"/>
          <w:lang w:val="en-GB"/>
        </w:rPr>
        <w:lastRenderedPageBreak/>
        <w:t>Online Appendix Table 5.</w:t>
      </w:r>
      <w:proofErr w:type="gramEnd"/>
      <w:r>
        <w:rPr>
          <w:sz w:val="22"/>
          <w:lang w:val="en-GB"/>
        </w:rPr>
        <w:t xml:space="preserve"> Hard News Knowledge, OLS estimates</w:t>
      </w:r>
    </w:p>
    <w:p w:rsidR="00361E0C" w:rsidRDefault="00361E0C">
      <w:pPr>
        <w:pStyle w:val="FreeFormB"/>
        <w:rPr>
          <w:sz w:val="20"/>
          <w:lang w:val="en-GB"/>
        </w:rPr>
      </w:pPr>
    </w:p>
    <w:tbl>
      <w:tblPr>
        <w:tblW w:w="0" w:type="auto"/>
        <w:shd w:val="clear" w:color="auto" w:fill="FFFFFF"/>
        <w:tblLayout w:type="fixed"/>
        <w:tblLook w:val="0000"/>
      </w:tblPr>
      <w:tblGrid>
        <w:gridCol w:w="1195"/>
        <w:gridCol w:w="784"/>
        <w:gridCol w:w="785"/>
        <w:gridCol w:w="785"/>
        <w:gridCol w:w="785"/>
        <w:gridCol w:w="785"/>
        <w:gridCol w:w="790"/>
      </w:tblGrid>
      <w:tr w:rsidR="00361E0C">
        <w:trPr>
          <w:cantSplit/>
          <w:trHeight w:val="230"/>
        </w:trPr>
        <w:tc>
          <w:tcPr>
            <w:tcW w:w="119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pPr>
          </w:p>
        </w:tc>
        <w:tc>
          <w:tcPr>
            <w:tcW w:w="4714" w:type="dxa"/>
            <w:gridSpan w:val="6"/>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DV: Hard Knowledge</w:t>
            </w:r>
          </w:p>
        </w:tc>
      </w:tr>
      <w:tr w:rsidR="00361E0C">
        <w:trPr>
          <w:cantSplit/>
          <w:trHeight w:val="230"/>
        </w:trPr>
        <w:tc>
          <w:tcPr>
            <w:tcW w:w="119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CA</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IT</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JP</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NO</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UK</w:t>
            </w:r>
          </w:p>
        </w:tc>
        <w:tc>
          <w:tcPr>
            <w:tcW w:w="78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KR</w:t>
            </w:r>
          </w:p>
        </w:tc>
      </w:tr>
      <w:tr w:rsidR="00361E0C">
        <w:trPr>
          <w:cantSplit/>
          <w:trHeight w:val="230"/>
        </w:trPr>
        <w:tc>
          <w:tcPr>
            <w:tcW w:w="119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Public</w:t>
            </w:r>
          </w:p>
        </w:tc>
        <w:tc>
          <w:tcPr>
            <w:tcW w:w="784"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-.018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-.034*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.075**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.070**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.097** </w:t>
            </w:r>
          </w:p>
        </w:tc>
        <w:tc>
          <w:tcPr>
            <w:tcW w:w="78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-.018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(.019)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(.012)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Private</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-.005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.005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.008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-.102**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-.008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pP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(.016)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(.013)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Age: 35-54</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.102**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.053**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pP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(.019)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(.013)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Age: 55+</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.185**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.138**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.123**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.049*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(.021)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(.020)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Education</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.060**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.003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(.013)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(.007)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Interest, cat1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-.259**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-.216**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-.244**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-.199**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-.132**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(.028)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(.025)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Interest, cat2</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-.182**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-.126**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-.153**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-.119**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-.087**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(.024)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(.023)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Interest, cat3</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-.050*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-.035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(.023)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(.023)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Media Use</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.061**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.067**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(.008)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(.010)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(.008)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Constant</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-.235**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-.182**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-.286**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-.355**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-.263**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-.076* </w:t>
            </w:r>
          </w:p>
        </w:tc>
      </w:tr>
      <w:tr w:rsidR="00361E0C">
        <w:trPr>
          <w:cantSplit/>
          <w:trHeight w:val="230"/>
        </w:trPr>
        <w:tc>
          <w:tcPr>
            <w:tcW w:w="119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(.055)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(.038)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(.053)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(.051)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(.047) </w:t>
            </w:r>
          </w:p>
        </w:tc>
        <w:tc>
          <w:tcPr>
            <w:tcW w:w="78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(.030) </w:t>
            </w:r>
          </w:p>
        </w:tc>
      </w:tr>
      <w:tr w:rsidR="00361E0C">
        <w:trPr>
          <w:cantSplit/>
          <w:trHeight w:val="240"/>
        </w:trPr>
        <w:tc>
          <w:tcPr>
            <w:tcW w:w="119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N </w:t>
            </w:r>
          </w:p>
        </w:tc>
        <w:tc>
          <w:tcPr>
            <w:tcW w:w="784"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752</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875</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919</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913</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877</w:t>
            </w:r>
          </w:p>
        </w:tc>
        <w:tc>
          <w:tcPr>
            <w:tcW w:w="78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1192</w:t>
            </w:r>
          </w:p>
        </w:tc>
      </w:tr>
      <w:tr w:rsidR="00361E0C">
        <w:trPr>
          <w:cantSplit/>
          <w:trHeight w:val="240"/>
        </w:trPr>
        <w:tc>
          <w:tcPr>
            <w:tcW w:w="119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Rsq</w:t>
            </w:r>
          </w:p>
        </w:tc>
        <w:tc>
          <w:tcPr>
            <w:tcW w:w="78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.261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.117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.316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.334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.283 </w:t>
            </w:r>
          </w:p>
        </w:tc>
        <w:tc>
          <w:tcPr>
            <w:tcW w:w="78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.148 </w:t>
            </w:r>
          </w:p>
        </w:tc>
      </w:tr>
    </w:tbl>
    <w:p w:rsidR="00361E0C" w:rsidRDefault="00361E0C">
      <w:pPr>
        <w:pStyle w:val="FreeForm"/>
        <w:ind w:left="20"/>
        <w:rPr>
          <w:lang w:val="en-GB"/>
        </w:rPr>
      </w:pPr>
    </w:p>
    <w:p w:rsidR="00361E0C" w:rsidRDefault="00361E0C">
      <w:pPr>
        <w:pStyle w:val="FreeFormB"/>
        <w:ind w:right="3456"/>
        <w:jc w:val="both"/>
        <w:rPr>
          <w:rFonts w:ascii="Helvetica" w:hAnsi="Helvetica"/>
          <w:sz w:val="18"/>
          <w:lang w:val="en-GB"/>
        </w:rPr>
      </w:pPr>
      <w:r>
        <w:rPr>
          <w:rFonts w:ascii="Helvetica" w:hAnsi="Helvetica"/>
          <w:sz w:val="18"/>
          <w:lang w:val="en-GB"/>
        </w:rPr>
        <w:t xml:space="preserve">* </w:t>
      </w:r>
      <w:proofErr w:type="gramStart"/>
      <w:r>
        <w:rPr>
          <w:rFonts w:ascii="Helvetica" w:hAnsi="Helvetica"/>
          <w:sz w:val="18"/>
          <w:lang w:val="en-GB"/>
        </w:rPr>
        <w:t>p</w:t>
      </w:r>
      <w:proofErr w:type="gramEnd"/>
      <w:r>
        <w:rPr>
          <w:rFonts w:ascii="Helvetica" w:hAnsi="Helvetica"/>
          <w:sz w:val="18"/>
          <w:lang w:val="en-GB"/>
        </w:rPr>
        <w:t xml:space="preserve"> &lt; .05; ** p &lt; .01. Cells contain OLS regression coefficients with standard errors in parentheses</w:t>
      </w:r>
    </w:p>
    <w:p w:rsidR="00361E0C" w:rsidRDefault="00361E0C">
      <w:pPr>
        <w:pStyle w:val="FreeFormB"/>
        <w:ind w:right="3456"/>
        <w:jc w:val="both"/>
        <w:rPr>
          <w:rFonts w:ascii="Helvetica" w:hAnsi="Helvetica"/>
          <w:sz w:val="18"/>
          <w:lang w:val="en-GB"/>
        </w:rPr>
      </w:pPr>
    </w:p>
    <w:p w:rsidR="00361E0C" w:rsidRDefault="00361E0C">
      <w:pPr>
        <w:pStyle w:val="FreeFormB"/>
        <w:ind w:right="3456"/>
        <w:jc w:val="both"/>
        <w:rPr>
          <w:rFonts w:ascii="Helvetica" w:hAnsi="Helvetica"/>
          <w:sz w:val="18"/>
          <w:lang w:val="en-GB"/>
        </w:rPr>
      </w:pPr>
    </w:p>
    <w:p w:rsidR="00361E0C" w:rsidRDefault="00361E0C">
      <w:pPr>
        <w:pStyle w:val="FreeFormB"/>
        <w:ind w:right="3456"/>
        <w:jc w:val="both"/>
        <w:rPr>
          <w:rFonts w:ascii="Helvetica" w:hAnsi="Helvetica"/>
          <w:sz w:val="18"/>
          <w:lang w:val="en-GB"/>
        </w:rPr>
      </w:pPr>
      <w:r>
        <w:br w:type="page"/>
      </w:r>
      <w:proofErr w:type="gramStart"/>
      <w:r>
        <w:rPr>
          <w:sz w:val="22"/>
          <w:lang w:val="en-GB"/>
        </w:rPr>
        <w:lastRenderedPageBreak/>
        <w:t>Online Appendix Table 6.</w:t>
      </w:r>
      <w:proofErr w:type="gramEnd"/>
      <w:r>
        <w:rPr>
          <w:sz w:val="22"/>
          <w:lang w:val="en-GB"/>
        </w:rPr>
        <w:t xml:space="preserve"> Soft News Knowledge, OLS estimates</w:t>
      </w:r>
    </w:p>
    <w:p w:rsidR="00361E0C" w:rsidRDefault="00361E0C">
      <w:pPr>
        <w:pStyle w:val="FreeFormB"/>
        <w:rPr>
          <w:sz w:val="20"/>
          <w:lang w:val="en-GB"/>
        </w:rPr>
      </w:pPr>
    </w:p>
    <w:tbl>
      <w:tblPr>
        <w:tblW w:w="0" w:type="auto"/>
        <w:shd w:val="clear" w:color="auto" w:fill="FFFFFF"/>
        <w:tblLayout w:type="fixed"/>
        <w:tblLook w:val="0000"/>
      </w:tblPr>
      <w:tblGrid>
        <w:gridCol w:w="1195"/>
        <w:gridCol w:w="784"/>
        <w:gridCol w:w="785"/>
        <w:gridCol w:w="785"/>
        <w:gridCol w:w="785"/>
        <w:gridCol w:w="785"/>
        <w:gridCol w:w="790"/>
      </w:tblGrid>
      <w:tr w:rsidR="00361E0C">
        <w:trPr>
          <w:cantSplit/>
          <w:trHeight w:val="230"/>
        </w:trPr>
        <w:tc>
          <w:tcPr>
            <w:tcW w:w="119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pPr>
          </w:p>
        </w:tc>
        <w:tc>
          <w:tcPr>
            <w:tcW w:w="4714" w:type="dxa"/>
            <w:gridSpan w:val="6"/>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DV: Soft Knowledge</w:t>
            </w:r>
          </w:p>
        </w:tc>
      </w:tr>
      <w:tr w:rsidR="00361E0C">
        <w:trPr>
          <w:cantSplit/>
          <w:trHeight w:val="230"/>
        </w:trPr>
        <w:tc>
          <w:tcPr>
            <w:tcW w:w="119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CA</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IT</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JP</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NO</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UK</w:t>
            </w:r>
          </w:p>
        </w:tc>
        <w:tc>
          <w:tcPr>
            <w:tcW w:w="78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KR</w:t>
            </w:r>
          </w:p>
        </w:tc>
      </w:tr>
      <w:tr w:rsidR="00361E0C">
        <w:trPr>
          <w:cantSplit/>
          <w:trHeight w:val="230"/>
        </w:trPr>
        <w:tc>
          <w:tcPr>
            <w:tcW w:w="119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Public</w:t>
            </w:r>
          </w:p>
        </w:tc>
        <w:tc>
          <w:tcPr>
            <w:tcW w:w="784"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-.111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-.104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.302**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.022 </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.183* </w:t>
            </w:r>
          </w:p>
        </w:tc>
        <w:tc>
          <w:tcPr>
            <w:tcW w:w="78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-.055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(.087)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(.064)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Private</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.015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.326*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.237**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-.154*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-.025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pP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(.143)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(.071)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(.065)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Age: 35-54</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.252**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.160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.157*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pP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(.137)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(.089)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(.070)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Age: 55+</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.743**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.177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.061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.040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(.136)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(.095)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(.097)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Education</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.278**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.193**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.365**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-.084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.040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(.058)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(.036)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Interest, cat1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-.563**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-.584**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-.444*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-.360*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-.615**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-.374**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(.123)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(.116)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(.188)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(.164)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(.126)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(.124)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Interest, cat2</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-.304**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-.254**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-.268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-.167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-.384**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-.090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(.164)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(.099)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(.107)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(.105)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Interest, cat3</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-.142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-.125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-.152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-.184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.122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(.088)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(.155)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(.098)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(.103)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Media Use</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.074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.192**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.185**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.301**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.195**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.254**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(.047)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(.043)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(.060)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(.054)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(.046)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(.038) </w:t>
            </w:r>
          </w:p>
        </w:tc>
      </w:tr>
      <w:tr w:rsidR="00361E0C">
        <w:trPr>
          <w:cantSplit/>
          <w:trHeight w:val="220"/>
        </w:trPr>
        <w:tc>
          <w:tcPr>
            <w:tcW w:w="11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Constant</w:t>
            </w:r>
          </w:p>
        </w:tc>
        <w:tc>
          <w:tcPr>
            <w:tcW w:w="78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-.772**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-.460*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-1.356**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-1.042** </w:t>
            </w:r>
          </w:p>
        </w:tc>
        <w:tc>
          <w:tcPr>
            <w:tcW w:w="78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-.020 </w:t>
            </w:r>
          </w:p>
        </w:tc>
        <w:tc>
          <w:tcPr>
            <w:tcW w:w="78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-.524** </w:t>
            </w:r>
          </w:p>
        </w:tc>
      </w:tr>
      <w:tr w:rsidR="00361E0C">
        <w:trPr>
          <w:cantSplit/>
          <w:trHeight w:val="230"/>
        </w:trPr>
        <w:tc>
          <w:tcPr>
            <w:tcW w:w="119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 </w:t>
            </w:r>
          </w:p>
        </w:tc>
        <w:tc>
          <w:tcPr>
            <w:tcW w:w="78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(.199)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(.200)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(.393)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(.215)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(.203) </w:t>
            </w:r>
          </w:p>
        </w:tc>
        <w:tc>
          <w:tcPr>
            <w:tcW w:w="78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(.146) </w:t>
            </w:r>
          </w:p>
        </w:tc>
      </w:tr>
      <w:tr w:rsidR="00361E0C">
        <w:trPr>
          <w:cantSplit/>
          <w:trHeight w:val="240"/>
        </w:trPr>
        <w:tc>
          <w:tcPr>
            <w:tcW w:w="119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 xml:space="preserve">N </w:t>
            </w:r>
          </w:p>
        </w:tc>
        <w:tc>
          <w:tcPr>
            <w:tcW w:w="784"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752</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875</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919</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913</w:t>
            </w:r>
          </w:p>
        </w:tc>
        <w:tc>
          <w:tcPr>
            <w:tcW w:w="785"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877</w:t>
            </w:r>
          </w:p>
        </w:tc>
        <w:tc>
          <w:tcPr>
            <w:tcW w:w="78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1192</w:t>
            </w:r>
          </w:p>
        </w:tc>
      </w:tr>
      <w:tr w:rsidR="00361E0C">
        <w:trPr>
          <w:cantSplit/>
          <w:trHeight w:val="240"/>
        </w:trPr>
        <w:tc>
          <w:tcPr>
            <w:tcW w:w="119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rPr>
                <w:rFonts w:ascii="Arial" w:hAnsi="Arial"/>
                <w:sz w:val="18"/>
                <w:lang w:val="en-US"/>
              </w:rPr>
            </w:pPr>
            <w:r>
              <w:rPr>
                <w:rFonts w:ascii="Arial" w:hAnsi="Arial"/>
                <w:sz w:val="18"/>
                <w:lang w:val="en-US"/>
              </w:rPr>
              <w:t>Rsq</w:t>
            </w:r>
          </w:p>
        </w:tc>
        <w:tc>
          <w:tcPr>
            <w:tcW w:w="784"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.161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.091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.190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.158 </w:t>
            </w:r>
          </w:p>
        </w:tc>
        <w:tc>
          <w:tcPr>
            <w:tcW w:w="785"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.101 </w:t>
            </w:r>
          </w:p>
        </w:tc>
        <w:tc>
          <w:tcPr>
            <w:tcW w:w="78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rsidR="00361E0C" w:rsidRDefault="00361E0C">
            <w:pPr>
              <w:pStyle w:val="FreeFormB"/>
              <w:jc w:val="center"/>
              <w:rPr>
                <w:rFonts w:ascii="Arial" w:hAnsi="Arial"/>
                <w:sz w:val="18"/>
                <w:lang w:val="en-US"/>
              </w:rPr>
            </w:pPr>
            <w:r>
              <w:rPr>
                <w:rFonts w:ascii="Arial" w:hAnsi="Arial"/>
                <w:sz w:val="18"/>
                <w:lang w:val="en-US"/>
              </w:rPr>
              <w:t xml:space="preserve">.085 </w:t>
            </w:r>
          </w:p>
        </w:tc>
      </w:tr>
    </w:tbl>
    <w:p w:rsidR="00361E0C" w:rsidRDefault="00361E0C">
      <w:pPr>
        <w:pStyle w:val="FreeForm"/>
        <w:ind w:left="20"/>
        <w:rPr>
          <w:lang w:val="en-GB"/>
        </w:rPr>
      </w:pPr>
    </w:p>
    <w:p w:rsidR="00361E0C" w:rsidRDefault="00361E0C">
      <w:pPr>
        <w:pStyle w:val="FreeFormB"/>
        <w:ind w:right="3456"/>
        <w:jc w:val="both"/>
        <w:rPr>
          <w:rFonts w:eastAsia="Times New Roman"/>
          <w:color w:val="auto"/>
          <w:sz w:val="20"/>
          <w:lang w:val="en-GB" w:eastAsia="en-GB"/>
        </w:rPr>
      </w:pPr>
      <w:r>
        <w:rPr>
          <w:rFonts w:ascii="Helvetica" w:hAnsi="Helvetica"/>
          <w:sz w:val="18"/>
          <w:lang w:val="en-GB"/>
        </w:rPr>
        <w:t xml:space="preserve">* </w:t>
      </w:r>
      <w:proofErr w:type="gramStart"/>
      <w:r>
        <w:rPr>
          <w:rFonts w:ascii="Helvetica" w:hAnsi="Helvetica"/>
          <w:sz w:val="18"/>
          <w:lang w:val="en-GB"/>
        </w:rPr>
        <w:t>p</w:t>
      </w:r>
      <w:proofErr w:type="gramEnd"/>
      <w:r>
        <w:rPr>
          <w:rFonts w:ascii="Helvetica" w:hAnsi="Helvetica"/>
          <w:sz w:val="18"/>
          <w:lang w:val="en-GB"/>
        </w:rPr>
        <w:t xml:space="preserve"> &lt; .05; ** p &lt; .01. Cells contain OLS regression coefficients with standard errors in parentheses.</w:t>
      </w:r>
    </w:p>
    <w:sectPr w:rsidR="00361E0C">
      <w:headerReference w:type="even" r:id="rId7"/>
      <w:headerReference w:type="default" r:id="rId8"/>
      <w:footerReference w:type="even" r:id="rId9"/>
      <w:footerReference w:type="default" r:id="rId10"/>
      <w:headerReference w:type="first" r:id="rId11"/>
      <w:footerReference w:type="first" r:id="rId12"/>
      <w:pgSz w:w="12240" w:h="15840"/>
      <w:pgMar w:top="1701" w:right="2700" w:bottom="1701" w:left="1417" w:header="706" w:footer="70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F22" w:rsidRDefault="00972F22">
      <w:pPr>
        <w:spacing w:after="0"/>
      </w:pPr>
      <w:r>
        <w:separator/>
      </w:r>
    </w:p>
  </w:endnote>
  <w:endnote w:type="continuationSeparator" w:id="0">
    <w:p w:rsidR="00972F22" w:rsidRDefault="00972F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0C" w:rsidRDefault="00361E0C">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695"/>
      </w:tabs>
      <w:ind w:right="360"/>
      <w:jc w:val="center"/>
      <w:rPr>
        <w:rFonts w:ascii="Times New Roman" w:eastAsia="Times New Roman" w:hAnsi="Times New Roman"/>
        <w:color w:val="auto"/>
        <w:sz w:val="20"/>
        <w:lang w:val="en-GB" w:eastAsia="en-GB"/>
      </w:rPr>
    </w:pP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C795E">
      <w:rPr>
        <w:rFonts w:ascii="Times New Roman" w:hAnsi="Times New Roman"/>
        <w:noProof/>
        <w:sz w:val="22"/>
      </w:rPr>
      <w:t>10</w:t>
    </w:r>
    <w:r>
      <w:rPr>
        <w:rFonts w:ascii="Times New Roman" w:hAnsi="Times New Roman"/>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0C" w:rsidRDefault="00361E0C">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695"/>
      </w:tabs>
      <w:ind w:right="360"/>
      <w:jc w:val="center"/>
      <w:rPr>
        <w:rFonts w:ascii="Times New Roman" w:eastAsia="Times New Roman" w:hAnsi="Times New Roman"/>
        <w:color w:val="auto"/>
        <w:sz w:val="20"/>
        <w:lang w:val="en-GB" w:eastAsia="en-GB"/>
      </w:rPr>
    </w:pP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C795E">
      <w:rPr>
        <w:rFonts w:ascii="Times New Roman" w:hAnsi="Times New Roman"/>
        <w:noProof/>
        <w:sz w:val="22"/>
      </w:rPr>
      <w:t>9</w:t>
    </w:r>
    <w:r>
      <w:rPr>
        <w:rFonts w:ascii="Times New Roman" w:hAnsi="Times New Roman"/>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F22" w:rsidRDefault="00972F22">
      <w:pPr>
        <w:spacing w:after="0"/>
      </w:pPr>
      <w:r>
        <w:separator/>
      </w:r>
    </w:p>
  </w:footnote>
  <w:footnote w:type="continuationSeparator" w:id="0">
    <w:p w:rsidR="00972F22" w:rsidRDefault="00972F2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0C" w:rsidRDefault="00361E0C">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pPr>
  </w:p>
  <w:p w:rsidR="00361E0C" w:rsidRDefault="00361E0C">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rPr>
        <w:rFonts w:ascii="Times New Roman" w:eastAsia="Times New Roman" w:hAnsi="Times New Roman"/>
        <w:color w:val="auto"/>
        <w:sz w:val="20"/>
        <w:lang w:val="en-GB" w:eastAsia="en-GB"/>
      </w:rPr>
    </w:pPr>
    <w:r>
      <w:rPr>
        <w:noProof/>
        <w:lang w:val="en-GB" w:eastAsia="en-GB"/>
      </w:rPr>
      <w:pict>
        <v:rect id="_x0000_s1026" style="position:absolute;margin-left:306pt;margin-top:738.75pt;width:5pt;height:14pt;z-index:-1;mso-position-horizontal-relative:page;mso-position-vertical-relative:page" coordsize="21600,21600" stroked="f" strokeweight="1pt">
          <v:fill o:detectmouseclick="t"/>
          <v:stroke joinstyle="round"/>
          <v:path arrowok="t" o:connectlocs="10800,10800"/>
          <v:textbox inset="0,0,0,0">
            <w:txbxContent>
              <w:p w:rsidR="00361E0C" w:rsidRDefault="00361E0C">
                <w:pPr>
                  <w:pStyle w:val="Footer1"/>
                  <w:rPr>
                    <w:rFonts w:ascii="Times New Roman" w:eastAsia="Times New Roman" w:hAnsi="Times New Roman"/>
                    <w:color w:val="auto"/>
                    <w:sz w:val="20"/>
                    <w:lang w:val="en-GB" w:eastAsia="en-GB"/>
                  </w:rPr>
                </w:pP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0C" w:rsidRDefault="00361E0C">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pPr>
  </w:p>
  <w:p w:rsidR="00361E0C" w:rsidRDefault="00361E0C">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rPr>
        <w:rFonts w:ascii="Times New Roman" w:eastAsia="Times New Roman" w:hAnsi="Times New Roman"/>
        <w:color w:val="auto"/>
        <w:sz w:val="20"/>
        <w:lang w:val="en-GB" w:eastAsia="en-GB"/>
      </w:rPr>
    </w:pPr>
    <w:r>
      <w:rPr>
        <w:noProof/>
        <w:lang w:val="en-GB" w:eastAsia="en-GB"/>
      </w:rPr>
      <w:pict>
        <v:rect id="_x0000_s1025" style="position:absolute;margin-left:306pt;margin-top:738.75pt;width:5pt;height:14pt;z-index:-2;mso-position-horizontal-relative:page;mso-position-vertical-relative:page" coordsize="21600,21600" stroked="f" strokeweight="1pt">
          <v:fill o:detectmouseclick="t"/>
          <v:stroke joinstyle="round"/>
          <v:path arrowok="t" o:connectlocs="10800,10800"/>
          <v:textbox inset="0,0,0,0">
            <w:txbxContent>
              <w:p w:rsidR="00361E0C" w:rsidRDefault="00361E0C">
                <w:pPr>
                  <w:pStyle w:val="Footer1"/>
                  <w:rPr>
                    <w:rFonts w:ascii="Times New Roman" w:eastAsia="Times New Roman" w:hAnsi="Times New Roman"/>
                    <w:color w:val="auto"/>
                    <w:sz w:val="20"/>
                    <w:lang w:val="en-GB" w:eastAsia="en-GB"/>
                  </w:rPr>
                </w:pP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0C" w:rsidRDefault="00361E0C">
    <w:pPr>
      <w:pStyle w:val="Header1"/>
      <w:tabs>
        <w:tab w:val="clear" w:pos="8640"/>
        <w:tab w:val="right" w:pos="8535"/>
      </w:tabs>
      <w:rPr>
        <w:rFonts w:ascii="Times New Roman" w:eastAsia="Times New Roman" w:hAnsi="Times New Roman"/>
        <w:color w:val="auto"/>
        <w:sz w:val="20"/>
        <w:lang w:val="en-GB" w:eastAsia="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
    <w:nsid w:val="00000002"/>
    <w:multiLevelType w:val="multilevel"/>
    <w:tmpl w:val="894EE874"/>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
    <w:nsid w:val="00000003"/>
    <w:multiLevelType w:val="multilevel"/>
    <w:tmpl w:val="894EE875"/>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
    <w:nsid w:val="00000004"/>
    <w:multiLevelType w:val="multilevel"/>
    <w:tmpl w:val="894EE876"/>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4">
    <w:nsid w:val="00000005"/>
    <w:multiLevelType w:val="multilevel"/>
    <w:tmpl w:val="894EE877"/>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
    <w:nsid w:val="00000006"/>
    <w:multiLevelType w:val="multilevel"/>
    <w:tmpl w:val="894EE878"/>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
    <w:nsid w:val="00000007"/>
    <w:multiLevelType w:val="multilevel"/>
    <w:tmpl w:val="894EE879"/>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7">
    <w:nsid w:val="00000008"/>
    <w:multiLevelType w:val="multilevel"/>
    <w:tmpl w:val="894EE87A"/>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8">
    <w:nsid w:val="00000009"/>
    <w:multiLevelType w:val="multilevel"/>
    <w:tmpl w:val="894EE87B"/>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9">
    <w:nsid w:val="0000000A"/>
    <w:multiLevelType w:val="multilevel"/>
    <w:tmpl w:val="894EE87C"/>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0">
    <w:nsid w:val="0000000B"/>
    <w:multiLevelType w:val="multilevel"/>
    <w:tmpl w:val="894EE87D"/>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1">
    <w:nsid w:val="0000000C"/>
    <w:multiLevelType w:val="multilevel"/>
    <w:tmpl w:val="894EE87E"/>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2">
    <w:nsid w:val="0000000D"/>
    <w:multiLevelType w:val="multilevel"/>
    <w:tmpl w:val="894EE87F"/>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3">
    <w:nsid w:val="0000000E"/>
    <w:multiLevelType w:val="multilevel"/>
    <w:tmpl w:val="894EE880"/>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4">
    <w:nsid w:val="0000000F"/>
    <w:multiLevelType w:val="multilevel"/>
    <w:tmpl w:val="894EE881"/>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embedSystemFonts/>
  <w:bordersDoNotSurroundHeader/>
  <w:bordersDoNotSurroundFooter/>
  <w:proofState w:grammar="clean"/>
  <w:stylePaneFormatFilter w:val="2801"/>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77BB"/>
    <w:rsid w:val="002977BB"/>
    <w:rsid w:val="00361E0C"/>
    <w:rsid w:val="00972F22"/>
    <w:rsid w:val="00BC795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4"/>
      </w:tabs>
      <w:spacing w:after="120"/>
      <w:jc w:val="both"/>
    </w:pPr>
    <w:rPr>
      <w:rFonts w:eastAsia="ヒラギノ角ゴ Pro W3"/>
      <w:color w:val="000000"/>
      <w:sz w:val="24"/>
      <w:szCs w:val="24"/>
      <w:lang w:val="en-US" w:eastAsia="en-US"/>
    </w:rPr>
  </w:style>
  <w:style w:type="character" w:default="1" w:styleId="DefaultParagraphFont">
    <w:name w:val="Default Paragraph Font"/>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autoRedefine/>
    <w:semiHidden/>
  </w:style>
  <w:style w:type="paragraph" w:customStyle="1" w:styleId="FreeFormA">
    <w:name w:val="Free Form A"/>
    <w:rPr>
      <w:rFonts w:ascii="Cambria" w:eastAsia="ヒラギノ角ゴ Pro W3" w:hAnsi="Cambria"/>
      <w:color w:val="000000"/>
      <w:sz w:val="24"/>
      <w:lang w:val="fr-FR" w:eastAsia="en-US"/>
    </w:rPr>
  </w:style>
  <w:style w:type="paragraph" w:customStyle="1" w:styleId="Header1">
    <w:name w:val="Header1"/>
    <w:pPr>
      <w:tabs>
        <w:tab w:val="center" w:pos="4320"/>
        <w:tab w:val="right" w:pos="8640"/>
      </w:tabs>
    </w:pPr>
    <w:rPr>
      <w:rFonts w:ascii="Cambria" w:eastAsia="ヒラギノ角ゴ Pro W3" w:hAnsi="Cambria"/>
      <w:color w:val="000000"/>
      <w:sz w:val="24"/>
      <w:lang w:val="fr-FR" w:eastAsia="en-US"/>
    </w:rPr>
  </w:style>
  <w:style w:type="paragraph" w:customStyle="1" w:styleId="Footer1">
    <w:name w:val="Footer1"/>
    <w:pPr>
      <w:tabs>
        <w:tab w:val="center" w:pos="4320"/>
        <w:tab w:val="right" w:pos="8640"/>
      </w:tabs>
    </w:pPr>
    <w:rPr>
      <w:rFonts w:ascii="Cambria" w:eastAsia="ヒラギノ角ゴ Pro W3" w:hAnsi="Cambria"/>
      <w:color w:val="000000"/>
      <w:sz w:val="24"/>
      <w:lang w:val="fr-FR" w:eastAsia="en-US"/>
    </w:rPr>
  </w:style>
  <w:style w:type="paragraph" w:customStyle="1" w:styleId="BodyA">
    <w:name w:val="Body A"/>
    <w:rPr>
      <w:rFonts w:ascii="Helvetica" w:eastAsia="ヒラギノ角ゴ Pro W3" w:hAnsi="Helvetica"/>
      <w:color w:val="000000"/>
      <w:sz w:val="24"/>
      <w:lang w:val="fr-FR" w:eastAsia="en-US"/>
    </w:rPr>
  </w:style>
  <w:style w:type="paragraph" w:customStyle="1" w:styleId="FreeFormBB">
    <w:name w:val="Free Form B B"/>
    <w:rPr>
      <w:rFonts w:eastAsia="ヒラギノ角ゴ Pro W3"/>
      <w:color w:val="000000"/>
      <w:lang w:val="fr-FR" w:eastAsia="en-US"/>
    </w:rPr>
  </w:style>
  <w:style w:type="paragraph" w:customStyle="1" w:styleId="FreeFormB">
    <w:name w:val="Free Form B"/>
    <w:rPr>
      <w:rFonts w:eastAsia="ヒラギノ角ゴ Pro W3"/>
      <w:color w:val="000000"/>
      <w:sz w:val="24"/>
      <w:lang w:val="fr-FR" w:eastAsia="en-US"/>
    </w:rPr>
  </w:style>
  <w:style w:type="paragraph" w:customStyle="1" w:styleId="FreeForm">
    <w:name w:val="Free Form"/>
    <w:rPr>
      <w:rFonts w:eastAsia="ヒラギノ角ゴ Pro W3"/>
      <w:color w:val="000000"/>
      <w:lang w:val="en-US" w:eastAsia="en-US"/>
    </w:rPr>
  </w:style>
  <w:style w:type="paragraph" w:customStyle="1" w:styleId="BodyB">
    <w:name w:val="Body B"/>
    <w:rPr>
      <w:rFonts w:ascii="Helvetica" w:eastAsia="ヒラギノ角ゴ Pro W3" w:hAnsi="Helvetica"/>
      <w:color w:val="000000"/>
      <w:sz w:val="24"/>
      <w:lang w:val="fr-FR" w:eastAsia="en-US"/>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Auntie Knows Best</vt:lpstr>
    </vt:vector>
  </TitlesOfParts>
  <Company>McGill University</Company>
  <LinksUpToDate>false</LinksUpToDate>
  <CharactersWithSpaces>21013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Auntie Knows Best</dc:title>
  <dc:subject/>
  <dc:creator>Stuart Soroka</dc:creator>
  <cp:keywords/>
  <cp:lastModifiedBy>jayned</cp:lastModifiedBy>
  <cp:revision>2</cp:revision>
  <dcterms:created xsi:type="dcterms:W3CDTF">2012-06-13T09:07:00Z</dcterms:created>
  <dcterms:modified xsi:type="dcterms:W3CDTF">2012-06-13T09:07:00Z</dcterms:modified>
</cp:coreProperties>
</file>