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69" w:rsidRDefault="00417D69" w:rsidP="00417D69">
      <w:pPr>
        <w:jc w:val="center"/>
        <w:rPr>
          <w:b/>
          <w:sz w:val="28"/>
          <w:szCs w:val="28"/>
        </w:rPr>
      </w:pPr>
      <w:r>
        <w:rPr>
          <w:b/>
          <w:sz w:val="28"/>
          <w:szCs w:val="28"/>
        </w:rPr>
        <w:t>On-line Annex for</w:t>
      </w:r>
    </w:p>
    <w:p w:rsidR="00417D69" w:rsidRDefault="00417D69" w:rsidP="00417D69">
      <w:pPr>
        <w:jc w:val="center"/>
        <w:rPr>
          <w:b/>
          <w:sz w:val="28"/>
          <w:szCs w:val="28"/>
        </w:rPr>
      </w:pPr>
    </w:p>
    <w:p w:rsidR="00417D69" w:rsidRPr="00D0350C" w:rsidRDefault="00417D69" w:rsidP="00417D69">
      <w:pPr>
        <w:jc w:val="center"/>
        <w:rPr>
          <w:sz w:val="28"/>
          <w:szCs w:val="28"/>
        </w:rPr>
      </w:pPr>
      <w:r w:rsidRPr="00D0350C">
        <w:rPr>
          <w:b/>
          <w:sz w:val="28"/>
          <w:szCs w:val="28"/>
        </w:rPr>
        <w:t>Democratic Accountability and the Politics of Mass Administrative Reorganization</w:t>
      </w: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center"/>
        <w:outlineLvl w:val="0"/>
      </w:pPr>
      <w:r>
        <w:t>Anthony M. Bertelli*</w:t>
      </w:r>
    </w:p>
    <w:p w:rsidR="00417D69" w:rsidRDefault="00417D69" w:rsidP="00417D69">
      <w:pPr>
        <w:jc w:val="center"/>
        <w:outlineLvl w:val="0"/>
      </w:pPr>
      <w:r>
        <w:t>New York University</w:t>
      </w:r>
    </w:p>
    <w:p w:rsidR="00417D69" w:rsidRDefault="00417D69" w:rsidP="00417D69">
      <w:pPr>
        <w:jc w:val="center"/>
        <w:outlineLvl w:val="0"/>
      </w:pPr>
      <w:r>
        <w:t>University of Birmingham</w:t>
      </w:r>
    </w:p>
    <w:p w:rsidR="00417D69" w:rsidRDefault="00417D69" w:rsidP="00417D69">
      <w:pPr>
        <w:jc w:val="center"/>
      </w:pPr>
    </w:p>
    <w:p w:rsidR="00417D69" w:rsidRDefault="00417D69" w:rsidP="00417D69">
      <w:pPr>
        <w:jc w:val="center"/>
        <w:outlineLvl w:val="0"/>
      </w:pPr>
      <w:r>
        <w:t>J. Andrew Sinclair</w:t>
      </w:r>
    </w:p>
    <w:p w:rsidR="00417D69" w:rsidRDefault="00417D69" w:rsidP="00417D69">
      <w:pPr>
        <w:jc w:val="center"/>
        <w:outlineLvl w:val="0"/>
      </w:pPr>
      <w:r>
        <w:t>New York University</w:t>
      </w:r>
    </w:p>
    <w:p w:rsidR="00417D69" w:rsidRDefault="00417D69" w:rsidP="00417D69">
      <w:pPr>
        <w:jc w:val="center"/>
      </w:pPr>
    </w:p>
    <w:p w:rsidR="00417D69" w:rsidRDefault="00417D69" w:rsidP="00417D69">
      <w:pPr>
        <w:jc w:val="center"/>
      </w:pPr>
    </w:p>
    <w:p w:rsidR="00417D69" w:rsidRDefault="00417D69" w:rsidP="00417D69">
      <w:pPr>
        <w:jc w:val="center"/>
      </w:pPr>
    </w:p>
    <w:p w:rsidR="00417D69" w:rsidRDefault="00417D69" w:rsidP="00417D69">
      <w:pPr>
        <w:jc w:val="center"/>
        <w:outlineLvl w:val="0"/>
      </w:pPr>
      <w:r>
        <w:t>August 12, 2014</w:t>
      </w: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both"/>
      </w:pPr>
    </w:p>
    <w:p w:rsidR="00417D69" w:rsidRDefault="00417D69" w:rsidP="00417D69">
      <w:pPr>
        <w:jc w:val="center"/>
      </w:pPr>
      <w:r>
        <w:t xml:space="preserve">* Corresponding author; direct correspondence to: </w:t>
      </w:r>
      <w:hyperlink r:id="rId7" w:history="1">
        <w:r w:rsidRPr="00972DB2">
          <w:rPr>
            <w:rStyle w:val="Hyperlink"/>
          </w:rPr>
          <w:t>bertelli@nyu.edu</w:t>
        </w:r>
      </w:hyperlink>
      <w:r>
        <w:t>.</w:t>
      </w:r>
    </w:p>
    <w:p w:rsidR="004157AE" w:rsidRDefault="004157AE">
      <w:pPr>
        <w:rPr>
          <w:b/>
          <w:bCs/>
        </w:rPr>
      </w:pPr>
      <w:r>
        <w:rPr>
          <w:b/>
          <w:bCs/>
        </w:rPr>
        <w:br w:type="page"/>
      </w:r>
    </w:p>
    <w:p w:rsidR="00417D69" w:rsidRDefault="00417D69">
      <w:pPr>
        <w:rPr>
          <w:b/>
          <w:bCs/>
        </w:rPr>
      </w:pPr>
    </w:p>
    <w:p w:rsidR="00842CAC" w:rsidRPr="00A65202" w:rsidRDefault="00842CAC" w:rsidP="00842CAC">
      <w:pPr>
        <w:spacing w:line="480" w:lineRule="auto"/>
        <w:jc w:val="both"/>
        <w:outlineLvl w:val="0"/>
        <w:rPr>
          <w:bCs/>
        </w:rPr>
      </w:pPr>
      <w:r w:rsidRPr="00A65202">
        <w:rPr>
          <w:b/>
          <w:bCs/>
        </w:rPr>
        <w:t>Appendix</w:t>
      </w:r>
      <w:r>
        <w:rPr>
          <w:b/>
          <w:bCs/>
        </w:rPr>
        <w:t xml:space="preserve"> (Not for Publication)</w:t>
      </w:r>
    </w:p>
    <w:p w:rsidR="00842CAC" w:rsidRDefault="00842CAC" w:rsidP="00842CAC">
      <w:pPr>
        <w:spacing w:line="480" w:lineRule="auto"/>
        <w:jc w:val="both"/>
        <w:outlineLvl w:val="0"/>
      </w:pPr>
      <w:r>
        <w:tab/>
        <w:t xml:space="preserve">In the main text of the paper, we exclude some information for the sake of brevity that may be of interest to readers interested in the substantive or technical aspects of the paper.  In this online appendix, we briefly sketch out some additional details and background of the NDPB reform.  As part of that discussion, we include an example that highlights the complexity of termination: what became of the UK Film Council?  Additionally, we include a series of </w:t>
      </w:r>
      <w:bookmarkStart w:id="0" w:name="_GoBack"/>
      <w:bookmarkEnd w:id="0"/>
      <w:r>
        <w:t>alternative model specifications to demonstrate the robustness of the main results in the paper.</w:t>
      </w:r>
    </w:p>
    <w:p w:rsidR="00842CAC" w:rsidRDefault="00842CAC" w:rsidP="00842CAC">
      <w:pPr>
        <w:spacing w:line="480" w:lineRule="auto"/>
        <w:jc w:val="both"/>
        <w:outlineLvl w:val="0"/>
      </w:pPr>
      <w:r>
        <w:rPr>
          <w:b/>
        </w:rPr>
        <w:t>The Coalition and the Quango</w:t>
      </w:r>
    </w:p>
    <w:p w:rsidR="00842CAC" w:rsidRDefault="00842CAC" w:rsidP="00842CAC">
      <w:pPr>
        <w:spacing w:line="480" w:lineRule="auto"/>
        <w:jc w:val="both"/>
        <w:outlineLvl w:val="0"/>
      </w:pPr>
      <w:r>
        <w:tab/>
        <w:t>As mentioned in the text of the paper, the Conservative Party made “curtail[</w:t>
      </w:r>
      <w:proofErr w:type="spellStart"/>
      <w:r>
        <w:t>ing</w:t>
      </w:r>
      <w:proofErr w:type="spellEnd"/>
      <w:r>
        <w:t xml:space="preserve">] the quango state” part of their manifesto (or party platform).  Nevertheless, the Conservative Party did not win an outright majority in the 2010 general election.  Parliament has 650 seats; the Conservatives won 47.1 percent (306 seats) and the Liberal-Democrats won 8.8 percent (57 seats).  The Lib-Dems and the Conservative Party then entered into a coalition agreement in May of 2010 that included language pledging to “reduce the number of quangos.”  </w:t>
      </w:r>
    </w:p>
    <w:p w:rsidR="00842CAC" w:rsidRDefault="00842CAC" w:rsidP="00842CAC">
      <w:pPr>
        <w:spacing w:line="480" w:lineRule="auto"/>
        <w:jc w:val="both"/>
        <w:outlineLvl w:val="0"/>
      </w:pPr>
      <w:r>
        <w:tab/>
        <w:t xml:space="preserve">The reorganization took place in two main steps.  In 2010, the new government issues a preliminary report.  The 2011 update, considered the final version for this paper, made some alterations to that initial plan and was issued around the same time that the government passed the enabling legislation.  The Public Bodies Act of 2011 permits ministers to dispose of the agencies in the proposal by abolition, merger with other independent agencies, or the transfer of functions performed by these agencies into cabinet departments.  We exclude from our study National Health Service agencies, which were the subject of a separate reorganization plan, executive agencies, and devolved agencies in Scotland, Wales, and Northern Ireland subject to other plans (and impacted by politics that incorporate additional veto points).  So while we focus </w:t>
      </w:r>
      <w:r>
        <w:lastRenderedPageBreak/>
        <w:t>on this component (NDPBs), this reform took place within the context of several other reform initiatives as well.</w:t>
      </w:r>
    </w:p>
    <w:p w:rsidR="00842CAC" w:rsidRDefault="00842CAC" w:rsidP="00842CAC">
      <w:pPr>
        <w:spacing w:line="480" w:lineRule="auto"/>
        <w:jc w:val="both"/>
        <w:outlineLvl w:val="0"/>
      </w:pPr>
      <w:r>
        <w:tab/>
        <w:t xml:space="preserve">This is a salient component of the reform efforts of the government.  Some of the agencies involved were large or well known; articles about the NDPB reform can be found across many major British newspapers.  Furthermore, this is not the first effort at reforming the British administrative state.  Public arguments in regard to the reorganization have been largely about the efficient use of government financial resources of the excesses of patronage appointees to these administrative agencies.  Appointments to NDPBs, particularly advisory bodies, have been seen as pure patronage, and expenses incurred by incumbents as something close to graft, particularly since allegations of “sleaze” in 1992 during the premiership of John Major (Stott 1995).  </w:t>
      </w:r>
    </w:p>
    <w:p w:rsidR="00842CAC" w:rsidRDefault="00842CAC" w:rsidP="00842CAC">
      <w:pPr>
        <w:spacing w:line="480" w:lineRule="auto"/>
        <w:jc w:val="both"/>
        <w:outlineLvl w:val="0"/>
      </w:pPr>
      <w:r>
        <w:tab/>
        <w:t>Nevertheless, the key official in charge of implementing the NDPB reform proposal we study, Francis Maude MP, Minister for the Cabinet office, emphasized accountability.  In an interview, a Department for Transport official recalled Maude’s views: “The further you take decisions away from elected politicians, the less accountable the decisions become.  That’s the theology… you should only be having NDPBs and spending money through them where you have a very clear basis” (</w:t>
      </w:r>
      <w:proofErr w:type="spellStart"/>
      <w:r>
        <w:t>Skelcher</w:t>
      </w:r>
      <w:proofErr w:type="spellEnd"/>
      <w:r>
        <w:t xml:space="preserve"> and Department for Transport Official, 2012).  The public face of cost-cutting also did not seem to be the core motivation behind the mass reorganization to officials in departments who had the make the cuts under the authority of the Public Bodies Act.  One Ministry of Justice official states, “</w:t>
      </w:r>
      <w:proofErr w:type="gramStart"/>
      <w:r>
        <w:t>some</w:t>
      </w:r>
      <w:proofErr w:type="gramEnd"/>
      <w:r>
        <w:t xml:space="preserve"> of the justifications for the reform agenda seem confused, and it is not always clear whether the focus is on accountability or efficiency.</w:t>
      </w:r>
      <w:r w:rsidRPr="002A70D8">
        <w:rPr>
          <w:rStyle w:val="FootnoteReference"/>
          <w:lang w:val="en-GB"/>
        </w:rPr>
        <w:t xml:space="preserve"> </w:t>
      </w:r>
      <w:r>
        <w:rPr>
          <w:rStyle w:val="FootnoteReference"/>
          <w:lang w:val="en-GB"/>
        </w:rPr>
        <w:footnoteReference w:id="1"/>
      </w:r>
      <w:r>
        <w:t xml:space="preserve">  It is </w:t>
      </w:r>
      <w:r>
        <w:lastRenderedPageBreak/>
        <w:t xml:space="preserve">the consequences of these reforms for government accountability that constitute our focus for this study.  </w:t>
      </w:r>
    </w:p>
    <w:p w:rsidR="00842CAC" w:rsidRDefault="00842CAC" w:rsidP="00842CAC">
      <w:pPr>
        <w:spacing w:line="480" w:lineRule="auto"/>
        <w:jc w:val="both"/>
        <w:outlineLvl w:val="0"/>
      </w:pPr>
      <w:r>
        <w:rPr>
          <w:b/>
        </w:rPr>
        <w:t>An Illustration of the Government’s Choice:  The UK Film Council</w:t>
      </w:r>
    </w:p>
    <w:p w:rsidR="00842CAC" w:rsidRDefault="00842CAC" w:rsidP="00842CAC">
      <w:pPr>
        <w:spacing w:line="480" w:lineRule="auto"/>
        <w:ind w:firstLine="720"/>
        <w:jc w:val="both"/>
      </w:pPr>
      <w:r>
        <w:t xml:space="preserve">The </w:t>
      </w:r>
      <w:r w:rsidRPr="007214F2">
        <w:t>UK Film Council</w:t>
      </w:r>
      <w:r>
        <w:t xml:space="preserve"> (UKFC)</w:t>
      </w:r>
      <w:r w:rsidRPr="007214F2">
        <w:t xml:space="preserve">, created by </w:t>
      </w:r>
      <w:r>
        <w:t>the prior</w:t>
      </w:r>
      <w:r w:rsidRPr="007214F2">
        <w:t xml:space="preserve"> </w:t>
      </w:r>
      <w:proofErr w:type="spellStart"/>
      <w:r w:rsidRPr="007214F2">
        <w:t>Labour</w:t>
      </w:r>
      <w:proofErr w:type="spellEnd"/>
      <w:r>
        <w:t xml:space="preserve"> government</w:t>
      </w:r>
      <w:r w:rsidRPr="007214F2">
        <w:t xml:space="preserve"> to promote the British film industry</w:t>
      </w:r>
      <w:r>
        <w:t>, exemplifies the complexities of termination</w:t>
      </w:r>
      <w:r w:rsidRPr="007214F2">
        <w:t>.  Despite previous calls for a merger with the British Film Institute</w:t>
      </w:r>
      <w:r>
        <w:t xml:space="preserve"> (BFI)</w:t>
      </w:r>
      <w:r w:rsidRPr="007214F2">
        <w:t>,</w:t>
      </w:r>
      <w:r>
        <w:t xml:space="preserve"> a charity that receives some government funding,</w:t>
      </w:r>
      <w:r w:rsidRPr="007214F2">
        <w:t xml:space="preserve"> the government announced its abolition without transferring functions to other bodies. The stated rationale was to establish “a direct and less bureaucratic relationship with the </w:t>
      </w:r>
      <w:r>
        <w:t>[BFI]” (Shrinking the State Project 2014).</w:t>
      </w:r>
      <w:r w:rsidRPr="007214F2">
        <w:t xml:space="preserve"> </w:t>
      </w:r>
      <w:r>
        <w:t>While the</w:t>
      </w:r>
      <w:r w:rsidRPr="007214F2">
        <w:t xml:space="preserve"> </w:t>
      </w:r>
      <w:r>
        <w:t xml:space="preserve">government nominally abolished the function of the UKFC, the functions are not wholly extinct; a considerable amount of </w:t>
      </w:r>
      <w:r w:rsidRPr="007214F2">
        <w:t xml:space="preserve">public money the UKFC received now goes </w:t>
      </w:r>
      <w:r>
        <w:t xml:space="preserve">directly </w:t>
      </w:r>
      <w:r w:rsidRPr="007214F2">
        <w:t xml:space="preserve">to </w:t>
      </w:r>
      <w:r>
        <w:t>the British Film Institute</w:t>
      </w:r>
      <w:r w:rsidRPr="007214F2">
        <w:t xml:space="preserve">.  Accountability for the function is still attenuated and the commitment to the industry has not been rescinded, nor from a policy </w:t>
      </w:r>
      <w:proofErr w:type="gramStart"/>
      <w:r w:rsidRPr="007214F2">
        <w:t>commitment standpoint is</w:t>
      </w:r>
      <w:proofErr w:type="gramEnd"/>
      <w:r w:rsidRPr="007214F2">
        <w:t xml:space="preserve"> this action a competing risk of termination.  This pu</w:t>
      </w:r>
      <w:r>
        <w:t>blicly financed function is now more distant from ministerial responsibility than when handled by an independent agency</w:t>
      </w:r>
      <w:r w:rsidRPr="007214F2">
        <w:t>.</w:t>
      </w:r>
      <w:r>
        <w:tab/>
        <w:t xml:space="preserve">    </w:t>
      </w:r>
    </w:p>
    <w:p w:rsidR="00842CAC" w:rsidRPr="006C46B9" w:rsidRDefault="00842CAC" w:rsidP="00842CAC">
      <w:pPr>
        <w:spacing w:line="480" w:lineRule="auto"/>
        <w:ind w:firstLine="720"/>
        <w:jc w:val="both"/>
      </w:pPr>
      <w:r>
        <w:t xml:space="preserve">Yet as the case of the UKFC reveals, functions may be provided outside of government even when programs are terminated, and this has accountability implications.  In particular, even if the government had decided to not fund any of its functions through the BFI, the government would be responsible for the </w:t>
      </w:r>
      <w:r>
        <w:rPr>
          <w:i/>
        </w:rPr>
        <w:t>absence</w:t>
      </w:r>
      <w:r>
        <w:t xml:space="preserve"> of the policy.  This applies to any policymaking choices with democratic accountability; politicians may be able to terminate functions it is far more problematic to terminate responsibility for those functions.  </w:t>
      </w:r>
    </w:p>
    <w:p w:rsidR="00842CAC" w:rsidRPr="006C46B9" w:rsidRDefault="00842CAC" w:rsidP="00842CAC">
      <w:pPr>
        <w:spacing w:line="480" w:lineRule="auto"/>
        <w:jc w:val="both"/>
        <w:outlineLvl w:val="0"/>
      </w:pPr>
      <w:r>
        <w:rPr>
          <w:b/>
        </w:rPr>
        <w:t>Supplemental Models</w:t>
      </w:r>
    </w:p>
    <w:p w:rsidR="00842CAC" w:rsidRDefault="00842CAC" w:rsidP="00842CAC">
      <w:pPr>
        <w:spacing w:line="480" w:lineRule="auto"/>
        <w:ind w:firstLine="720"/>
        <w:jc w:val="both"/>
        <w:rPr>
          <w:bCs/>
        </w:rPr>
      </w:pPr>
      <w:r>
        <w:t>The sequential logit models we estimate can be f</w:t>
      </w:r>
      <w:r>
        <w:rPr>
          <w:bCs/>
        </w:rPr>
        <w:t xml:space="preserve">ormally specified as follows. At level 1, the probability model for agency </w:t>
      </w:r>
      <w:proofErr w:type="spellStart"/>
      <w:r>
        <w:rPr>
          <w:bCs/>
          <w:i/>
        </w:rPr>
        <w:t>i</w:t>
      </w:r>
      <w:proofErr w:type="spellEnd"/>
      <w:r>
        <w:rPr>
          <w:bCs/>
        </w:rPr>
        <w:t xml:space="preserve"> </w:t>
      </w:r>
      <w:proofErr w:type="gramStart"/>
      <w:r>
        <w:rPr>
          <w:bCs/>
        </w:rPr>
        <w:t>is</w:t>
      </w:r>
      <w:proofErr w:type="gramEnd"/>
      <w:r>
        <w:rPr>
          <w:bCs/>
        </w:rPr>
        <w:t>:</w:t>
      </w:r>
    </w:p>
    <w:p w:rsidR="00842CAC" w:rsidRPr="00842CAC" w:rsidRDefault="00842CAC" w:rsidP="00842CAC">
      <w:pPr>
        <w:spacing w:line="480" w:lineRule="auto"/>
        <w:jc w:val="both"/>
        <w:rPr>
          <w:b/>
          <w:bCs/>
        </w:rPr>
      </w:pPr>
      <m:oMathPara>
        <m:oMath>
          <m:r>
            <m:rPr>
              <m:sty m:val="p"/>
            </m:rPr>
            <w:rPr>
              <w:rFonts w:ascii="Cambria Math" w:hAnsi="Cambria Math"/>
            </w:rPr>
            <w:lastRenderedPageBreak/>
            <m:t>Pr</m:t>
          </m:r>
          <m:r>
            <w:rPr>
              <w:rFonts w:ascii="Cambria Math" w:hAnsi="Cambria Math"/>
            </w:rPr>
            <m:t>(</m:t>
          </m:r>
          <m:r>
            <m:rPr>
              <m:nor/>
            </m:rPr>
            <w:rPr>
              <w:bCs/>
              <w:iCs/>
            </w:rPr>
            <m:t>remove independence)</m:t>
          </m:r>
          <m:r>
            <w:rPr>
              <w:rFonts w:ascii="Cambria Math" w:hAnsi="Cambria Math"/>
            </w:rPr>
            <m:t>=</m:t>
          </m:r>
          <m:f>
            <m:fPr>
              <m:ctrlPr>
                <w:rPr>
                  <w:rFonts w:ascii="Cambria Math" w:hAnsi="Cambria Math"/>
                  <w:b/>
                  <w:bCs/>
                  <w:iCs/>
                </w:rPr>
              </m:ctrlPr>
            </m:fPr>
            <m:num>
              <m:r>
                <m:rPr>
                  <m:sty m:val="p"/>
                </m:rPr>
                <w:rPr>
                  <w:rFonts w:ascii="Cambria Math" w:hAnsi="Cambria Math"/>
                </w:rPr>
                <m:t>exp⁡(</m:t>
              </m:r>
              <m:sSup>
                <m:sSupPr>
                  <m:ctrlPr>
                    <w:rPr>
                      <w:rFonts w:ascii="Cambria Math" w:hAnsi="Cambria Math"/>
                      <w:bCs/>
                      <w:i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iCs/>
                    </w:rPr>
                  </m:ctrlPr>
                </m:sSubPr>
                <m:e>
                  <m:r>
                    <m:rPr>
                      <m:sty m:val="bi"/>
                    </m:rPr>
                    <w:rPr>
                      <w:rFonts w:ascii="Cambria Math" w:hAnsi="Cambria Math"/>
                    </w:rPr>
                    <m:t>β</m:t>
                  </m:r>
                </m:e>
                <m:sub>
                  <m:r>
                    <w:rPr>
                      <w:rFonts w:ascii="Cambria Math" w:hAnsi="Cambria Math"/>
                    </w:rPr>
                    <m:t>1</m:t>
                  </m:r>
                </m:sub>
              </m:sSub>
              <m:r>
                <m:rPr>
                  <m:sty m:val="bi"/>
                </m:rPr>
                <w:rPr>
                  <w:rFonts w:ascii="Cambria Math" w:hAnsi="Cambria Math"/>
                </w:rPr>
                <m:t>)</m:t>
              </m:r>
            </m:num>
            <m:den>
              <m:r>
                <w:rPr>
                  <w:rFonts w:ascii="Cambria Math" w:hAnsi="Cambria Math"/>
                </w:rPr>
                <m:t>1+</m:t>
              </m:r>
              <m:r>
                <m:rPr>
                  <m:sty m:val="p"/>
                </m:rPr>
                <w:rPr>
                  <w:rFonts w:ascii="Cambria Math" w:hAnsi="Cambria Math"/>
                </w:rPr>
                <m:t>exp⁡</m:t>
              </m:r>
              <m:r>
                <w:rPr>
                  <w:rFonts w:ascii="Cambria Math" w:hAnsi="Cambria Math"/>
                </w:rPr>
                <m:t>(</m:t>
              </m:r>
              <m:sSup>
                <m:sSupPr>
                  <m:ctrlPr>
                    <w:rPr>
                      <w:rFonts w:ascii="Cambria Math" w:hAnsi="Cambria Math"/>
                      <w:bCs/>
                      <w:i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iCs/>
                    </w:rPr>
                  </m:ctrlPr>
                </m:sSubPr>
                <m:e>
                  <m:r>
                    <m:rPr>
                      <m:sty m:val="bi"/>
                    </m:rPr>
                    <w:rPr>
                      <w:rFonts w:ascii="Cambria Math" w:hAnsi="Cambria Math"/>
                    </w:rPr>
                    <m:t>β</m:t>
                  </m:r>
                </m:e>
                <m:sub>
                  <m:r>
                    <w:rPr>
                      <w:rFonts w:ascii="Cambria Math" w:hAnsi="Cambria Math"/>
                    </w:rPr>
                    <m:t>1</m:t>
                  </m:r>
                </m:sub>
              </m:sSub>
              <m:r>
                <m:rPr>
                  <m:sty m:val="bi"/>
                </m:rPr>
                <w:rPr>
                  <w:rFonts w:ascii="Cambria Math" w:hAnsi="Cambria Math"/>
                </w:rPr>
                <m:t>)</m:t>
              </m:r>
            </m:den>
          </m:f>
        </m:oMath>
      </m:oMathPara>
    </w:p>
    <w:p w:rsidR="00842CAC" w:rsidRDefault="00842CAC" w:rsidP="00842CAC">
      <w:pPr>
        <w:spacing w:line="480" w:lineRule="auto"/>
        <w:jc w:val="both"/>
        <w:rPr>
          <w:bCs/>
        </w:rPr>
      </w:pPr>
      <w:r>
        <w:rPr>
          <w:bCs/>
        </w:rPr>
        <w:t>The model at level 2 can be written:</w:t>
      </w:r>
    </w:p>
    <w:p w:rsidR="00842CAC" w:rsidRPr="00842CAC" w:rsidRDefault="00842CAC" w:rsidP="00842CAC">
      <w:pPr>
        <w:spacing w:line="480" w:lineRule="auto"/>
        <w:jc w:val="both"/>
        <w:rPr>
          <w:b/>
          <w:bCs/>
        </w:rPr>
      </w:pPr>
      <m:oMathPara>
        <m:oMath>
          <m:r>
            <m:rPr>
              <m:sty m:val="p"/>
            </m:rPr>
            <w:rPr>
              <w:rFonts w:ascii="Cambria Math" w:hAnsi="Cambria Math"/>
            </w:rPr>
            <m:t>Pr</m:t>
          </m:r>
          <m:r>
            <w:rPr>
              <w:rFonts w:ascii="Cambria Math" w:hAnsi="Cambria Math"/>
            </w:rPr>
            <m:t>(</m:t>
          </m:r>
          <m:r>
            <m:rPr>
              <m:nor/>
            </m:rPr>
            <w:rPr>
              <w:bCs/>
            </w:rPr>
            <m:t>reform | keep independent)</m:t>
          </m:r>
          <m:r>
            <w:rPr>
              <w:rFonts w:ascii="Cambria Math" w:hAnsi="Cambria Math"/>
            </w:rPr>
            <m:t>=</m:t>
          </m:r>
          <m:f>
            <m:fPr>
              <m:ctrlPr>
                <w:rPr>
                  <w:rFonts w:ascii="Cambria Math" w:hAnsi="Cambria Math"/>
                  <w:b/>
                  <w:bCs/>
                </w:rPr>
              </m:ctrlPr>
            </m:fPr>
            <m:num>
              <m:r>
                <m:rPr>
                  <m:sty m:val="p"/>
                </m:rPr>
                <w:rPr>
                  <w:rFonts w:ascii="Cambria Math" w:hAnsi="Cambria Math"/>
                </w:rPr>
                <m:t>exp⁡(</m:t>
              </m:r>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2</m:t>
                  </m:r>
                </m:sub>
              </m:sSub>
              <m:r>
                <m:rPr>
                  <m:sty m:val="bi"/>
                </m:rPr>
                <w:rPr>
                  <w:rFonts w:ascii="Cambria Math" w:hAnsi="Cambria Math"/>
                </w:rPr>
                <m:t>)</m:t>
              </m:r>
            </m:num>
            <m:den>
              <m:r>
                <w:rPr>
                  <w:rFonts w:ascii="Cambria Math" w:hAnsi="Cambria Math"/>
                </w:rPr>
                <m:t>1+</m:t>
              </m:r>
              <m:r>
                <m:rPr>
                  <m:sty m:val="p"/>
                </m:rPr>
                <w:rPr>
                  <w:rFonts w:ascii="Cambria Math" w:hAnsi="Cambria Math"/>
                </w:rPr>
                <m:t>exp⁡</m:t>
              </m:r>
              <m:r>
                <w:rPr>
                  <w:rFonts w:ascii="Cambria Math" w:hAnsi="Cambria Math"/>
                </w:rPr>
                <m:t>(</m:t>
              </m:r>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2</m:t>
                  </m:r>
                </m:sub>
              </m:sSub>
              <m:r>
                <m:rPr>
                  <m:sty m:val="bi"/>
                </m:rPr>
                <w:rPr>
                  <w:rFonts w:ascii="Cambria Math" w:hAnsi="Cambria Math"/>
                </w:rPr>
                <m:t>)</m:t>
              </m:r>
            </m:den>
          </m:f>
        </m:oMath>
      </m:oMathPara>
    </w:p>
    <w:p w:rsidR="00842CAC" w:rsidRDefault="00842CAC" w:rsidP="00842CAC">
      <w:pPr>
        <w:spacing w:line="480" w:lineRule="auto"/>
        <w:jc w:val="both"/>
        <w:rPr>
          <w:bCs/>
        </w:rPr>
      </w:pPr>
      <w:r>
        <w:rPr>
          <w:bCs/>
        </w:rPr>
        <w:t>Similarly, the model at level 3 is as follows:</w:t>
      </w:r>
    </w:p>
    <w:p w:rsidR="00842CAC" w:rsidRPr="00842CAC" w:rsidRDefault="00842CAC" w:rsidP="00842CAC">
      <w:pPr>
        <w:spacing w:line="480" w:lineRule="auto"/>
        <w:jc w:val="both"/>
        <w:rPr>
          <w:bCs/>
        </w:rPr>
      </w:pPr>
      <m:oMathPara>
        <m:oMath>
          <m:r>
            <m:rPr>
              <m:sty m:val="p"/>
            </m:rPr>
            <w:rPr>
              <w:rFonts w:ascii="Cambria Math" w:hAnsi="Cambria Math"/>
            </w:rPr>
            <m:t>Pr</m:t>
          </m:r>
          <m:r>
            <w:rPr>
              <w:rFonts w:ascii="Cambria Math" w:hAnsi="Cambria Math"/>
            </w:rPr>
            <m:t>(</m:t>
          </m:r>
          <m:r>
            <m:rPr>
              <m:nor/>
            </m:rPr>
            <w:rPr>
              <w:bCs/>
            </w:rPr>
            <m:t>abolish | remove independence)</m:t>
          </m:r>
          <m:r>
            <w:rPr>
              <w:rFonts w:ascii="Cambria Math" w:hAnsi="Cambria Math"/>
            </w:rPr>
            <m:t>=</m:t>
          </m:r>
          <m:f>
            <m:fPr>
              <m:ctrlPr>
                <w:rPr>
                  <w:rFonts w:ascii="Cambria Math" w:hAnsi="Cambria Math"/>
                  <w:b/>
                  <w:bCs/>
                </w:rPr>
              </m:ctrlPr>
            </m:fPr>
            <m:num>
              <m:r>
                <m:rPr>
                  <m:sty m:val="p"/>
                </m:rPr>
                <w:rPr>
                  <w:rFonts w:ascii="Cambria Math" w:hAnsi="Cambria Math"/>
                </w:rPr>
                <m:t>exp⁡(</m:t>
              </m:r>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3</m:t>
                  </m:r>
                </m:sub>
              </m:sSub>
              <m:r>
                <m:rPr>
                  <m:sty m:val="bi"/>
                </m:rPr>
                <w:rPr>
                  <w:rFonts w:ascii="Cambria Math" w:hAnsi="Cambria Math"/>
                </w:rPr>
                <m:t>)</m:t>
              </m:r>
            </m:num>
            <m:den>
              <m:r>
                <w:rPr>
                  <w:rFonts w:ascii="Cambria Math" w:hAnsi="Cambria Math"/>
                </w:rPr>
                <m:t>1+</m:t>
              </m:r>
              <m:r>
                <m:rPr>
                  <m:sty m:val="p"/>
                </m:rPr>
                <w:rPr>
                  <w:rFonts w:ascii="Cambria Math" w:hAnsi="Cambria Math"/>
                </w:rPr>
                <m:t>exp⁡</m:t>
              </m:r>
              <m:r>
                <w:rPr>
                  <w:rFonts w:ascii="Cambria Math" w:hAnsi="Cambria Math"/>
                </w:rPr>
                <m:t>(</m:t>
              </m:r>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3</m:t>
                  </m:r>
                </m:sub>
              </m:sSub>
              <m:r>
                <m:rPr>
                  <m:sty m:val="bi"/>
                </m:rPr>
                <w:rPr>
                  <w:rFonts w:ascii="Cambria Math" w:hAnsi="Cambria Math"/>
                </w:rPr>
                <m:t>)</m:t>
              </m:r>
            </m:den>
          </m:f>
        </m:oMath>
      </m:oMathPara>
    </w:p>
    <w:p w:rsidR="00842CAC" w:rsidRDefault="00842CAC" w:rsidP="00842CAC">
      <w:pPr>
        <w:spacing w:line="480" w:lineRule="auto"/>
        <w:jc w:val="both"/>
        <w:rPr>
          <w:bCs/>
        </w:rPr>
      </w:pPr>
      <w:r>
        <w:rPr>
          <w:bCs/>
        </w:rPr>
        <w:t>For instance, we can compute the probability that an agency is reformed rather than retained as-is at level 2 in the following way.</w:t>
      </w:r>
    </w:p>
    <w:p w:rsidR="00842CAC" w:rsidRPr="00842CAC" w:rsidRDefault="00842CAC" w:rsidP="00842CAC">
      <w:pPr>
        <w:spacing w:line="480" w:lineRule="auto"/>
        <w:jc w:val="both"/>
        <w:rPr>
          <w:bCs/>
        </w:rPr>
      </w:pPr>
      <m:oMathPara>
        <m:oMath>
          <m:r>
            <m:rPr>
              <m:sty m:val="p"/>
            </m:rPr>
            <w:rPr>
              <w:rFonts w:ascii="Cambria Math" w:hAnsi="Cambria Math"/>
            </w:rPr>
            <m:t>Pr</m:t>
          </m:r>
          <m:r>
            <w:rPr>
              <w:rFonts w:ascii="Cambria Math" w:hAnsi="Cambria Math"/>
            </w:rPr>
            <m:t>(</m:t>
          </m:r>
          <m:r>
            <m:rPr>
              <m:nor/>
            </m:rPr>
            <w:rPr>
              <w:bCs/>
            </w:rPr>
            <m:t>reform) × Pr(keep independent)</m:t>
          </m:r>
          <m:r>
            <w:rPr>
              <w:rFonts w:ascii="Cambria Math" w:hAnsi="Cambria Math"/>
            </w:rPr>
            <m:t>=</m:t>
          </m:r>
          <m:f>
            <m:fPr>
              <m:ctrlPr>
                <w:rPr>
                  <w:rFonts w:ascii="Cambria Math" w:hAnsi="Cambria Math"/>
                  <w:b/>
                  <w:bCs/>
                </w:rPr>
              </m:ctrlPr>
            </m:fPr>
            <m:num>
              <m:func>
                <m:funcPr>
                  <m:ctrlPr>
                    <w:rPr>
                      <w:rFonts w:ascii="Cambria Math" w:hAnsi="Cambria Math"/>
                      <w:bCs/>
                    </w:rPr>
                  </m:ctrlPr>
                </m:funcPr>
                <m:fName>
                  <m:r>
                    <m:rPr>
                      <m:sty m:val="p"/>
                    </m:rPr>
                    <w:rPr>
                      <w:rFonts w:ascii="Cambria Math" w:hAnsi="Cambria Math"/>
                    </w:rPr>
                    <m:t>exp</m:t>
                  </m:r>
                </m:fName>
                <m:e>
                  <m:d>
                    <m:dPr>
                      <m:ctrlPr>
                        <w:rPr>
                          <w:rFonts w:ascii="Cambria Math" w:hAnsi="Cambria Math"/>
                          <w:bCs/>
                        </w:rPr>
                      </m:ctrlPr>
                    </m:dPr>
                    <m:e>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2</m:t>
                          </m:r>
                        </m:sub>
                      </m:sSub>
                      <m:ctrlPr>
                        <w:rPr>
                          <w:rFonts w:ascii="Cambria Math" w:hAnsi="Cambria Math"/>
                          <w:b/>
                          <w:bCs/>
                          <w:i/>
                        </w:rPr>
                      </m:ctrlPr>
                    </m:e>
                  </m:d>
                </m:e>
              </m:func>
            </m:num>
            <m:den>
              <m:r>
                <w:rPr>
                  <w:rFonts w:ascii="Cambria Math" w:hAnsi="Cambria Math"/>
                </w:rPr>
                <m:t>1+</m:t>
              </m:r>
              <m:func>
                <m:funcPr>
                  <m:ctrlPr>
                    <w:rPr>
                      <w:rFonts w:ascii="Cambria Math" w:hAnsi="Cambria Math"/>
                      <w:bCs/>
                    </w:rPr>
                  </m:ctrlPr>
                </m:funcPr>
                <m:fName>
                  <m:r>
                    <m:rPr>
                      <m:sty m:val="p"/>
                    </m:rPr>
                    <w:rPr>
                      <w:rFonts w:ascii="Cambria Math" w:hAnsi="Cambria Math"/>
                    </w:rPr>
                    <m:t>exp</m:t>
                  </m:r>
                  <m:ctrlPr>
                    <w:rPr>
                      <w:rFonts w:ascii="Cambria Math" w:hAnsi="Cambria Math"/>
                      <w:bCs/>
                      <w:i/>
                    </w:rPr>
                  </m:ctrlPr>
                </m:fName>
                <m:e>
                  <m:d>
                    <m:dPr>
                      <m:ctrlPr>
                        <w:rPr>
                          <w:rFonts w:ascii="Cambria Math" w:hAnsi="Cambria Math"/>
                          <w:bCs/>
                          <w:i/>
                        </w:rPr>
                      </m:ctrlPr>
                    </m:dPr>
                    <m:e>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2</m:t>
                          </m:r>
                        </m:sub>
                      </m:sSub>
                      <m:ctrlPr>
                        <w:rPr>
                          <w:rFonts w:ascii="Cambria Math" w:hAnsi="Cambria Math"/>
                          <w:b/>
                          <w:bCs/>
                          <w:i/>
                        </w:rPr>
                      </m:ctrlPr>
                    </m:e>
                  </m:d>
                </m:e>
              </m:func>
            </m:den>
          </m:f>
          <m:r>
            <w:rPr>
              <w:rFonts w:ascii="Cambria Math" w:hAnsi="Cambria Math"/>
            </w:rPr>
            <m:t>(1-</m:t>
          </m:r>
          <m:f>
            <m:fPr>
              <m:ctrlPr>
                <w:rPr>
                  <w:rFonts w:ascii="Cambria Math" w:hAnsi="Cambria Math"/>
                  <w:b/>
                  <w:bCs/>
                </w:rPr>
              </m:ctrlPr>
            </m:fPr>
            <m:num>
              <m:func>
                <m:funcPr>
                  <m:ctrlPr>
                    <w:rPr>
                      <w:rFonts w:ascii="Cambria Math" w:hAnsi="Cambria Math"/>
                      <w:bCs/>
                    </w:rPr>
                  </m:ctrlPr>
                </m:funcPr>
                <m:fName>
                  <m:r>
                    <m:rPr>
                      <m:sty m:val="p"/>
                    </m:rPr>
                    <w:rPr>
                      <w:rFonts w:ascii="Cambria Math" w:hAnsi="Cambria Math"/>
                    </w:rPr>
                    <m:t>exp</m:t>
                  </m:r>
                </m:fName>
                <m:e>
                  <m:d>
                    <m:dPr>
                      <m:ctrlPr>
                        <w:rPr>
                          <w:rFonts w:ascii="Cambria Math" w:hAnsi="Cambria Math"/>
                          <w:bCs/>
                        </w:rPr>
                      </m:ctrlPr>
                    </m:dPr>
                    <m:e>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1</m:t>
                          </m:r>
                        </m:sub>
                      </m:sSub>
                      <m:ctrlPr>
                        <w:rPr>
                          <w:rFonts w:ascii="Cambria Math" w:hAnsi="Cambria Math"/>
                          <w:b/>
                          <w:bCs/>
                          <w:i/>
                        </w:rPr>
                      </m:ctrlPr>
                    </m:e>
                  </m:d>
                </m:e>
              </m:func>
            </m:num>
            <m:den>
              <m:r>
                <w:rPr>
                  <w:rFonts w:ascii="Cambria Math" w:hAnsi="Cambria Math"/>
                </w:rPr>
                <m:t>1+</m:t>
              </m:r>
              <m:func>
                <m:funcPr>
                  <m:ctrlPr>
                    <w:rPr>
                      <w:rFonts w:ascii="Cambria Math" w:hAnsi="Cambria Math"/>
                      <w:bCs/>
                    </w:rPr>
                  </m:ctrlPr>
                </m:funcPr>
                <m:fName>
                  <m:r>
                    <m:rPr>
                      <m:sty m:val="p"/>
                    </m:rPr>
                    <w:rPr>
                      <w:rFonts w:ascii="Cambria Math" w:hAnsi="Cambria Math"/>
                    </w:rPr>
                    <m:t>exp</m:t>
                  </m:r>
                  <m:ctrlPr>
                    <w:rPr>
                      <w:rFonts w:ascii="Cambria Math" w:hAnsi="Cambria Math"/>
                      <w:bCs/>
                      <w:i/>
                    </w:rPr>
                  </m:ctrlPr>
                </m:fName>
                <m:e>
                  <m:d>
                    <m:dPr>
                      <m:ctrlPr>
                        <w:rPr>
                          <w:rFonts w:ascii="Cambria Math" w:hAnsi="Cambria Math"/>
                          <w:bCs/>
                          <w:i/>
                        </w:rPr>
                      </m:ctrlPr>
                    </m:dPr>
                    <m:e>
                      <m:sSup>
                        <m:sSupPr>
                          <m:ctrlPr>
                            <w:rPr>
                              <w:rFonts w:ascii="Cambria Math" w:hAnsi="Cambria Math"/>
                              <w:bCs/>
                            </w:rPr>
                          </m:ctrlPr>
                        </m:sSupPr>
                        <m:e>
                          <m:r>
                            <m:rPr>
                              <m:sty m:val="b"/>
                            </m:rPr>
                            <w:rPr>
                              <w:rFonts w:ascii="Cambria Math" w:hAnsi="Cambria Math"/>
                            </w:rPr>
                            <m:t>x</m:t>
                          </m:r>
                        </m:e>
                        <m:sup>
                          <m:r>
                            <m:rPr>
                              <m:sty m:val="p"/>
                            </m:rPr>
                            <w:rPr>
                              <w:rFonts w:ascii="Cambria Math" w:hAnsi="Cambria Math"/>
                            </w:rPr>
                            <m:t>'</m:t>
                          </m:r>
                        </m:sup>
                      </m:sSup>
                      <m:sSub>
                        <m:sSubPr>
                          <m:ctrlPr>
                            <w:rPr>
                              <w:rFonts w:ascii="Cambria Math" w:hAnsi="Cambria Math"/>
                              <w:b/>
                              <w:bCs/>
                              <w:i/>
                            </w:rPr>
                          </m:ctrlPr>
                        </m:sSubPr>
                        <m:e>
                          <m:r>
                            <m:rPr>
                              <m:sty m:val="bi"/>
                            </m:rPr>
                            <w:rPr>
                              <w:rFonts w:ascii="Cambria Math" w:hAnsi="Cambria Math"/>
                            </w:rPr>
                            <m:t>β</m:t>
                          </m:r>
                        </m:e>
                        <m:sub>
                          <m:r>
                            <w:rPr>
                              <w:rFonts w:ascii="Cambria Math" w:hAnsi="Cambria Math"/>
                            </w:rPr>
                            <m:t>1</m:t>
                          </m:r>
                        </m:sub>
                      </m:sSub>
                      <m:ctrlPr>
                        <w:rPr>
                          <w:rFonts w:ascii="Cambria Math" w:hAnsi="Cambria Math"/>
                          <w:b/>
                          <w:bCs/>
                          <w:i/>
                        </w:rPr>
                      </m:ctrlPr>
                    </m:e>
                  </m:d>
                </m:e>
              </m:func>
            </m:den>
          </m:f>
          <m:r>
            <m:rPr>
              <m:sty m:val="bi"/>
            </m:rPr>
            <w:rPr>
              <w:rFonts w:ascii="Cambria Math" w:hAnsi="Cambria Math"/>
            </w:rPr>
            <m:t>)</m:t>
          </m:r>
        </m:oMath>
      </m:oMathPara>
    </w:p>
    <w:p w:rsidR="00842CAC" w:rsidRDefault="00842CAC" w:rsidP="00842CAC">
      <w:pPr>
        <w:spacing w:line="480" w:lineRule="auto"/>
        <w:ind w:firstLine="720"/>
        <w:jc w:val="both"/>
      </w:pPr>
      <w:r>
        <w:rPr>
          <w:bCs/>
        </w:rPr>
        <w:t>Probabilities for the remaining lower level reorganization choices in Figure 1 can be calculated in a similar fashion.</w:t>
      </w:r>
    </w:p>
    <w:p w:rsidR="00842CAC" w:rsidRDefault="00842CAC" w:rsidP="00842CAC">
      <w:pPr>
        <w:spacing w:line="480" w:lineRule="auto"/>
        <w:ind w:firstLine="720"/>
        <w:jc w:val="both"/>
      </w:pPr>
      <w:r>
        <w:t xml:space="preserve">This study spans a complex and diverse area of the British government.  To examine other possible effects, we include several alternative models presented in tables S1 and S2 employing different specifications.  The first of these, the limited model, includes just the core variables for our hypotheses.  We also measured mission conflict using a combination of the 2005 and 2010 </w:t>
      </w:r>
      <w:proofErr w:type="spellStart"/>
      <w:r>
        <w:t>Labour</w:t>
      </w:r>
      <w:proofErr w:type="spellEnd"/>
      <w:r>
        <w:t xml:space="preserve"> Party platforms in the “averaged mission conflict” model.  Furthermore, we have some expenditure data, so we include an “adds expenditures” model to further control for agency size (so, in addition to the FTE variable).  We also add a “different era indicators” model to reflect the potential impact of a more delayed learning component from Carpenter and Lewis (2004).  For all of these models, we include the model Bayesian Information Criterion (BIC) to provide some relative sense of the fit of each model.  </w:t>
      </w:r>
    </w:p>
    <w:p w:rsidR="00842CAC" w:rsidRDefault="00842CAC" w:rsidP="00842CAC">
      <w:pPr>
        <w:spacing w:line="480" w:lineRule="auto"/>
        <w:ind w:firstLine="720"/>
        <w:jc w:val="both"/>
      </w:pPr>
      <w:r>
        <w:lastRenderedPageBreak/>
        <w:t xml:space="preserve">Most of the results included in Tables S1 and S2 are fairly robust and consistent across models.  We estimated additional unreported specifications, largely focused on the patronage hypothesis.  These included models with variables included capturing whether the NDPB had no ministerial appointments to grant, the OCPA monitor appointments, both, and those variables interacted.  We were particularly interested about whether NDPBs with appointments at the gift of ministers and little oversight would have different outcomes than other NDPBs; that interaction was not significant at any of the three levels in that model.     </w:t>
      </w:r>
    </w:p>
    <w:p w:rsidR="00842CAC" w:rsidRPr="0000168D" w:rsidRDefault="00842CAC" w:rsidP="00842CAC">
      <w:pPr>
        <w:spacing w:line="480" w:lineRule="auto"/>
        <w:ind w:firstLine="720"/>
        <w:jc w:val="both"/>
      </w:pPr>
      <w:r>
        <w:t xml:space="preserve">Table S3 presents a multinomial logit model with the same variables.  Note that with this model it is difficult to do direct comparisons between integrate and abolish, for example, with the base category as retention.  On the other hand, many similar patterns appear as in our other specifications, but the multinomial logit model is less theoretically consistent than the approach we employ.  There are other multinomial choice models—nested logit or multinomial </w:t>
      </w:r>
      <w:proofErr w:type="spellStart"/>
      <w:r>
        <w:t>probit</w:t>
      </w:r>
      <w:proofErr w:type="spellEnd"/>
      <w:r>
        <w:t xml:space="preserve">—that one might wish to use to analyze this type of data.  Those models can overcome the theoretical concern about the independence of irrelevant alternatives (IIA) property discussed in the text.  Unfortunately, they require something for which it has proven impossible to document in our data, namely, details about the specific dispositional alternatives for each agency, including alternatives not chosen.  This alternative-specific (rather than observation-specific) data allows this model to identify how close a substitute one choice is for another, i.e., how similar integration into a ministerial department is to total abolition of functions. One might think about doing this with something like budgetary information:  how much would the government have spent on the </w:t>
      </w:r>
      <w:proofErr w:type="gramStart"/>
      <w:r>
        <w:t>agency were</w:t>
      </w:r>
      <w:proofErr w:type="gramEnd"/>
      <w:r>
        <w:t xml:space="preserve"> it to be integrated rather than abolished?  Nevertheless, this type of data does not exist in this particular context: the government could have chosen </w:t>
      </w:r>
      <w:r>
        <w:rPr>
          <w:i/>
        </w:rPr>
        <w:t>any</w:t>
      </w:r>
      <w:r>
        <w:t xml:space="preserve"> budgetary level for an integrated agency and never had to select from a specific menu of costs.  In particular, as an element of agenda setting, the government could arbitrarily </w:t>
      </w:r>
      <w:r>
        <w:lastRenderedPageBreak/>
        <w:t xml:space="preserve">specify any level of resources for an alternative it does not intend to choose.  This sort of choice would be more readily imaginable in a system like the United States, where Congress might offer the Executive specific choices.  In the absence of a well-defined set of choices, it is better to apply the sequential logit model here; we are estimating the probabilities the government chooses any particular action at any particular node, without being required to invent details.  </w:t>
      </w:r>
    </w:p>
    <w:p w:rsidR="00842CAC" w:rsidRDefault="00842CAC" w:rsidP="00842CAC">
      <w:pPr>
        <w:jc w:val="both"/>
      </w:pPr>
      <w:r>
        <w:br w:type="page"/>
      </w:r>
    </w:p>
    <w:p w:rsidR="00842CAC" w:rsidRDefault="00842CAC" w:rsidP="00842CAC">
      <w:pPr>
        <w:pStyle w:val="Sinclair1"/>
        <w:jc w:val="both"/>
        <w:outlineLvl w:val="0"/>
        <w:rPr>
          <w:b/>
        </w:rPr>
      </w:pPr>
      <w:r>
        <w:rPr>
          <w:b/>
        </w:rPr>
        <w:lastRenderedPageBreak/>
        <w:t>Table S1:  Comparing Specifications, Level 1 Effects</w:t>
      </w:r>
    </w:p>
    <w:p w:rsidR="00842CAC" w:rsidRPr="00602018" w:rsidRDefault="00842CAC" w:rsidP="00842CAC">
      <w:pPr>
        <w:pStyle w:val="Sinclair1"/>
        <w:jc w:val="both"/>
        <w:outlineLvl w:val="0"/>
      </w:pPr>
      <w:r>
        <w:t xml:space="preserve">Significance: </w:t>
      </w:r>
      <w:r w:rsidRPr="00602018">
        <w:t>** = 0.05</w:t>
      </w:r>
      <w:r>
        <w:t>;</w:t>
      </w:r>
      <w:r w:rsidRPr="00602018">
        <w:t xml:space="preserve"> </w:t>
      </w:r>
      <w:r>
        <w:t xml:space="preserve">* </w:t>
      </w:r>
      <w:r w:rsidRPr="00602018">
        <w:t>= 0.10</w:t>
      </w:r>
      <w:r>
        <w:t>;</w:t>
      </w:r>
      <w:r w:rsidRPr="00602018">
        <w:t xml:space="preserve"> †</w:t>
      </w:r>
      <w:r>
        <w:t xml:space="preserve"> &gt;</w:t>
      </w:r>
      <w:r w:rsidRPr="00602018">
        <w:t xml:space="preserve"> 0.10 by 0.01 or less.  </w:t>
      </w:r>
    </w:p>
    <w:p w:rsidR="00842CAC" w:rsidRDefault="00842CAC" w:rsidP="00842CAC">
      <w:pPr>
        <w:pStyle w:val="Sinclair1"/>
        <w:jc w:val="both"/>
        <w:rPr>
          <w:b/>
        </w:rPr>
      </w:pPr>
    </w:p>
    <w:tbl>
      <w:tblPr>
        <w:tblW w:w="7758" w:type="dxa"/>
        <w:tblInd w:w="93" w:type="dxa"/>
        <w:tblLook w:val="04A0" w:firstRow="1" w:lastRow="0" w:firstColumn="1" w:lastColumn="0" w:noHBand="0" w:noVBand="1"/>
      </w:tblPr>
      <w:tblGrid>
        <w:gridCol w:w="2556"/>
        <w:gridCol w:w="996"/>
        <w:gridCol w:w="996"/>
        <w:gridCol w:w="1149"/>
        <w:gridCol w:w="1483"/>
        <w:gridCol w:w="1176"/>
      </w:tblGrid>
      <w:tr w:rsidR="00842CAC" w:rsidRPr="008C3436" w:rsidTr="00C258B8">
        <w:trPr>
          <w:trHeight w:val="300"/>
        </w:trPr>
        <w:tc>
          <w:tcPr>
            <w:tcW w:w="2556" w:type="dxa"/>
            <w:tcBorders>
              <w:bottom w:val="double" w:sz="4" w:space="0" w:color="auto"/>
              <w:righ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Pr>
                <w:rFonts w:eastAsia="Times New Roman"/>
                <w:color w:val="000000"/>
              </w:rPr>
              <w:t>Remove Rather than Maintain Independence</w:t>
            </w:r>
          </w:p>
        </w:tc>
        <w:tc>
          <w:tcPr>
            <w:tcW w:w="960" w:type="dxa"/>
            <w:tcBorders>
              <w:left w:val="single" w:sz="4" w:space="0" w:color="auto"/>
              <w:bottom w:val="double" w:sz="4" w:space="0" w:color="auto"/>
            </w:tcBorders>
            <w:shd w:val="clear" w:color="auto" w:fill="auto"/>
            <w:noWrap/>
            <w:vAlign w:val="bottom"/>
            <w:hideMark/>
          </w:tcPr>
          <w:p w:rsidR="00842CAC" w:rsidRPr="008C3436" w:rsidRDefault="00842CAC" w:rsidP="00C258B8">
            <w:pPr>
              <w:jc w:val="center"/>
              <w:rPr>
                <w:rFonts w:ascii="Calibri" w:eastAsia="Times New Roman" w:hAnsi="Calibri"/>
                <w:b/>
                <w:bCs/>
                <w:i/>
                <w:iCs/>
                <w:color w:val="000000"/>
              </w:rPr>
            </w:pPr>
            <w:r w:rsidRPr="00EE20F1">
              <w:rPr>
                <w:rFonts w:eastAsia="Times New Roman"/>
                <w:color w:val="000000"/>
              </w:rPr>
              <w:t>Limited Model</w:t>
            </w:r>
          </w:p>
        </w:tc>
        <w:tc>
          <w:tcPr>
            <w:tcW w:w="960" w:type="dxa"/>
            <w:tcBorders>
              <w:bottom w:val="double" w:sz="4" w:space="0" w:color="auto"/>
            </w:tcBorders>
            <w:shd w:val="clear" w:color="auto" w:fill="auto"/>
            <w:noWrap/>
            <w:vAlign w:val="bottom"/>
            <w:hideMark/>
          </w:tcPr>
          <w:p w:rsidR="00842CAC" w:rsidRPr="008C3436" w:rsidRDefault="00842CAC" w:rsidP="00C258B8">
            <w:pPr>
              <w:jc w:val="center"/>
              <w:rPr>
                <w:rFonts w:ascii="Calibri" w:eastAsia="Times New Roman" w:hAnsi="Calibri"/>
                <w:b/>
                <w:bCs/>
                <w:i/>
                <w:iCs/>
                <w:color w:val="000000"/>
              </w:rPr>
            </w:pPr>
            <w:r w:rsidRPr="00EE20F1">
              <w:rPr>
                <w:rFonts w:eastAsia="Times New Roman"/>
                <w:color w:val="000000"/>
              </w:rPr>
              <w:t>Main Model</w:t>
            </w:r>
          </w:p>
        </w:tc>
        <w:tc>
          <w:tcPr>
            <w:tcW w:w="994" w:type="dxa"/>
            <w:tcBorders>
              <w:bottom w:val="double" w:sz="4" w:space="0" w:color="auto"/>
            </w:tcBorders>
            <w:shd w:val="clear" w:color="auto" w:fill="auto"/>
            <w:noWrap/>
            <w:vAlign w:val="bottom"/>
            <w:hideMark/>
          </w:tcPr>
          <w:p w:rsidR="00842CAC" w:rsidRPr="008C3436" w:rsidRDefault="00842CAC" w:rsidP="00C258B8">
            <w:pPr>
              <w:jc w:val="center"/>
              <w:rPr>
                <w:rFonts w:ascii="Calibri" w:eastAsia="Times New Roman" w:hAnsi="Calibri"/>
                <w:b/>
                <w:bCs/>
                <w:i/>
                <w:iCs/>
                <w:color w:val="000000"/>
              </w:rPr>
            </w:pPr>
            <w:r w:rsidRPr="00EE20F1">
              <w:rPr>
                <w:rFonts w:eastAsia="Times New Roman"/>
                <w:color w:val="000000"/>
              </w:rPr>
              <w:t>Averaged Mission Conflict</w:t>
            </w:r>
          </w:p>
        </w:tc>
        <w:tc>
          <w:tcPr>
            <w:tcW w:w="1272" w:type="dxa"/>
            <w:tcBorders>
              <w:bottom w:val="double" w:sz="4" w:space="0" w:color="auto"/>
            </w:tcBorders>
            <w:shd w:val="clear" w:color="auto" w:fill="auto"/>
            <w:noWrap/>
            <w:vAlign w:val="bottom"/>
            <w:hideMark/>
          </w:tcPr>
          <w:p w:rsidR="00842CAC" w:rsidRPr="008C3436" w:rsidRDefault="00842CAC" w:rsidP="00C258B8">
            <w:pPr>
              <w:jc w:val="center"/>
              <w:rPr>
                <w:rFonts w:ascii="Calibri" w:eastAsia="Times New Roman" w:hAnsi="Calibri"/>
                <w:b/>
                <w:bCs/>
                <w:i/>
                <w:iCs/>
                <w:color w:val="000000"/>
              </w:rPr>
            </w:pPr>
            <w:r w:rsidRPr="00EE20F1">
              <w:rPr>
                <w:rFonts w:eastAsia="Times New Roman"/>
                <w:color w:val="000000"/>
              </w:rPr>
              <w:t>Adds Expenditures</w:t>
            </w:r>
          </w:p>
        </w:tc>
        <w:tc>
          <w:tcPr>
            <w:tcW w:w="1016" w:type="dxa"/>
            <w:tcBorders>
              <w:bottom w:val="double" w:sz="4" w:space="0" w:color="auto"/>
            </w:tcBorders>
            <w:shd w:val="clear" w:color="auto" w:fill="auto"/>
            <w:noWrap/>
            <w:vAlign w:val="bottom"/>
            <w:hideMark/>
          </w:tcPr>
          <w:p w:rsidR="00842CAC" w:rsidRPr="008C3436" w:rsidRDefault="00842CAC" w:rsidP="00C258B8">
            <w:pPr>
              <w:jc w:val="center"/>
              <w:rPr>
                <w:rFonts w:ascii="Calibri" w:eastAsia="Times New Roman" w:hAnsi="Calibri"/>
                <w:b/>
                <w:bCs/>
                <w:i/>
                <w:iCs/>
                <w:color w:val="000000"/>
              </w:rPr>
            </w:pPr>
            <w:r w:rsidRPr="00EE20F1">
              <w:rPr>
                <w:rFonts w:eastAsia="Times New Roman"/>
                <w:color w:val="000000"/>
              </w:rPr>
              <w:t>Different Era Indicators</w:t>
            </w:r>
          </w:p>
        </w:tc>
      </w:tr>
      <w:tr w:rsidR="00842CAC" w:rsidRPr="008C3436" w:rsidTr="00C258B8">
        <w:trPr>
          <w:trHeight w:val="300"/>
        </w:trPr>
        <w:tc>
          <w:tcPr>
            <w:tcW w:w="2556" w:type="dxa"/>
            <w:tcBorders>
              <w:top w:val="double" w:sz="4" w:space="0" w:color="auto"/>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NDPB Mission Conflict</w:t>
            </w:r>
          </w:p>
        </w:tc>
        <w:tc>
          <w:tcPr>
            <w:tcW w:w="960" w:type="dxa"/>
            <w:tcBorders>
              <w:top w:val="double" w:sz="4" w:space="0" w:color="auto"/>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-0.21**</w:t>
            </w:r>
          </w:p>
        </w:tc>
        <w:tc>
          <w:tcPr>
            <w:tcW w:w="960" w:type="dxa"/>
            <w:tcBorders>
              <w:top w:val="doub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-0.15**</w:t>
            </w:r>
          </w:p>
        </w:tc>
        <w:tc>
          <w:tcPr>
            <w:tcW w:w="994" w:type="dxa"/>
            <w:tcBorders>
              <w:top w:val="doub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-0.17**</w:t>
            </w:r>
          </w:p>
        </w:tc>
        <w:tc>
          <w:tcPr>
            <w:tcW w:w="1272" w:type="dxa"/>
            <w:tcBorders>
              <w:top w:val="doub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-0.15**</w:t>
            </w:r>
          </w:p>
        </w:tc>
        <w:tc>
          <w:tcPr>
            <w:tcW w:w="1016" w:type="dxa"/>
            <w:tcBorders>
              <w:top w:val="doub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-0.15**</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Policy Area Conflict</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0.40**</w:t>
            </w: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0.44**</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0.44**</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0.44**</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0.45**</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Gov't Operations Indicator</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-6.72**</w:t>
            </w: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-7.38**</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-7.27**</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-7.37**</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-7.37**</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Founded: G. Brown</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0.07</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0.04</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0.10</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Founded: T. Blair</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0.24</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0.19</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0.25</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 xml:space="preserve">Founded: New </w:t>
            </w:r>
            <w:proofErr w:type="spellStart"/>
            <w:r w:rsidRPr="00EE20F1">
              <w:rPr>
                <w:rFonts w:eastAsia="Times New Roman"/>
                <w:color w:val="000000"/>
              </w:rPr>
              <w:t>Labour</w:t>
            </w:r>
            <w:proofErr w:type="spellEnd"/>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p>
        </w:tc>
        <w:tc>
          <w:tcPr>
            <w:tcW w:w="994" w:type="dxa"/>
            <w:shd w:val="clear" w:color="auto" w:fill="auto"/>
            <w:noWrap/>
            <w:vAlign w:val="bottom"/>
            <w:hideMark/>
          </w:tcPr>
          <w:p w:rsidR="00842CAC" w:rsidRPr="00EE20F1" w:rsidRDefault="00842CAC" w:rsidP="00C258B8">
            <w:pPr>
              <w:jc w:val="both"/>
              <w:rPr>
                <w:rFonts w:eastAsia="Times New Roman"/>
                <w:color w:val="000000"/>
              </w:rPr>
            </w:pPr>
          </w:p>
        </w:tc>
        <w:tc>
          <w:tcPr>
            <w:tcW w:w="1272" w:type="dxa"/>
            <w:shd w:val="clear" w:color="auto" w:fill="auto"/>
            <w:noWrap/>
            <w:vAlign w:val="bottom"/>
            <w:hideMark/>
          </w:tcPr>
          <w:p w:rsidR="00842CAC" w:rsidRPr="00EE20F1" w:rsidRDefault="00842CAC" w:rsidP="00C258B8">
            <w:pPr>
              <w:jc w:val="both"/>
              <w:rPr>
                <w:rFonts w:eastAsia="Times New Roman"/>
                <w:color w:val="000000"/>
              </w:rPr>
            </w:pP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-0.07</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Founded: Thatcher or Major</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p>
        </w:tc>
        <w:tc>
          <w:tcPr>
            <w:tcW w:w="994" w:type="dxa"/>
            <w:shd w:val="clear" w:color="auto" w:fill="auto"/>
            <w:noWrap/>
            <w:vAlign w:val="bottom"/>
            <w:hideMark/>
          </w:tcPr>
          <w:p w:rsidR="00842CAC" w:rsidRPr="00EE20F1" w:rsidRDefault="00842CAC" w:rsidP="00C258B8">
            <w:pPr>
              <w:jc w:val="both"/>
              <w:rPr>
                <w:rFonts w:eastAsia="Times New Roman"/>
                <w:color w:val="000000"/>
              </w:rPr>
            </w:pPr>
          </w:p>
        </w:tc>
        <w:tc>
          <w:tcPr>
            <w:tcW w:w="1272" w:type="dxa"/>
            <w:shd w:val="clear" w:color="auto" w:fill="auto"/>
            <w:noWrap/>
            <w:vAlign w:val="bottom"/>
            <w:hideMark/>
          </w:tcPr>
          <w:p w:rsidR="00842CAC" w:rsidRPr="00EE20F1" w:rsidRDefault="00842CAC" w:rsidP="00C258B8">
            <w:pPr>
              <w:jc w:val="both"/>
              <w:rPr>
                <w:rFonts w:eastAsia="Times New Roman"/>
                <w:color w:val="000000"/>
              </w:rPr>
            </w:pP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-0.39</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NDPB Age</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-0.01**</w:t>
            </w: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-0.01*</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-0.01†</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-0.01**</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-0.01*</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Advisory Body</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1.28**</w:t>
            </w: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1.03**</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1.04**</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1.07**</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1.05**</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Public Meetings or Minutes</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0.25</w:t>
            </w: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0.49*</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0.54*</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0.49†</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0.54*</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Parent Dep't. Reformed</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1.77**</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1.80**</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1.75**</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1.76**</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(Log) Full Time Employees</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-0.13</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-0.13</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-0.15</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-0.12</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No FTE Indicator</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0.55</w:t>
            </w:r>
          </w:p>
        </w:tc>
        <w:tc>
          <w:tcPr>
            <w:tcW w:w="994"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0.53</w:t>
            </w: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0.67</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0.58</w:t>
            </w: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(Log) Expenditures</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p>
        </w:tc>
        <w:tc>
          <w:tcPr>
            <w:tcW w:w="994" w:type="dxa"/>
            <w:shd w:val="clear" w:color="auto" w:fill="auto"/>
            <w:noWrap/>
            <w:vAlign w:val="bottom"/>
            <w:hideMark/>
          </w:tcPr>
          <w:p w:rsidR="00842CAC" w:rsidRPr="00EE20F1" w:rsidRDefault="00842CAC" w:rsidP="00C258B8">
            <w:pPr>
              <w:jc w:val="both"/>
              <w:rPr>
                <w:rFonts w:eastAsia="Times New Roman"/>
                <w:color w:val="000000"/>
              </w:rPr>
            </w:pP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 xml:space="preserve"> 0.00</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p>
        </w:tc>
      </w:tr>
      <w:tr w:rsidR="00842CAC" w:rsidRPr="008C3436" w:rsidTr="00C258B8">
        <w:trPr>
          <w:trHeight w:val="300"/>
        </w:trPr>
        <w:tc>
          <w:tcPr>
            <w:tcW w:w="2556" w:type="dxa"/>
            <w:tcBorders>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No Expenditure Indicator</w:t>
            </w:r>
          </w:p>
        </w:tc>
        <w:tc>
          <w:tcPr>
            <w:tcW w:w="960" w:type="dxa"/>
            <w:tcBorders>
              <w:left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p>
        </w:tc>
        <w:tc>
          <w:tcPr>
            <w:tcW w:w="960" w:type="dxa"/>
            <w:shd w:val="clear" w:color="auto" w:fill="auto"/>
            <w:noWrap/>
            <w:vAlign w:val="bottom"/>
            <w:hideMark/>
          </w:tcPr>
          <w:p w:rsidR="00842CAC" w:rsidRPr="00EE20F1" w:rsidRDefault="00842CAC" w:rsidP="00C258B8">
            <w:pPr>
              <w:jc w:val="both"/>
              <w:rPr>
                <w:rFonts w:eastAsia="Times New Roman"/>
                <w:color w:val="000000"/>
              </w:rPr>
            </w:pPr>
          </w:p>
        </w:tc>
        <w:tc>
          <w:tcPr>
            <w:tcW w:w="994" w:type="dxa"/>
            <w:shd w:val="clear" w:color="auto" w:fill="auto"/>
            <w:noWrap/>
            <w:vAlign w:val="bottom"/>
            <w:hideMark/>
          </w:tcPr>
          <w:p w:rsidR="00842CAC" w:rsidRPr="00EE20F1" w:rsidRDefault="00842CAC" w:rsidP="00C258B8">
            <w:pPr>
              <w:jc w:val="both"/>
              <w:rPr>
                <w:rFonts w:eastAsia="Times New Roman"/>
                <w:color w:val="000000"/>
              </w:rPr>
            </w:pPr>
          </w:p>
        </w:tc>
        <w:tc>
          <w:tcPr>
            <w:tcW w:w="1272" w:type="dxa"/>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-0.37</w:t>
            </w:r>
          </w:p>
        </w:tc>
        <w:tc>
          <w:tcPr>
            <w:tcW w:w="1016" w:type="dxa"/>
            <w:shd w:val="clear" w:color="auto" w:fill="auto"/>
            <w:noWrap/>
            <w:vAlign w:val="bottom"/>
            <w:hideMark/>
          </w:tcPr>
          <w:p w:rsidR="00842CAC" w:rsidRPr="00EE20F1" w:rsidRDefault="00842CAC" w:rsidP="00C258B8">
            <w:pPr>
              <w:jc w:val="both"/>
              <w:rPr>
                <w:rFonts w:eastAsia="Times New Roman"/>
                <w:color w:val="000000"/>
              </w:rPr>
            </w:pPr>
          </w:p>
        </w:tc>
      </w:tr>
      <w:tr w:rsidR="00842CAC" w:rsidRPr="008C3436" w:rsidTr="00C258B8">
        <w:trPr>
          <w:trHeight w:val="300"/>
        </w:trPr>
        <w:tc>
          <w:tcPr>
            <w:tcW w:w="2556" w:type="dxa"/>
            <w:tcBorders>
              <w:bottom w:val="single" w:sz="4" w:space="0" w:color="auto"/>
              <w:right w:val="single" w:sz="4" w:space="0" w:color="auto"/>
            </w:tcBorders>
            <w:shd w:val="clear" w:color="auto" w:fill="auto"/>
            <w:noWrap/>
            <w:vAlign w:val="bottom"/>
            <w:hideMark/>
          </w:tcPr>
          <w:p w:rsidR="00842CAC" w:rsidRPr="00EE20F1" w:rsidRDefault="00842CAC" w:rsidP="00C258B8">
            <w:pPr>
              <w:rPr>
                <w:rFonts w:eastAsia="Times New Roman"/>
                <w:color w:val="000000"/>
              </w:rPr>
            </w:pPr>
            <w:r w:rsidRPr="00EE20F1">
              <w:rPr>
                <w:rFonts w:eastAsia="Times New Roman"/>
                <w:color w:val="000000"/>
              </w:rPr>
              <w:t>Constant</w:t>
            </w:r>
          </w:p>
        </w:tc>
        <w:tc>
          <w:tcPr>
            <w:tcW w:w="960" w:type="dxa"/>
            <w:tcBorders>
              <w:left w:val="single" w:sz="4" w:space="0" w:color="auto"/>
              <w:bottom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-1.17**</w:t>
            </w:r>
          </w:p>
        </w:tc>
        <w:tc>
          <w:tcPr>
            <w:tcW w:w="960" w:type="dxa"/>
            <w:tcBorders>
              <w:bottom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-2.38**</w:t>
            </w:r>
          </w:p>
        </w:tc>
        <w:tc>
          <w:tcPr>
            <w:tcW w:w="994" w:type="dxa"/>
            <w:tcBorders>
              <w:bottom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-2.47**</w:t>
            </w:r>
          </w:p>
        </w:tc>
        <w:tc>
          <w:tcPr>
            <w:tcW w:w="1272" w:type="dxa"/>
            <w:tcBorders>
              <w:bottom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-2.20*</w:t>
            </w:r>
          </w:p>
        </w:tc>
        <w:tc>
          <w:tcPr>
            <w:tcW w:w="1016" w:type="dxa"/>
            <w:tcBorders>
              <w:bottom w:val="single" w:sz="4" w:space="0" w:color="auto"/>
            </w:tcBorders>
            <w:shd w:val="clear" w:color="auto" w:fill="auto"/>
            <w:noWrap/>
            <w:vAlign w:val="bottom"/>
            <w:hideMark/>
          </w:tcPr>
          <w:p w:rsidR="00842CAC" w:rsidRPr="00EE20F1" w:rsidRDefault="00842CAC" w:rsidP="00C258B8">
            <w:pPr>
              <w:jc w:val="both"/>
              <w:rPr>
                <w:rFonts w:eastAsia="Times New Roman"/>
                <w:color w:val="000000"/>
              </w:rPr>
            </w:pPr>
            <w:r w:rsidRPr="00EE20F1">
              <w:rPr>
                <w:rFonts w:eastAsia="Times New Roman"/>
                <w:color w:val="000000"/>
              </w:rPr>
              <w:t>-2.17**</w:t>
            </w:r>
          </w:p>
        </w:tc>
      </w:tr>
      <w:tr w:rsidR="00842CAC" w:rsidRPr="008C3436" w:rsidTr="00C258B8">
        <w:trPr>
          <w:trHeight w:val="300"/>
        </w:trPr>
        <w:tc>
          <w:tcPr>
            <w:tcW w:w="2556" w:type="dxa"/>
            <w:tcBorders>
              <w:top w:val="single" w:sz="4" w:space="0" w:color="auto"/>
              <w:right w:val="single" w:sz="4" w:space="0" w:color="auto"/>
            </w:tcBorders>
            <w:shd w:val="clear" w:color="auto" w:fill="auto"/>
            <w:noWrap/>
            <w:vAlign w:val="bottom"/>
          </w:tcPr>
          <w:p w:rsidR="00842CAC" w:rsidRPr="00EE20F1" w:rsidRDefault="00842CAC" w:rsidP="00C258B8">
            <w:pPr>
              <w:rPr>
                <w:rFonts w:eastAsia="Times New Roman"/>
                <w:color w:val="000000"/>
              </w:rPr>
            </w:pPr>
            <w:r w:rsidRPr="00EE20F1">
              <w:rPr>
                <w:rFonts w:eastAsia="Times New Roman"/>
                <w:color w:val="000000"/>
              </w:rPr>
              <w:t>Model BIC</w:t>
            </w:r>
          </w:p>
        </w:tc>
        <w:tc>
          <w:tcPr>
            <w:tcW w:w="960" w:type="dxa"/>
            <w:tcBorders>
              <w:top w:val="single" w:sz="4" w:space="0" w:color="auto"/>
              <w:left w:val="single" w:sz="4" w:space="0" w:color="auto"/>
            </w:tcBorders>
            <w:shd w:val="clear" w:color="auto" w:fill="auto"/>
            <w:noWrap/>
            <w:vAlign w:val="bottom"/>
          </w:tcPr>
          <w:p w:rsidR="00842CAC" w:rsidRPr="00EE20F1" w:rsidRDefault="00842CAC" w:rsidP="00C258B8">
            <w:pPr>
              <w:jc w:val="both"/>
              <w:rPr>
                <w:rFonts w:eastAsia="Times New Roman"/>
                <w:color w:val="000000"/>
              </w:rPr>
            </w:pPr>
            <w:r w:rsidRPr="00EE20F1">
              <w:rPr>
                <w:rFonts w:eastAsia="Times New Roman"/>
                <w:color w:val="000000"/>
              </w:rPr>
              <w:t>1020.05</w:t>
            </w:r>
          </w:p>
        </w:tc>
        <w:tc>
          <w:tcPr>
            <w:tcW w:w="960" w:type="dxa"/>
            <w:tcBorders>
              <w:top w:val="single" w:sz="4" w:space="0" w:color="auto"/>
            </w:tcBorders>
            <w:shd w:val="clear" w:color="auto" w:fill="auto"/>
            <w:noWrap/>
            <w:vAlign w:val="bottom"/>
          </w:tcPr>
          <w:p w:rsidR="00842CAC" w:rsidRPr="00EE20F1" w:rsidRDefault="00842CAC" w:rsidP="00C258B8">
            <w:pPr>
              <w:jc w:val="both"/>
              <w:rPr>
                <w:rFonts w:eastAsia="Times New Roman"/>
                <w:color w:val="000000"/>
              </w:rPr>
            </w:pPr>
            <w:r w:rsidRPr="00EE20F1">
              <w:rPr>
                <w:rFonts w:eastAsia="Times New Roman"/>
                <w:color w:val="000000"/>
              </w:rPr>
              <w:t>1035.77</w:t>
            </w:r>
          </w:p>
        </w:tc>
        <w:tc>
          <w:tcPr>
            <w:tcW w:w="994" w:type="dxa"/>
            <w:tcBorders>
              <w:top w:val="single" w:sz="4" w:space="0" w:color="auto"/>
            </w:tcBorders>
            <w:shd w:val="clear" w:color="auto" w:fill="auto"/>
            <w:noWrap/>
            <w:vAlign w:val="bottom"/>
          </w:tcPr>
          <w:p w:rsidR="00842CAC" w:rsidRPr="00EE20F1" w:rsidRDefault="00842CAC" w:rsidP="00C258B8">
            <w:pPr>
              <w:jc w:val="both"/>
              <w:rPr>
                <w:rFonts w:eastAsia="Times New Roman"/>
                <w:color w:val="000000"/>
              </w:rPr>
            </w:pPr>
            <w:r w:rsidRPr="00EE20F1">
              <w:rPr>
                <w:rFonts w:eastAsia="Times New Roman"/>
                <w:color w:val="000000"/>
              </w:rPr>
              <w:t>1032.93</w:t>
            </w:r>
          </w:p>
        </w:tc>
        <w:tc>
          <w:tcPr>
            <w:tcW w:w="1272" w:type="dxa"/>
            <w:tcBorders>
              <w:top w:val="single" w:sz="4" w:space="0" w:color="auto"/>
            </w:tcBorders>
            <w:shd w:val="clear" w:color="auto" w:fill="auto"/>
            <w:noWrap/>
            <w:vAlign w:val="bottom"/>
          </w:tcPr>
          <w:p w:rsidR="00842CAC" w:rsidRPr="00EE20F1" w:rsidRDefault="00842CAC" w:rsidP="00C258B8">
            <w:pPr>
              <w:jc w:val="both"/>
              <w:rPr>
                <w:rFonts w:eastAsia="Times New Roman"/>
                <w:color w:val="000000"/>
              </w:rPr>
            </w:pPr>
            <w:r w:rsidRPr="00EE20F1">
              <w:rPr>
                <w:rFonts w:eastAsia="Times New Roman"/>
                <w:color w:val="000000"/>
              </w:rPr>
              <w:t>1070.03</w:t>
            </w:r>
          </w:p>
        </w:tc>
        <w:tc>
          <w:tcPr>
            <w:tcW w:w="1016" w:type="dxa"/>
            <w:tcBorders>
              <w:top w:val="single" w:sz="4" w:space="0" w:color="auto"/>
            </w:tcBorders>
            <w:shd w:val="clear" w:color="auto" w:fill="auto"/>
            <w:noWrap/>
            <w:vAlign w:val="bottom"/>
          </w:tcPr>
          <w:p w:rsidR="00842CAC" w:rsidRPr="00EE20F1" w:rsidRDefault="00842CAC" w:rsidP="00C258B8">
            <w:pPr>
              <w:jc w:val="both"/>
              <w:rPr>
                <w:rFonts w:eastAsia="Times New Roman"/>
                <w:color w:val="000000"/>
              </w:rPr>
            </w:pPr>
            <w:r w:rsidRPr="00EE20F1">
              <w:rPr>
                <w:rFonts w:eastAsia="Times New Roman"/>
                <w:color w:val="000000"/>
              </w:rPr>
              <w:t>1037.62</w:t>
            </w:r>
          </w:p>
        </w:tc>
      </w:tr>
    </w:tbl>
    <w:p w:rsidR="00842CAC" w:rsidRPr="0059406F" w:rsidRDefault="00842CAC" w:rsidP="00842CAC">
      <w:pPr>
        <w:pStyle w:val="Sinclair1"/>
        <w:jc w:val="both"/>
      </w:pPr>
    </w:p>
    <w:p w:rsidR="00842CAC" w:rsidRDefault="00842CAC" w:rsidP="00842CAC">
      <w:pPr>
        <w:jc w:val="both"/>
        <w:rPr>
          <w:b/>
        </w:rPr>
      </w:pPr>
      <w:r>
        <w:rPr>
          <w:b/>
        </w:rPr>
        <w:br w:type="page"/>
      </w:r>
    </w:p>
    <w:p w:rsidR="00842CAC" w:rsidRPr="001E39B2" w:rsidRDefault="00842CAC" w:rsidP="00842CAC">
      <w:pPr>
        <w:pStyle w:val="Sinclair1"/>
        <w:jc w:val="both"/>
        <w:outlineLvl w:val="0"/>
        <w:rPr>
          <w:b/>
          <w:sz w:val="22"/>
          <w:szCs w:val="22"/>
        </w:rPr>
      </w:pPr>
      <w:r w:rsidRPr="001E39B2">
        <w:rPr>
          <w:b/>
          <w:sz w:val="22"/>
          <w:szCs w:val="22"/>
        </w:rPr>
        <w:lastRenderedPageBreak/>
        <w:t xml:space="preserve">Table S2:  Comparing Alternative Sequential Logit Specifications </w:t>
      </w:r>
    </w:p>
    <w:tbl>
      <w:tblPr>
        <w:tblW w:w="7758" w:type="dxa"/>
        <w:tblInd w:w="93" w:type="dxa"/>
        <w:tblLook w:val="04A0" w:firstRow="1" w:lastRow="0" w:firstColumn="1" w:lastColumn="0" w:noHBand="0" w:noVBand="1"/>
      </w:tblPr>
      <w:tblGrid>
        <w:gridCol w:w="2556"/>
        <w:gridCol w:w="960"/>
        <w:gridCol w:w="960"/>
        <w:gridCol w:w="1072"/>
        <w:gridCol w:w="1377"/>
        <w:gridCol w:w="1096"/>
      </w:tblGrid>
      <w:tr w:rsidR="00842CAC" w:rsidRPr="001E39B2" w:rsidTr="00C258B8">
        <w:trPr>
          <w:trHeight w:val="300"/>
        </w:trPr>
        <w:tc>
          <w:tcPr>
            <w:tcW w:w="2556" w:type="dxa"/>
            <w:tcBorders>
              <w:bottom w:val="double" w:sz="4" w:space="0" w:color="auto"/>
              <w:right w:val="single" w:sz="4" w:space="0" w:color="auto"/>
            </w:tcBorders>
            <w:shd w:val="clear" w:color="auto" w:fill="auto"/>
            <w:noWrap/>
            <w:vAlign w:val="center"/>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 xml:space="preserve">Reform Rather </w:t>
            </w:r>
          </w:p>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Than Retain</w:t>
            </w:r>
          </w:p>
        </w:tc>
        <w:tc>
          <w:tcPr>
            <w:tcW w:w="960" w:type="dxa"/>
            <w:tcBorders>
              <w:left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Limited Model</w:t>
            </w:r>
          </w:p>
        </w:tc>
        <w:tc>
          <w:tcPr>
            <w:tcW w:w="960" w:type="dxa"/>
            <w:tcBorders>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Main Model</w:t>
            </w:r>
          </w:p>
        </w:tc>
        <w:tc>
          <w:tcPr>
            <w:tcW w:w="994" w:type="dxa"/>
            <w:tcBorders>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Averaged Mission Conflict</w:t>
            </w:r>
          </w:p>
        </w:tc>
        <w:tc>
          <w:tcPr>
            <w:tcW w:w="1272" w:type="dxa"/>
            <w:tcBorders>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Adds Expenditures</w:t>
            </w:r>
          </w:p>
        </w:tc>
        <w:tc>
          <w:tcPr>
            <w:tcW w:w="1016" w:type="dxa"/>
            <w:tcBorders>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Different Era Indicators</w:t>
            </w:r>
          </w:p>
        </w:tc>
      </w:tr>
      <w:tr w:rsidR="00842CAC" w:rsidRPr="001E39B2" w:rsidTr="00C258B8">
        <w:trPr>
          <w:trHeight w:val="300"/>
        </w:trPr>
        <w:tc>
          <w:tcPr>
            <w:tcW w:w="2556" w:type="dxa"/>
            <w:tcBorders>
              <w:top w:val="double" w:sz="4" w:space="0" w:color="auto"/>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NDPB Mission Conflict</w:t>
            </w:r>
          </w:p>
        </w:tc>
        <w:tc>
          <w:tcPr>
            <w:tcW w:w="960" w:type="dxa"/>
            <w:tcBorders>
              <w:top w:val="double" w:sz="4" w:space="0" w:color="auto"/>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0.13*</w:t>
            </w:r>
          </w:p>
        </w:tc>
        <w:tc>
          <w:tcPr>
            <w:tcW w:w="960"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0.16**</w:t>
            </w:r>
          </w:p>
        </w:tc>
        <w:tc>
          <w:tcPr>
            <w:tcW w:w="994"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0.19**</w:t>
            </w:r>
          </w:p>
        </w:tc>
        <w:tc>
          <w:tcPr>
            <w:tcW w:w="1272"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0.16**</w:t>
            </w:r>
          </w:p>
        </w:tc>
        <w:tc>
          <w:tcPr>
            <w:tcW w:w="1016"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0.15*</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Policy Area Conflict</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-0.21</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-0.19</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-0.23</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-0.18</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Gov't Operations Indicator</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4.49*</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4.42*</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3.91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4.71*</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4.04</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G. Brown</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-0.65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-0.60</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-0.62</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T. Blair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0.24</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0.32</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0.27</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 xml:space="preserve">Founded: New </w:t>
            </w:r>
            <w:proofErr w:type="spellStart"/>
            <w:r w:rsidRPr="001E39B2">
              <w:rPr>
                <w:rFonts w:eastAsia="Times New Roman"/>
                <w:color w:val="000000"/>
                <w:sz w:val="22"/>
                <w:szCs w:val="22"/>
              </w:rPr>
              <w:t>Labour</w:t>
            </w:r>
            <w:proofErr w:type="spellEnd"/>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-0.46</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Thatcher or Major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-0.56</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eastAsia="Times New Roman"/>
                <w:color w:val="000000"/>
                <w:sz w:val="22"/>
                <w:szCs w:val="22"/>
              </w:rPr>
            </w:pPr>
            <w:r w:rsidRPr="001E39B2">
              <w:rPr>
                <w:rFonts w:eastAsia="Times New Roman"/>
                <w:color w:val="000000"/>
                <w:sz w:val="22"/>
                <w:szCs w:val="22"/>
              </w:rPr>
              <w:t>NDPB Age</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-0.01**</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-0.01**</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-0.02*</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Advisory Body</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-0.88**</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-1.41**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-1.43**</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-1.29**</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-1.38**</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Public Meetings or Minutes</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0.09</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0.23</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0.22</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0.15</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0.37</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Parent Dep't. Reformed</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0.75**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0.73**</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0.73**</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0.67**</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(Log) Full Time Employees</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-0.36**</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-0.47**</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-0.35**</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No FTE Indicator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-1.24**</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-1.20**</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-1.31**</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-1.33**</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(Log) Expenditures</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0.11</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No Expenditure Indicator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1.27</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bottom w:val="single" w:sz="4" w:space="0" w:color="auto"/>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Constant</w:t>
            </w:r>
          </w:p>
        </w:tc>
        <w:tc>
          <w:tcPr>
            <w:tcW w:w="960" w:type="dxa"/>
            <w:tcBorders>
              <w:left w:val="single" w:sz="4" w:space="0" w:color="auto"/>
              <w:bottom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-0.49</w:t>
            </w:r>
          </w:p>
        </w:tc>
        <w:tc>
          <w:tcPr>
            <w:tcW w:w="960" w:type="dxa"/>
            <w:tcBorders>
              <w:bottom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0.63</w:t>
            </w:r>
          </w:p>
        </w:tc>
        <w:tc>
          <w:tcPr>
            <w:tcW w:w="994" w:type="dxa"/>
            <w:tcBorders>
              <w:bottom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0.65</w:t>
            </w:r>
          </w:p>
        </w:tc>
        <w:tc>
          <w:tcPr>
            <w:tcW w:w="1272" w:type="dxa"/>
            <w:tcBorders>
              <w:bottom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-0.62</w:t>
            </w:r>
          </w:p>
        </w:tc>
        <w:tc>
          <w:tcPr>
            <w:tcW w:w="1016" w:type="dxa"/>
            <w:tcBorders>
              <w:bottom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1.07</w:t>
            </w:r>
          </w:p>
        </w:tc>
      </w:tr>
      <w:tr w:rsidR="00842CAC" w:rsidRPr="001E39B2" w:rsidTr="00C258B8">
        <w:trPr>
          <w:trHeight w:val="300"/>
        </w:trPr>
        <w:tc>
          <w:tcPr>
            <w:tcW w:w="2556" w:type="dxa"/>
            <w:tcBorders>
              <w:top w:val="single" w:sz="4" w:space="0" w:color="auto"/>
              <w:bottom w:val="double" w:sz="4" w:space="0" w:color="auto"/>
              <w:right w:val="single" w:sz="4" w:space="0" w:color="auto"/>
            </w:tcBorders>
            <w:shd w:val="clear" w:color="auto" w:fill="auto"/>
            <w:noWrap/>
            <w:vAlign w:val="center"/>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 xml:space="preserve">Abolish Rather </w:t>
            </w:r>
          </w:p>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Than Integrate</w:t>
            </w:r>
          </w:p>
        </w:tc>
        <w:tc>
          <w:tcPr>
            <w:tcW w:w="960" w:type="dxa"/>
            <w:tcBorders>
              <w:top w:val="single" w:sz="4" w:space="0" w:color="auto"/>
              <w:left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Limited Model</w:t>
            </w:r>
          </w:p>
        </w:tc>
        <w:tc>
          <w:tcPr>
            <w:tcW w:w="960" w:type="dxa"/>
            <w:tcBorders>
              <w:top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Main Model</w:t>
            </w:r>
          </w:p>
        </w:tc>
        <w:tc>
          <w:tcPr>
            <w:tcW w:w="994" w:type="dxa"/>
            <w:tcBorders>
              <w:top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Averaged Mission Conflict</w:t>
            </w:r>
          </w:p>
        </w:tc>
        <w:tc>
          <w:tcPr>
            <w:tcW w:w="1272" w:type="dxa"/>
            <w:tcBorders>
              <w:top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Adds Expenditures</w:t>
            </w:r>
          </w:p>
        </w:tc>
        <w:tc>
          <w:tcPr>
            <w:tcW w:w="1016" w:type="dxa"/>
            <w:tcBorders>
              <w:top w:val="single" w:sz="4" w:space="0" w:color="auto"/>
              <w:bottom w:val="double" w:sz="4" w:space="0" w:color="auto"/>
            </w:tcBorders>
            <w:shd w:val="clear" w:color="auto" w:fill="auto"/>
            <w:noWrap/>
            <w:vAlign w:val="bottom"/>
          </w:tcPr>
          <w:p w:rsidR="00842CAC" w:rsidRPr="001E39B2" w:rsidRDefault="00842CAC" w:rsidP="00C258B8">
            <w:pPr>
              <w:tabs>
                <w:tab w:val="left" w:pos="7380"/>
              </w:tabs>
              <w:jc w:val="center"/>
              <w:rPr>
                <w:rFonts w:ascii="Calibri" w:eastAsia="Times New Roman" w:hAnsi="Calibri"/>
                <w:b/>
                <w:bCs/>
                <w:i/>
                <w:iCs/>
                <w:color w:val="000000"/>
                <w:sz w:val="22"/>
                <w:szCs w:val="22"/>
              </w:rPr>
            </w:pPr>
            <w:r w:rsidRPr="001E39B2">
              <w:rPr>
                <w:rFonts w:eastAsia="Times New Roman"/>
                <w:color w:val="000000"/>
                <w:sz w:val="22"/>
                <w:szCs w:val="22"/>
              </w:rPr>
              <w:t>Different Era Indicators</w:t>
            </w:r>
          </w:p>
        </w:tc>
      </w:tr>
      <w:tr w:rsidR="00842CAC" w:rsidRPr="001E39B2" w:rsidTr="00C258B8">
        <w:trPr>
          <w:trHeight w:val="300"/>
        </w:trPr>
        <w:tc>
          <w:tcPr>
            <w:tcW w:w="2556" w:type="dxa"/>
            <w:tcBorders>
              <w:top w:val="double" w:sz="4" w:space="0" w:color="auto"/>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NDPB Mission Conflict</w:t>
            </w:r>
          </w:p>
        </w:tc>
        <w:tc>
          <w:tcPr>
            <w:tcW w:w="960" w:type="dxa"/>
            <w:tcBorders>
              <w:top w:val="double" w:sz="4" w:space="0" w:color="auto"/>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-0.33**</w:t>
            </w:r>
          </w:p>
        </w:tc>
        <w:tc>
          <w:tcPr>
            <w:tcW w:w="960"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-0.29**</w:t>
            </w:r>
          </w:p>
        </w:tc>
        <w:tc>
          <w:tcPr>
            <w:tcW w:w="994"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-0.33**</w:t>
            </w:r>
          </w:p>
        </w:tc>
        <w:tc>
          <w:tcPr>
            <w:tcW w:w="1272"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-0.28*</w:t>
            </w:r>
          </w:p>
        </w:tc>
        <w:tc>
          <w:tcPr>
            <w:tcW w:w="1016" w:type="dxa"/>
            <w:tcBorders>
              <w:top w:val="doub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-0.29**</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Policy Area Conflict</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0.13</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0.18</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0.20</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0.20</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0.16</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Gov't Operations Indicator</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-2.93</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-4.25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-4.35</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-4.69</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-4.04</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G. Brown</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1.13</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1.12</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1.16</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T. Blair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1.66**</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1.64**</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1.70**</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 xml:space="preserve">Founded: New </w:t>
            </w:r>
            <w:proofErr w:type="spellStart"/>
            <w:r w:rsidRPr="001E39B2">
              <w:rPr>
                <w:rFonts w:eastAsia="Times New Roman"/>
                <w:color w:val="000000"/>
                <w:sz w:val="22"/>
                <w:szCs w:val="22"/>
              </w:rPr>
              <w:t>Labour</w:t>
            </w:r>
            <w:proofErr w:type="spellEnd"/>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1.19</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Founded: Thatcher or Major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-0.59</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NDPB Age</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0.00</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0.01</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0.01</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Advisory Body</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1.21**</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1.00*</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1.01*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0.99*</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1.15*</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Public Meetings or Minutes</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-1.76**</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-2.11**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-2.01**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-2.15**</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-2.07**</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Parent Dep't. Reformed</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0.51</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0.54</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0.48</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0.49</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(Log) Full Time Employees</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-0.33</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-0.35</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-0.26</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-0.25</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No FTE Indicator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-1.05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-1.12</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-0.93</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-0.81</w:t>
            </w: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(Log) Expenditures</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-0.08</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No Expenditure Indicator</w:t>
            </w:r>
          </w:p>
        </w:tc>
        <w:tc>
          <w:tcPr>
            <w:tcW w:w="960" w:type="dxa"/>
            <w:tcBorders>
              <w:left w:val="single" w:sz="4" w:space="0" w:color="auto"/>
            </w:tcBorders>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60"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994"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-1.21</w:t>
            </w:r>
          </w:p>
        </w:tc>
        <w:tc>
          <w:tcPr>
            <w:tcW w:w="1016" w:type="dxa"/>
            <w:shd w:val="clear" w:color="auto" w:fill="auto"/>
            <w:noWrap/>
            <w:vAlign w:val="bottom"/>
          </w:tcPr>
          <w:p w:rsidR="00842CAC" w:rsidRPr="001E39B2" w:rsidRDefault="00842CAC" w:rsidP="00C258B8">
            <w:pPr>
              <w:tabs>
                <w:tab w:val="left" w:pos="7380"/>
              </w:tabs>
              <w:jc w:val="both"/>
              <w:rPr>
                <w:rFonts w:eastAsia="Times New Roman"/>
                <w:color w:val="000000"/>
                <w:sz w:val="22"/>
                <w:szCs w:val="22"/>
              </w:rPr>
            </w:pPr>
          </w:p>
        </w:tc>
      </w:tr>
      <w:tr w:rsidR="00842CAC" w:rsidRPr="001E39B2" w:rsidTr="00C258B8">
        <w:trPr>
          <w:trHeight w:val="300"/>
        </w:trPr>
        <w:tc>
          <w:tcPr>
            <w:tcW w:w="2556" w:type="dxa"/>
            <w:tcBorders>
              <w:right w:val="single" w:sz="4" w:space="0" w:color="auto"/>
            </w:tcBorders>
            <w:shd w:val="clear" w:color="auto" w:fill="auto"/>
            <w:noWrap/>
            <w:vAlign w:val="center"/>
            <w:hideMark/>
          </w:tcPr>
          <w:p w:rsidR="00842CAC" w:rsidRPr="001E39B2" w:rsidRDefault="00842CAC" w:rsidP="00C258B8">
            <w:pPr>
              <w:tabs>
                <w:tab w:val="left" w:pos="7380"/>
              </w:tabs>
              <w:rPr>
                <w:rFonts w:ascii="Calibri" w:eastAsia="Times New Roman" w:hAnsi="Calibri"/>
                <w:b/>
                <w:bCs/>
                <w:i/>
                <w:iCs/>
                <w:color w:val="000000"/>
                <w:sz w:val="22"/>
                <w:szCs w:val="22"/>
              </w:rPr>
            </w:pPr>
            <w:r w:rsidRPr="001E39B2">
              <w:rPr>
                <w:rFonts w:eastAsia="Times New Roman"/>
                <w:color w:val="000000"/>
                <w:sz w:val="22"/>
                <w:szCs w:val="22"/>
              </w:rPr>
              <w:t>Constant</w:t>
            </w:r>
          </w:p>
        </w:tc>
        <w:tc>
          <w:tcPr>
            <w:tcW w:w="960" w:type="dxa"/>
            <w:tcBorders>
              <w:left w:val="single" w:sz="4" w:space="0" w:color="auto"/>
            </w:tcBorders>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0.65</w:t>
            </w:r>
          </w:p>
        </w:tc>
        <w:tc>
          <w:tcPr>
            <w:tcW w:w="960"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0.25</w:t>
            </w:r>
          </w:p>
        </w:tc>
        <w:tc>
          <w:tcPr>
            <w:tcW w:w="994"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0.01</w:t>
            </w:r>
          </w:p>
        </w:tc>
        <w:tc>
          <w:tcPr>
            <w:tcW w:w="1272"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1.25</w:t>
            </w:r>
          </w:p>
        </w:tc>
        <w:tc>
          <w:tcPr>
            <w:tcW w:w="1016" w:type="dxa"/>
            <w:shd w:val="clear" w:color="auto" w:fill="auto"/>
            <w:noWrap/>
            <w:vAlign w:val="bottom"/>
            <w:hideMark/>
          </w:tcPr>
          <w:p w:rsidR="00842CAC" w:rsidRPr="001E39B2" w:rsidRDefault="00842CAC" w:rsidP="00C258B8">
            <w:pPr>
              <w:tabs>
                <w:tab w:val="left" w:pos="7380"/>
              </w:tabs>
              <w:jc w:val="both"/>
              <w:rPr>
                <w:rFonts w:eastAsia="Times New Roman"/>
                <w:color w:val="000000"/>
                <w:sz w:val="22"/>
                <w:szCs w:val="22"/>
              </w:rPr>
            </w:pPr>
            <w:r w:rsidRPr="001E39B2">
              <w:rPr>
                <w:rFonts w:eastAsia="Times New Roman"/>
                <w:color w:val="000000"/>
                <w:sz w:val="22"/>
                <w:szCs w:val="22"/>
              </w:rPr>
              <w:t xml:space="preserve"> 0.30</w:t>
            </w:r>
          </w:p>
        </w:tc>
      </w:tr>
    </w:tbl>
    <w:p w:rsidR="00842CAC" w:rsidRDefault="00842CAC" w:rsidP="00842CAC">
      <w:pPr>
        <w:pStyle w:val="Sinclair1"/>
        <w:tabs>
          <w:tab w:val="left" w:pos="7380"/>
        </w:tabs>
        <w:jc w:val="both"/>
        <w:rPr>
          <w:b/>
        </w:rPr>
        <w:sectPr w:rsidR="00842CAC" w:rsidSect="00051C3C">
          <w:pgSz w:w="12240" w:h="15840"/>
          <w:pgMar w:top="1296" w:right="1440" w:bottom="1440" w:left="1440" w:header="720" w:footer="720" w:gutter="0"/>
          <w:pgNumType w:start="1"/>
          <w:cols w:space="720"/>
          <w:docGrid w:linePitch="360"/>
        </w:sectPr>
      </w:pPr>
    </w:p>
    <w:p w:rsidR="00842CAC" w:rsidRDefault="00842CAC" w:rsidP="00842CAC">
      <w:pPr>
        <w:pStyle w:val="Sinclair1"/>
        <w:jc w:val="both"/>
      </w:pPr>
      <w:r>
        <w:rPr>
          <w:b/>
        </w:rPr>
        <w:lastRenderedPageBreak/>
        <w:t>Table S3: Multinomial Logit Model</w:t>
      </w:r>
    </w:p>
    <w:p w:rsidR="00842CAC" w:rsidRDefault="00842CAC" w:rsidP="00842CAC">
      <w:pPr>
        <w:pStyle w:val="Sinclair1"/>
        <w:ind w:right="1804"/>
        <w:jc w:val="both"/>
      </w:pPr>
      <w:r>
        <w:t>This model uses the same variable specifications as the previous models but a multinomial logit framework.  Retain without reform is the excluded category.</w:t>
      </w:r>
    </w:p>
    <w:p w:rsidR="00842CAC" w:rsidRDefault="00842CAC" w:rsidP="00842CAC">
      <w:pPr>
        <w:pStyle w:val="Sinclair1"/>
        <w:jc w:val="both"/>
      </w:pPr>
    </w:p>
    <w:tbl>
      <w:tblPr>
        <w:tblW w:w="9184" w:type="dxa"/>
        <w:tblInd w:w="93" w:type="dxa"/>
        <w:tblLook w:val="04A0" w:firstRow="1" w:lastRow="0" w:firstColumn="1" w:lastColumn="0" w:noHBand="0" w:noVBand="1"/>
      </w:tblPr>
      <w:tblGrid>
        <w:gridCol w:w="3345"/>
        <w:gridCol w:w="960"/>
        <w:gridCol w:w="960"/>
        <w:gridCol w:w="1039"/>
        <w:gridCol w:w="960"/>
        <w:gridCol w:w="960"/>
        <w:gridCol w:w="960"/>
      </w:tblGrid>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p>
        </w:tc>
        <w:tc>
          <w:tcPr>
            <w:tcW w:w="1920" w:type="dxa"/>
            <w:gridSpan w:val="2"/>
            <w:tcBorders>
              <w:top w:val="nil"/>
              <w:left w:val="nil"/>
              <w:bottom w:val="nil"/>
              <w:right w:val="single" w:sz="4" w:space="0" w:color="auto"/>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Reform</w:t>
            </w:r>
          </w:p>
        </w:tc>
        <w:tc>
          <w:tcPr>
            <w:tcW w:w="1999" w:type="dxa"/>
            <w:gridSpan w:val="2"/>
            <w:tcBorders>
              <w:top w:val="nil"/>
              <w:left w:val="single" w:sz="4" w:space="0" w:color="auto"/>
              <w:bottom w:val="nil"/>
              <w:right w:val="single" w:sz="4" w:space="0" w:color="auto"/>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Integrate</w:t>
            </w:r>
          </w:p>
        </w:tc>
        <w:tc>
          <w:tcPr>
            <w:tcW w:w="1920" w:type="dxa"/>
            <w:gridSpan w:val="2"/>
            <w:tcBorders>
              <w:top w:val="nil"/>
              <w:left w:val="single" w:sz="4" w:space="0" w:color="auto"/>
              <w:bottom w:val="nil"/>
              <w:right w:val="nil"/>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Abolish</w:t>
            </w:r>
          </w:p>
        </w:tc>
      </w:tr>
      <w:tr w:rsidR="00842CAC" w:rsidRPr="008C3436" w:rsidTr="00C258B8">
        <w:trPr>
          <w:trHeight w:val="300"/>
        </w:trPr>
        <w:tc>
          <w:tcPr>
            <w:tcW w:w="3345" w:type="dxa"/>
            <w:tcBorders>
              <w:top w:val="nil"/>
              <w:left w:val="nil"/>
              <w:bottom w:val="double" w:sz="4" w:space="0" w:color="auto"/>
              <w:right w:val="nil"/>
            </w:tcBorders>
            <w:shd w:val="clear" w:color="auto" w:fill="auto"/>
            <w:noWrap/>
            <w:vAlign w:val="center"/>
            <w:hideMark/>
          </w:tcPr>
          <w:p w:rsidR="00842CAC" w:rsidRPr="00BD72AB" w:rsidRDefault="00842CAC" w:rsidP="00C258B8">
            <w:pPr>
              <w:rPr>
                <w:rFonts w:eastAsia="Times New Roman"/>
                <w:color w:val="000000"/>
              </w:rPr>
            </w:pPr>
          </w:p>
        </w:tc>
        <w:tc>
          <w:tcPr>
            <w:tcW w:w="960" w:type="dxa"/>
            <w:tcBorders>
              <w:top w:val="nil"/>
              <w:left w:val="nil"/>
              <w:bottom w:val="double" w:sz="4" w:space="0" w:color="auto"/>
              <w:right w:val="nil"/>
            </w:tcBorders>
            <w:shd w:val="clear" w:color="auto" w:fill="auto"/>
            <w:noWrap/>
            <w:vAlign w:val="bottom"/>
            <w:hideMark/>
          </w:tcPr>
          <w:p w:rsidR="00842CAC" w:rsidRPr="00BD72AB" w:rsidRDefault="00842CAC" w:rsidP="00C258B8">
            <w:pPr>
              <w:jc w:val="center"/>
              <w:rPr>
                <w:rFonts w:eastAsia="Times New Roman"/>
                <w:color w:val="000000"/>
              </w:rPr>
            </w:pPr>
            <w:proofErr w:type="spellStart"/>
            <w:r w:rsidRPr="00BD72AB">
              <w:rPr>
                <w:rFonts w:eastAsia="Times New Roman"/>
                <w:color w:val="000000"/>
              </w:rPr>
              <w:t>Coef</w:t>
            </w:r>
            <w:proofErr w:type="spellEnd"/>
            <w:r w:rsidRPr="00BD72AB">
              <w:rPr>
                <w:rFonts w:eastAsia="Times New Roman"/>
                <w:color w:val="000000"/>
              </w:rPr>
              <w:t>.</w:t>
            </w:r>
          </w:p>
        </w:tc>
        <w:tc>
          <w:tcPr>
            <w:tcW w:w="960" w:type="dxa"/>
            <w:tcBorders>
              <w:top w:val="nil"/>
              <w:left w:val="nil"/>
              <w:bottom w:val="double" w:sz="4" w:space="0" w:color="auto"/>
              <w:right w:val="single" w:sz="4" w:space="0" w:color="auto"/>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p-value</w:t>
            </w:r>
          </w:p>
        </w:tc>
        <w:tc>
          <w:tcPr>
            <w:tcW w:w="1039" w:type="dxa"/>
            <w:tcBorders>
              <w:top w:val="nil"/>
              <w:left w:val="single" w:sz="4" w:space="0" w:color="auto"/>
              <w:bottom w:val="double" w:sz="4" w:space="0" w:color="auto"/>
              <w:right w:val="nil"/>
            </w:tcBorders>
            <w:shd w:val="clear" w:color="auto" w:fill="auto"/>
            <w:noWrap/>
            <w:vAlign w:val="bottom"/>
            <w:hideMark/>
          </w:tcPr>
          <w:p w:rsidR="00842CAC" w:rsidRPr="00BD72AB" w:rsidRDefault="00842CAC" w:rsidP="00C258B8">
            <w:pPr>
              <w:jc w:val="center"/>
              <w:rPr>
                <w:rFonts w:eastAsia="Times New Roman"/>
                <w:color w:val="000000"/>
              </w:rPr>
            </w:pPr>
            <w:proofErr w:type="spellStart"/>
            <w:r w:rsidRPr="00BD72AB">
              <w:rPr>
                <w:rFonts w:eastAsia="Times New Roman"/>
                <w:color w:val="000000"/>
              </w:rPr>
              <w:t>Coef</w:t>
            </w:r>
            <w:proofErr w:type="spellEnd"/>
            <w:r w:rsidRPr="00BD72AB">
              <w:rPr>
                <w:rFonts w:eastAsia="Times New Roman"/>
                <w:color w:val="000000"/>
              </w:rPr>
              <w:t>.</w:t>
            </w:r>
          </w:p>
        </w:tc>
        <w:tc>
          <w:tcPr>
            <w:tcW w:w="960" w:type="dxa"/>
            <w:tcBorders>
              <w:top w:val="nil"/>
              <w:left w:val="nil"/>
              <w:bottom w:val="double" w:sz="4" w:space="0" w:color="auto"/>
              <w:right w:val="single" w:sz="4" w:space="0" w:color="auto"/>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p-value</w:t>
            </w:r>
          </w:p>
        </w:tc>
        <w:tc>
          <w:tcPr>
            <w:tcW w:w="960" w:type="dxa"/>
            <w:tcBorders>
              <w:top w:val="nil"/>
              <w:left w:val="single" w:sz="4" w:space="0" w:color="auto"/>
              <w:bottom w:val="double" w:sz="4" w:space="0" w:color="auto"/>
              <w:right w:val="nil"/>
            </w:tcBorders>
            <w:shd w:val="clear" w:color="auto" w:fill="auto"/>
            <w:noWrap/>
            <w:vAlign w:val="bottom"/>
            <w:hideMark/>
          </w:tcPr>
          <w:p w:rsidR="00842CAC" w:rsidRPr="00BD72AB" w:rsidRDefault="00842CAC" w:rsidP="00C258B8">
            <w:pPr>
              <w:jc w:val="center"/>
              <w:rPr>
                <w:rFonts w:eastAsia="Times New Roman"/>
                <w:color w:val="000000"/>
              </w:rPr>
            </w:pPr>
            <w:proofErr w:type="spellStart"/>
            <w:r w:rsidRPr="00BD72AB">
              <w:rPr>
                <w:rFonts w:eastAsia="Times New Roman"/>
                <w:color w:val="000000"/>
              </w:rPr>
              <w:t>Coef</w:t>
            </w:r>
            <w:proofErr w:type="spellEnd"/>
            <w:r w:rsidRPr="00BD72AB">
              <w:rPr>
                <w:rFonts w:eastAsia="Times New Roman"/>
                <w:color w:val="000000"/>
              </w:rPr>
              <w:t>.</w:t>
            </w:r>
          </w:p>
        </w:tc>
        <w:tc>
          <w:tcPr>
            <w:tcW w:w="960" w:type="dxa"/>
            <w:tcBorders>
              <w:top w:val="nil"/>
              <w:left w:val="nil"/>
              <w:bottom w:val="double" w:sz="4" w:space="0" w:color="auto"/>
              <w:right w:val="nil"/>
            </w:tcBorders>
            <w:shd w:val="clear" w:color="auto" w:fill="auto"/>
            <w:noWrap/>
            <w:vAlign w:val="bottom"/>
            <w:hideMark/>
          </w:tcPr>
          <w:p w:rsidR="00842CAC" w:rsidRPr="00BD72AB" w:rsidRDefault="00842CAC" w:rsidP="00C258B8">
            <w:pPr>
              <w:jc w:val="center"/>
              <w:rPr>
                <w:rFonts w:eastAsia="Times New Roman"/>
                <w:color w:val="000000"/>
              </w:rPr>
            </w:pPr>
            <w:r w:rsidRPr="00BD72AB">
              <w:rPr>
                <w:rFonts w:eastAsia="Times New Roman"/>
                <w:color w:val="000000"/>
              </w:rPr>
              <w:t>p-value</w:t>
            </w:r>
          </w:p>
        </w:tc>
      </w:tr>
      <w:tr w:rsidR="00842CAC" w:rsidRPr="008C3436" w:rsidTr="00C258B8">
        <w:trPr>
          <w:trHeight w:val="300"/>
        </w:trPr>
        <w:tc>
          <w:tcPr>
            <w:tcW w:w="3345" w:type="dxa"/>
            <w:tcBorders>
              <w:top w:val="double" w:sz="4" w:space="0" w:color="auto"/>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NDPB Mission Conflict</w:t>
            </w:r>
          </w:p>
        </w:tc>
        <w:tc>
          <w:tcPr>
            <w:tcW w:w="960" w:type="dxa"/>
            <w:tcBorders>
              <w:top w:val="double" w:sz="4" w:space="0" w:color="auto"/>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0.17</w:t>
            </w:r>
            <w:r>
              <w:rPr>
                <w:rFonts w:eastAsia="Times New Roman"/>
                <w:color w:val="000000"/>
              </w:rPr>
              <w:t>**</w:t>
            </w:r>
          </w:p>
        </w:tc>
        <w:tc>
          <w:tcPr>
            <w:tcW w:w="960" w:type="dxa"/>
            <w:tcBorders>
              <w:top w:val="double" w:sz="4" w:space="0" w:color="auto"/>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0.03</w:t>
            </w:r>
          </w:p>
        </w:tc>
        <w:tc>
          <w:tcPr>
            <w:tcW w:w="1039" w:type="dxa"/>
            <w:tcBorders>
              <w:top w:val="double" w:sz="4" w:space="0" w:color="auto"/>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p>
        </w:tc>
        <w:tc>
          <w:tcPr>
            <w:tcW w:w="960" w:type="dxa"/>
            <w:tcBorders>
              <w:top w:val="double" w:sz="4" w:space="0" w:color="auto"/>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0.95</w:t>
            </w:r>
          </w:p>
        </w:tc>
        <w:tc>
          <w:tcPr>
            <w:tcW w:w="960" w:type="dxa"/>
            <w:tcBorders>
              <w:top w:val="double" w:sz="4" w:space="0" w:color="auto"/>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-0.24</w:t>
            </w:r>
            <w:r>
              <w:rPr>
                <w:rFonts w:eastAsia="Times New Roman"/>
                <w:color w:val="000000"/>
              </w:rPr>
              <w:t>**</w:t>
            </w:r>
          </w:p>
        </w:tc>
        <w:tc>
          <w:tcPr>
            <w:tcW w:w="960" w:type="dxa"/>
            <w:tcBorders>
              <w:top w:val="double" w:sz="4" w:space="0" w:color="auto"/>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0.03</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Policy Area Conflict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-0.21</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0.15</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0.32</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0.05</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0.50</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Gov't Operations Indicator</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4.27</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0.10</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-4.81</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0.10</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-8.60</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Founded: G. Brown</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-0.73</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0.17</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-0.32</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0.56</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0.29</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0.64</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Founded: T Blair</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0.08</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0.85</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-0.03</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0.95</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0.88</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0.08</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NDPB Age</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0.04</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-0.02</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0.04</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0.45</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Advisory Body</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-1.48</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0.21</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0.63</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0.88</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0.05</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Public Meetings or Minutes</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0.28</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0.45</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1.34</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-0.52</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0.24</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Parent Department Reformed</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0.73</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0.03</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1.73</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2.35</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(Log) Full Time Employees</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-0.37</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-0.16</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0.20</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-0.52</w:t>
            </w:r>
            <w:r>
              <w:rPr>
                <w:rFonts w:eastAsia="Times New Roman"/>
                <w:color w:val="000000"/>
              </w:rPr>
              <w: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No Employees Indicator</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-1.27</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0.01</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0.64</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0.23</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-0.70</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0.24</w:t>
            </w:r>
          </w:p>
        </w:tc>
      </w:tr>
      <w:tr w:rsidR="00842CAC" w:rsidRPr="008C3436" w:rsidTr="00C258B8">
        <w:trPr>
          <w:trHeight w:val="300"/>
        </w:trPr>
        <w:tc>
          <w:tcPr>
            <w:tcW w:w="3345"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Constant</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Pr>
                <w:rFonts w:eastAsia="Times New Roman"/>
                <w:color w:val="000000"/>
              </w:rPr>
              <w:t xml:space="preserve"> </w:t>
            </w:r>
            <w:r w:rsidRPr="00BD72AB">
              <w:rPr>
                <w:rFonts w:eastAsia="Times New Roman"/>
                <w:color w:val="000000"/>
              </w:rPr>
              <w:t>0.78</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0.22</w:t>
            </w:r>
          </w:p>
        </w:tc>
        <w:tc>
          <w:tcPr>
            <w:tcW w:w="1039"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-2.48</w:t>
            </w:r>
            <w:r>
              <w:rPr>
                <w:rFonts w:eastAsia="Times New Roman"/>
                <w:color w:val="000000"/>
              </w:rPr>
              <w:t>**</w:t>
            </w:r>
          </w:p>
        </w:tc>
        <w:tc>
          <w:tcPr>
            <w:tcW w:w="960" w:type="dxa"/>
            <w:tcBorders>
              <w:top w:val="nil"/>
              <w:left w:val="nil"/>
              <w:bottom w:val="nil"/>
              <w:right w:val="single" w:sz="4" w:space="0" w:color="auto"/>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0.00</w:t>
            </w:r>
          </w:p>
        </w:tc>
        <w:tc>
          <w:tcPr>
            <w:tcW w:w="960" w:type="dxa"/>
            <w:tcBorders>
              <w:top w:val="nil"/>
              <w:left w:val="single" w:sz="4" w:space="0" w:color="auto"/>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-1.73</w:t>
            </w:r>
          </w:p>
        </w:tc>
        <w:tc>
          <w:tcPr>
            <w:tcW w:w="960" w:type="dxa"/>
            <w:tcBorders>
              <w:top w:val="nil"/>
              <w:left w:val="nil"/>
              <w:bottom w:val="nil"/>
              <w:right w:val="nil"/>
            </w:tcBorders>
            <w:shd w:val="clear" w:color="auto" w:fill="auto"/>
            <w:noWrap/>
            <w:vAlign w:val="center"/>
            <w:hideMark/>
          </w:tcPr>
          <w:p w:rsidR="00842CAC" w:rsidRPr="00BD72AB" w:rsidRDefault="00842CAC" w:rsidP="00C258B8">
            <w:pPr>
              <w:rPr>
                <w:rFonts w:eastAsia="Times New Roman"/>
                <w:color w:val="000000"/>
              </w:rPr>
            </w:pPr>
            <w:r w:rsidRPr="00BD72AB">
              <w:rPr>
                <w:rFonts w:eastAsia="Times New Roman"/>
                <w:color w:val="000000"/>
              </w:rPr>
              <w:t>0.04</w:t>
            </w:r>
          </w:p>
        </w:tc>
      </w:tr>
    </w:tbl>
    <w:p w:rsidR="00842CAC" w:rsidRDefault="00842CAC" w:rsidP="00842CAC">
      <w:pPr>
        <w:pStyle w:val="Sinclair1"/>
        <w:jc w:val="both"/>
      </w:pPr>
      <w:r>
        <w:t xml:space="preserve"> </w:t>
      </w:r>
    </w:p>
    <w:p w:rsidR="00842CAC" w:rsidRPr="008C3436" w:rsidRDefault="00842CAC" w:rsidP="00842CAC">
      <w:pPr>
        <w:rPr>
          <w:rFonts w:eastAsia="Cambria"/>
        </w:rPr>
      </w:pPr>
      <w:r>
        <w:br w:type="page"/>
      </w:r>
    </w:p>
    <w:p w:rsidR="00842CAC" w:rsidRPr="007E0ACD" w:rsidRDefault="00842CAC" w:rsidP="00842CAC">
      <w:pPr>
        <w:pStyle w:val="Author"/>
        <w:rPr>
          <w:rFonts w:ascii="Times New Roman" w:hAnsi="Times New Roman"/>
          <w:b/>
        </w:rPr>
      </w:pPr>
      <w:r>
        <w:rPr>
          <w:rFonts w:ascii="Times New Roman" w:hAnsi="Times New Roman"/>
          <w:b/>
        </w:rPr>
        <w:lastRenderedPageBreak/>
        <w:t>Table S4</w:t>
      </w:r>
      <w:r w:rsidRPr="007E0ACD">
        <w:rPr>
          <w:rFonts w:ascii="Times New Roman" w:hAnsi="Times New Roman"/>
          <w:b/>
        </w:rPr>
        <w:t>: Comparison of our preferred specification (PS) to a model proposed by R2 with Squared and Cubed Mission Conflict (SQ)</w:t>
      </w:r>
    </w:p>
    <w:p w:rsidR="00842CAC" w:rsidRPr="00FD59DC" w:rsidRDefault="00842CAC" w:rsidP="00842CAC">
      <w:pPr>
        <w:pStyle w:val="Author"/>
        <w:rPr>
          <w:rFonts w:ascii="Times New Roman" w:hAnsi="Times New Roman"/>
        </w:rPr>
      </w:pPr>
    </w:p>
    <w:tbl>
      <w:tblPr>
        <w:tblW w:w="11905" w:type="dxa"/>
        <w:jc w:val="center"/>
        <w:tblInd w:w="93" w:type="dxa"/>
        <w:tblLook w:val="04A0" w:firstRow="1" w:lastRow="0" w:firstColumn="1" w:lastColumn="0" w:noHBand="0" w:noVBand="1"/>
      </w:tblPr>
      <w:tblGrid>
        <w:gridCol w:w="3165"/>
        <w:gridCol w:w="730"/>
        <w:gridCol w:w="720"/>
        <w:gridCol w:w="720"/>
        <w:gridCol w:w="720"/>
        <w:gridCol w:w="720"/>
        <w:gridCol w:w="720"/>
        <w:gridCol w:w="810"/>
        <w:gridCol w:w="720"/>
        <w:gridCol w:w="720"/>
        <w:gridCol w:w="720"/>
        <w:gridCol w:w="720"/>
        <w:gridCol w:w="720"/>
      </w:tblGrid>
      <w:tr w:rsidR="00842CAC" w:rsidRPr="008C3436" w:rsidTr="00C258B8">
        <w:trPr>
          <w:trHeight w:val="300"/>
          <w:jc w:val="center"/>
        </w:trPr>
        <w:tc>
          <w:tcPr>
            <w:tcW w:w="3165" w:type="dxa"/>
            <w:tcBorders>
              <w:top w:val="nil"/>
              <w:left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p>
        </w:tc>
        <w:tc>
          <w:tcPr>
            <w:tcW w:w="2890" w:type="dxa"/>
            <w:gridSpan w:val="4"/>
            <w:tcBorders>
              <w:top w:val="nil"/>
              <w:left w:val="nil"/>
              <w:right w:val="double" w:sz="4" w:space="0" w:color="auto"/>
            </w:tcBorders>
            <w:shd w:val="clear" w:color="auto" w:fill="auto"/>
            <w:noWrap/>
            <w:vAlign w:val="bottom"/>
            <w:hideMark/>
          </w:tcPr>
          <w:p w:rsidR="00842CAC" w:rsidRPr="008C3436" w:rsidRDefault="00842CAC" w:rsidP="00C258B8">
            <w:pPr>
              <w:rPr>
                <w:rFonts w:eastAsia="Times New Roman"/>
                <w:i/>
                <w:color w:val="000000"/>
                <w:sz w:val="22"/>
                <w:szCs w:val="22"/>
              </w:rPr>
            </w:pPr>
            <w:r w:rsidRPr="008C3436">
              <w:rPr>
                <w:rFonts w:eastAsia="Times New Roman"/>
                <w:i/>
                <w:color w:val="000000"/>
                <w:sz w:val="22"/>
                <w:szCs w:val="22"/>
              </w:rPr>
              <w:t>Level 1: Remove Independence</w:t>
            </w:r>
          </w:p>
        </w:tc>
        <w:tc>
          <w:tcPr>
            <w:tcW w:w="2970" w:type="dxa"/>
            <w:gridSpan w:val="4"/>
            <w:tcBorders>
              <w:top w:val="nil"/>
              <w:left w:val="double" w:sz="4" w:space="0" w:color="auto"/>
              <w:right w:val="double" w:sz="4" w:space="0" w:color="auto"/>
            </w:tcBorders>
            <w:shd w:val="clear" w:color="auto" w:fill="auto"/>
            <w:noWrap/>
            <w:vAlign w:val="bottom"/>
            <w:hideMark/>
          </w:tcPr>
          <w:p w:rsidR="00842CAC" w:rsidRPr="008C3436" w:rsidRDefault="00842CAC" w:rsidP="00C258B8">
            <w:pPr>
              <w:jc w:val="both"/>
              <w:rPr>
                <w:rFonts w:eastAsia="Times New Roman"/>
                <w:i/>
                <w:color w:val="000000"/>
                <w:sz w:val="22"/>
                <w:szCs w:val="22"/>
              </w:rPr>
            </w:pPr>
            <w:r w:rsidRPr="008C3436">
              <w:rPr>
                <w:rFonts w:eastAsia="Times New Roman"/>
                <w:i/>
                <w:color w:val="000000"/>
                <w:sz w:val="22"/>
                <w:szCs w:val="22"/>
              </w:rPr>
              <w:t>Level 2: Reform</w:t>
            </w:r>
          </w:p>
        </w:tc>
        <w:tc>
          <w:tcPr>
            <w:tcW w:w="2880" w:type="dxa"/>
            <w:gridSpan w:val="4"/>
            <w:tcBorders>
              <w:top w:val="nil"/>
              <w:left w:val="double" w:sz="4" w:space="0" w:color="auto"/>
              <w:right w:val="nil"/>
            </w:tcBorders>
            <w:shd w:val="clear" w:color="auto" w:fill="auto"/>
            <w:noWrap/>
            <w:vAlign w:val="bottom"/>
            <w:hideMark/>
          </w:tcPr>
          <w:p w:rsidR="00842CAC" w:rsidRPr="008C3436" w:rsidRDefault="00842CAC" w:rsidP="00C258B8">
            <w:pPr>
              <w:jc w:val="both"/>
              <w:rPr>
                <w:rFonts w:eastAsia="Times New Roman"/>
                <w:i/>
                <w:color w:val="000000"/>
                <w:sz w:val="22"/>
                <w:szCs w:val="22"/>
              </w:rPr>
            </w:pPr>
            <w:r w:rsidRPr="008C3436">
              <w:rPr>
                <w:rFonts w:eastAsia="Times New Roman"/>
                <w:i/>
                <w:color w:val="000000"/>
                <w:sz w:val="22"/>
                <w:szCs w:val="22"/>
              </w:rPr>
              <w:t>Level 3: Abolish</w:t>
            </w:r>
          </w:p>
        </w:tc>
      </w:tr>
      <w:tr w:rsidR="00842CAC" w:rsidRPr="008C3436" w:rsidTr="00C258B8">
        <w:trPr>
          <w:trHeight w:val="300"/>
          <w:jc w:val="center"/>
        </w:trPr>
        <w:tc>
          <w:tcPr>
            <w:tcW w:w="3165" w:type="dxa"/>
            <w:tcBorders>
              <w:top w:val="nil"/>
              <w:left w:val="nil"/>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Variable</w:t>
            </w:r>
          </w:p>
        </w:tc>
        <w:tc>
          <w:tcPr>
            <w:tcW w:w="730" w:type="dxa"/>
            <w:tcBorders>
              <w:top w:val="nil"/>
              <w:left w:val="nil"/>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PS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single" w:sz="4" w:space="0" w:color="auto"/>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PS   Z</w:t>
            </w:r>
          </w:p>
        </w:tc>
        <w:tc>
          <w:tcPr>
            <w:tcW w:w="720" w:type="dxa"/>
            <w:tcBorders>
              <w:top w:val="nil"/>
              <w:left w:val="single" w:sz="4" w:space="0" w:color="auto"/>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SQ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double" w:sz="4" w:space="0" w:color="auto"/>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SQ  Z</w:t>
            </w:r>
          </w:p>
        </w:tc>
        <w:tc>
          <w:tcPr>
            <w:tcW w:w="720" w:type="dxa"/>
            <w:tcBorders>
              <w:top w:val="nil"/>
              <w:left w:val="double" w:sz="4" w:space="0" w:color="auto"/>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PS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single" w:sz="4" w:space="0" w:color="auto"/>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PS   Z</w:t>
            </w:r>
          </w:p>
        </w:tc>
        <w:tc>
          <w:tcPr>
            <w:tcW w:w="810" w:type="dxa"/>
            <w:tcBorders>
              <w:top w:val="nil"/>
              <w:left w:val="single" w:sz="4" w:space="0" w:color="auto"/>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SQ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double" w:sz="4" w:space="0" w:color="auto"/>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SQ  Z</w:t>
            </w:r>
          </w:p>
        </w:tc>
        <w:tc>
          <w:tcPr>
            <w:tcW w:w="720" w:type="dxa"/>
            <w:tcBorders>
              <w:top w:val="nil"/>
              <w:left w:val="double" w:sz="4" w:space="0" w:color="auto"/>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PS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single" w:sz="4" w:space="0" w:color="auto"/>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PS   Z</w:t>
            </w:r>
          </w:p>
        </w:tc>
        <w:tc>
          <w:tcPr>
            <w:tcW w:w="720" w:type="dxa"/>
            <w:tcBorders>
              <w:top w:val="nil"/>
              <w:left w:val="single" w:sz="4" w:space="0" w:color="auto"/>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 xml:space="preserve">SQ </w:t>
            </w:r>
            <w:proofErr w:type="spellStart"/>
            <w:r w:rsidRPr="008C3436">
              <w:rPr>
                <w:rFonts w:eastAsia="Times New Roman"/>
                <w:b/>
                <w:color w:val="000000"/>
                <w:sz w:val="22"/>
                <w:szCs w:val="22"/>
              </w:rPr>
              <w:t>Coef</w:t>
            </w:r>
            <w:proofErr w:type="spellEnd"/>
            <w:r w:rsidRPr="008C3436">
              <w:rPr>
                <w:rFonts w:eastAsia="Times New Roman"/>
                <w:b/>
                <w:color w:val="000000"/>
                <w:sz w:val="22"/>
                <w:szCs w:val="22"/>
              </w:rPr>
              <w:t>.</w:t>
            </w:r>
          </w:p>
        </w:tc>
        <w:tc>
          <w:tcPr>
            <w:tcW w:w="720" w:type="dxa"/>
            <w:tcBorders>
              <w:top w:val="nil"/>
              <w:left w:val="nil"/>
              <w:bottom w:val="double" w:sz="4" w:space="0" w:color="auto"/>
              <w:right w:val="nil"/>
            </w:tcBorders>
            <w:shd w:val="clear" w:color="auto" w:fill="auto"/>
            <w:noWrap/>
            <w:vAlign w:val="bottom"/>
            <w:hideMark/>
          </w:tcPr>
          <w:p w:rsidR="00842CAC" w:rsidRPr="008C3436" w:rsidRDefault="00842CAC" w:rsidP="00C258B8">
            <w:pPr>
              <w:jc w:val="both"/>
              <w:rPr>
                <w:rFonts w:eastAsia="Times New Roman"/>
                <w:b/>
                <w:color w:val="000000"/>
                <w:sz w:val="22"/>
                <w:szCs w:val="22"/>
              </w:rPr>
            </w:pPr>
            <w:r w:rsidRPr="008C3436">
              <w:rPr>
                <w:rFonts w:eastAsia="Times New Roman"/>
                <w:b/>
                <w:color w:val="000000"/>
                <w:sz w:val="22"/>
                <w:szCs w:val="22"/>
              </w:rPr>
              <w:t>SQ  Z</w:t>
            </w:r>
          </w:p>
        </w:tc>
      </w:tr>
      <w:tr w:rsidR="00842CAC" w:rsidRPr="008C3436" w:rsidTr="00C258B8">
        <w:trPr>
          <w:trHeight w:val="300"/>
          <w:jc w:val="center"/>
        </w:trPr>
        <w:tc>
          <w:tcPr>
            <w:tcW w:w="3165" w:type="dxa"/>
            <w:tcBorders>
              <w:top w:val="double" w:sz="4" w:space="0" w:color="auto"/>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Mission Imp. Conflict (MIC)</w:t>
            </w:r>
          </w:p>
        </w:tc>
        <w:tc>
          <w:tcPr>
            <w:tcW w:w="730" w:type="dxa"/>
            <w:tcBorders>
              <w:top w:val="double" w:sz="4" w:space="0" w:color="auto"/>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-0.15</w:t>
            </w:r>
          </w:p>
        </w:tc>
        <w:tc>
          <w:tcPr>
            <w:tcW w:w="720" w:type="dxa"/>
            <w:tcBorders>
              <w:top w:val="double" w:sz="4" w:space="0" w:color="auto"/>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-2.06</w:t>
            </w:r>
          </w:p>
        </w:tc>
        <w:tc>
          <w:tcPr>
            <w:tcW w:w="720" w:type="dxa"/>
            <w:tcBorders>
              <w:top w:val="double" w:sz="4" w:space="0" w:color="auto"/>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0.61</w:t>
            </w:r>
          </w:p>
        </w:tc>
        <w:tc>
          <w:tcPr>
            <w:tcW w:w="720" w:type="dxa"/>
            <w:tcBorders>
              <w:top w:val="double" w:sz="4" w:space="0" w:color="auto"/>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0.98</w:t>
            </w:r>
          </w:p>
        </w:tc>
        <w:tc>
          <w:tcPr>
            <w:tcW w:w="720" w:type="dxa"/>
            <w:tcBorders>
              <w:top w:val="double" w:sz="4" w:space="0" w:color="auto"/>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0.16</w:t>
            </w:r>
          </w:p>
        </w:tc>
        <w:tc>
          <w:tcPr>
            <w:tcW w:w="720" w:type="dxa"/>
            <w:tcBorders>
              <w:top w:val="double" w:sz="4" w:space="0" w:color="auto"/>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1.95</w:t>
            </w:r>
          </w:p>
        </w:tc>
        <w:tc>
          <w:tcPr>
            <w:tcW w:w="810" w:type="dxa"/>
            <w:tcBorders>
              <w:top w:val="double" w:sz="4" w:space="0" w:color="auto"/>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-1.60</w:t>
            </w:r>
          </w:p>
        </w:tc>
        <w:tc>
          <w:tcPr>
            <w:tcW w:w="720" w:type="dxa"/>
            <w:tcBorders>
              <w:top w:val="double" w:sz="4" w:space="0" w:color="auto"/>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-1.96</w:t>
            </w:r>
          </w:p>
        </w:tc>
        <w:tc>
          <w:tcPr>
            <w:tcW w:w="720" w:type="dxa"/>
            <w:tcBorders>
              <w:top w:val="double" w:sz="4" w:space="0" w:color="auto"/>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-0.29</w:t>
            </w:r>
          </w:p>
        </w:tc>
        <w:tc>
          <w:tcPr>
            <w:tcW w:w="720" w:type="dxa"/>
            <w:tcBorders>
              <w:top w:val="double" w:sz="4" w:space="0" w:color="auto"/>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-2.01</w:t>
            </w:r>
          </w:p>
        </w:tc>
        <w:tc>
          <w:tcPr>
            <w:tcW w:w="720" w:type="dxa"/>
            <w:tcBorders>
              <w:top w:val="double" w:sz="4" w:space="0" w:color="auto"/>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-0.36</w:t>
            </w:r>
          </w:p>
        </w:tc>
        <w:tc>
          <w:tcPr>
            <w:tcW w:w="720" w:type="dxa"/>
            <w:tcBorders>
              <w:top w:val="double" w:sz="4" w:space="0" w:color="auto"/>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-0.33</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vertAlign w:val="superscript"/>
              </w:rPr>
            </w:pPr>
            <w:r w:rsidRPr="008C3436">
              <w:rPr>
                <w:rFonts w:eastAsia="Times New Roman"/>
                <w:color w:val="000000"/>
                <w:sz w:val="22"/>
                <w:szCs w:val="22"/>
              </w:rPr>
              <w:t>MIC</w:t>
            </w:r>
            <w:r w:rsidRPr="008C3436">
              <w:rPr>
                <w:rFonts w:eastAsia="Times New Roman"/>
                <w:color w:val="000000"/>
                <w:sz w:val="22"/>
                <w:szCs w:val="22"/>
                <w:vertAlign w:val="superscript"/>
              </w:rPr>
              <w:t>2</w:t>
            </w:r>
          </w:p>
        </w:tc>
        <w:tc>
          <w:tcPr>
            <w:tcW w:w="730" w:type="dxa"/>
            <w:tcBorders>
              <w:top w:val="nil"/>
              <w:left w:val="nil"/>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-0.22</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-0.79</w:t>
            </w:r>
          </w:p>
        </w:tc>
        <w:tc>
          <w:tcPr>
            <w:tcW w:w="720" w:type="dxa"/>
            <w:tcBorders>
              <w:top w:val="nil"/>
              <w:left w:val="double" w:sz="4" w:space="0" w:color="auto"/>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0.76</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2.06</w:t>
            </w:r>
          </w:p>
        </w:tc>
        <w:tc>
          <w:tcPr>
            <w:tcW w:w="720" w:type="dxa"/>
            <w:tcBorders>
              <w:top w:val="nil"/>
              <w:left w:val="double" w:sz="4" w:space="0" w:color="auto"/>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vertAlign w:val="superscript"/>
              </w:rPr>
            </w:pPr>
            <w:r w:rsidRPr="008C3436">
              <w:rPr>
                <w:rFonts w:eastAsia="Times New Roman"/>
                <w:color w:val="000000"/>
                <w:sz w:val="22"/>
                <w:szCs w:val="22"/>
              </w:rPr>
              <w:t>MIC</w:t>
            </w:r>
            <w:r w:rsidRPr="008C3436">
              <w:rPr>
                <w:rFonts w:eastAsia="Times New Roman"/>
                <w:color w:val="000000"/>
                <w:sz w:val="22"/>
                <w:szCs w:val="22"/>
                <w:vertAlign w:val="superscript"/>
              </w:rPr>
              <w:t>3</w:t>
            </w:r>
          </w:p>
        </w:tc>
        <w:tc>
          <w:tcPr>
            <w:tcW w:w="730" w:type="dxa"/>
            <w:tcBorders>
              <w:top w:val="nil"/>
              <w:left w:val="nil"/>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0.02</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0.49</w:t>
            </w:r>
          </w:p>
        </w:tc>
        <w:tc>
          <w:tcPr>
            <w:tcW w:w="720" w:type="dxa"/>
            <w:tcBorders>
              <w:top w:val="nil"/>
              <w:left w:val="double" w:sz="4" w:space="0" w:color="auto"/>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-0.08</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-1.93</w:t>
            </w:r>
          </w:p>
        </w:tc>
        <w:tc>
          <w:tcPr>
            <w:tcW w:w="720" w:type="dxa"/>
            <w:tcBorders>
              <w:top w:val="nil"/>
              <w:left w:val="double" w:sz="4" w:space="0" w:color="auto"/>
              <w:bottom w:val="nil"/>
              <w:right w:val="nil"/>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nil"/>
              <w:bottom w:val="nil"/>
              <w:right w:val="single" w:sz="4" w:space="0" w:color="auto"/>
            </w:tcBorders>
            <w:shd w:val="clear" w:color="auto" w:fill="auto"/>
            <w:noWrap/>
            <w:vAlign w:val="bottom"/>
          </w:tcPr>
          <w:p w:rsidR="00842CAC" w:rsidRPr="008C3436" w:rsidRDefault="00842CAC" w:rsidP="00C258B8">
            <w:pPr>
              <w:jc w:val="both"/>
              <w:rPr>
                <w:rFonts w:eastAsia="Times New Roman"/>
                <w:color w:val="000000"/>
                <w:sz w:val="22"/>
                <w:szCs w:val="22"/>
              </w:rPr>
            </w:pP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0.00</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0.06</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Policy Area Conflict</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0.44</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3.35</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0.49</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3.51</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-1.46</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-0.23</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-1.59</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0.18</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0.76</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0.16</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0.67</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Gov't Operations Indicator</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-7.38</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-3.09</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-8.01</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-3.22</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4.42</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1.66</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4.70</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1.75</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-4.25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-1.00</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-3.97</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-0.90</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PM: Blair</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0.07</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0.16</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0.12</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0.27</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-1.24</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-0.78</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-1.46</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1.13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1.25</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1.11</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1.21</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PM: Brown</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0.24</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0.70</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0.27</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0.79</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0.24</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0.60</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0.03</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1.66</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2.24</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1.63</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2.19</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NDPB Age</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-1.66</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-1.44</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-1.81</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-1.97</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0.82</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0.01</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0.77</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Advisory Body</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3.18</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0.98</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3.01</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-3.34</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-1.37</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-3.19</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1.00</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1.63</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1.01</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1.65</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Public Meetings or Minutes</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0.49</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1.62</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0.51</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1.65</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0.61</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0.34</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0.89</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-2.11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-3.81</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-2.12</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-3.82</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Parent Department Reformed</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1.77</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6.23</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1.76</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5.80</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0.75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2.24</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0.88</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2.49</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0.51</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0.97</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0.50</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0.87</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(Log) Full Time Employees</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-1.25</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-0.14</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-1.35</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-3.07</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-0.36</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-3.05</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-1.42</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-0.33</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-1.40</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No Employees Indicator</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0.55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1.30</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0.52</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1.23</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-1.24</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-2.36</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-1.22</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-2.27</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-1.41</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-1.03</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-1.39</w:t>
            </w:r>
          </w:p>
        </w:tc>
      </w:tr>
      <w:tr w:rsidR="00842CAC" w:rsidRPr="008C3436" w:rsidTr="00C258B8">
        <w:trPr>
          <w:trHeight w:val="300"/>
          <w:jc w:val="center"/>
        </w:trPr>
        <w:tc>
          <w:tcPr>
            <w:tcW w:w="3165"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Constant</w:t>
            </w:r>
          </w:p>
        </w:tc>
        <w:tc>
          <w:tcPr>
            <w:tcW w:w="73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-2.38</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-4.09</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-2.89</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-4.38</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0.63</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1.00</w:t>
            </w:r>
          </w:p>
        </w:tc>
        <w:tc>
          <w:tcPr>
            <w:tcW w:w="81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1.30</w:t>
            </w:r>
          </w:p>
        </w:tc>
        <w:tc>
          <w:tcPr>
            <w:tcW w:w="720" w:type="dxa"/>
            <w:tcBorders>
              <w:top w:val="nil"/>
              <w:left w:val="nil"/>
              <w:bottom w:val="nil"/>
              <w:right w:val="doub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1.83</w:t>
            </w:r>
          </w:p>
        </w:tc>
        <w:tc>
          <w:tcPr>
            <w:tcW w:w="720" w:type="dxa"/>
            <w:tcBorders>
              <w:top w:val="nil"/>
              <w:left w:val="doub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0.25</w:t>
            </w:r>
          </w:p>
        </w:tc>
        <w:tc>
          <w:tcPr>
            <w:tcW w:w="720" w:type="dxa"/>
            <w:tcBorders>
              <w:top w:val="nil"/>
              <w:left w:val="nil"/>
              <w:bottom w:val="nil"/>
              <w:right w:val="single" w:sz="4" w:space="0" w:color="auto"/>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0.22</w:t>
            </w:r>
          </w:p>
        </w:tc>
        <w:tc>
          <w:tcPr>
            <w:tcW w:w="720" w:type="dxa"/>
            <w:tcBorders>
              <w:top w:val="nil"/>
              <w:left w:val="single" w:sz="4" w:space="0" w:color="auto"/>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0.37</w:t>
            </w:r>
          </w:p>
        </w:tc>
        <w:tc>
          <w:tcPr>
            <w:tcW w:w="720" w:type="dxa"/>
            <w:tcBorders>
              <w:top w:val="nil"/>
              <w:left w:val="nil"/>
              <w:bottom w:val="nil"/>
              <w:right w:val="nil"/>
            </w:tcBorders>
            <w:shd w:val="clear" w:color="auto" w:fill="auto"/>
            <w:noWrap/>
            <w:vAlign w:val="bottom"/>
            <w:hideMark/>
          </w:tcPr>
          <w:p w:rsidR="00842CAC" w:rsidRPr="008C3436" w:rsidRDefault="00842CAC" w:rsidP="00C258B8">
            <w:pPr>
              <w:jc w:val="both"/>
              <w:rPr>
                <w:rFonts w:eastAsia="Times New Roman"/>
                <w:color w:val="000000"/>
                <w:sz w:val="22"/>
                <w:szCs w:val="22"/>
              </w:rPr>
            </w:pPr>
            <w:r w:rsidRPr="008C3436">
              <w:rPr>
                <w:rFonts w:eastAsia="Times New Roman"/>
                <w:color w:val="000000"/>
                <w:sz w:val="22"/>
                <w:szCs w:val="22"/>
              </w:rPr>
              <w:t>0.29</w:t>
            </w:r>
          </w:p>
        </w:tc>
      </w:tr>
    </w:tbl>
    <w:p w:rsidR="00842CAC" w:rsidRPr="009C69C3" w:rsidRDefault="00842CAC" w:rsidP="00842CAC">
      <w:pPr>
        <w:pStyle w:val="Sinclair1"/>
        <w:jc w:val="both"/>
      </w:pPr>
    </w:p>
    <w:p w:rsidR="00562986" w:rsidRDefault="00562986"/>
    <w:sectPr w:rsidR="00562986" w:rsidSect="00A7777F">
      <w:pgSz w:w="15840" w:h="12240" w:orient="landscape"/>
      <w:pgMar w:top="1800" w:right="1710" w:bottom="180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D2" w:rsidRDefault="00B713D2" w:rsidP="00842CAC">
      <w:r>
        <w:separator/>
      </w:r>
    </w:p>
  </w:endnote>
  <w:endnote w:type="continuationSeparator" w:id="0">
    <w:p w:rsidR="00B713D2" w:rsidRDefault="00B713D2" w:rsidP="0084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D2" w:rsidRDefault="00B713D2" w:rsidP="00842CAC">
      <w:r>
        <w:separator/>
      </w:r>
    </w:p>
  </w:footnote>
  <w:footnote w:type="continuationSeparator" w:id="0">
    <w:p w:rsidR="00B713D2" w:rsidRDefault="00B713D2" w:rsidP="00842CAC">
      <w:r>
        <w:continuationSeparator/>
      </w:r>
    </w:p>
  </w:footnote>
  <w:footnote w:id="1">
    <w:p w:rsidR="00842CAC" w:rsidRPr="003D2FFE" w:rsidRDefault="00842CAC" w:rsidP="00842CAC">
      <w:pPr>
        <w:pStyle w:val="FootnoteText"/>
        <w:rPr>
          <w:szCs w:val="20"/>
        </w:rPr>
      </w:pPr>
      <w:r w:rsidRPr="00A37857">
        <w:rPr>
          <w:rStyle w:val="FootnoteReference"/>
          <w:szCs w:val="20"/>
        </w:rPr>
        <w:footnoteRef/>
      </w:r>
      <w:r w:rsidRPr="00A37857">
        <w:rPr>
          <w:szCs w:val="20"/>
        </w:rPr>
        <w:t xml:space="preserve"> </w:t>
      </w:r>
      <w:r w:rsidRPr="00234901">
        <w:rPr>
          <w:szCs w:val="20"/>
          <w:lang w:val="en-GB"/>
        </w:rPr>
        <w:t>In</w:t>
      </w:r>
      <w:r w:rsidRPr="003D2FFE">
        <w:rPr>
          <w:szCs w:val="20"/>
          <w:lang w:val="en-GB"/>
        </w:rPr>
        <w:t>deed, the findings in this presentation coupled with a model in the supplementary materials showing no effect of 2009 expenditures on the reorganization decisions suggest that accountability is probably more important.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AC"/>
    <w:rsid w:val="00051C3C"/>
    <w:rsid w:val="004157AE"/>
    <w:rsid w:val="00417D69"/>
    <w:rsid w:val="00562986"/>
    <w:rsid w:val="0059671B"/>
    <w:rsid w:val="006B1E07"/>
    <w:rsid w:val="00842CAC"/>
    <w:rsid w:val="009B57DF"/>
    <w:rsid w:val="00B713D2"/>
    <w:rsid w:val="00C1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AC"/>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C1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121C"/>
    <w:rPr>
      <w:color w:val="0000FF" w:themeColor="hyperlink"/>
      <w:u w:val="single"/>
    </w:rPr>
  </w:style>
  <w:style w:type="paragraph" w:styleId="BalloonText">
    <w:name w:val="Balloon Text"/>
    <w:basedOn w:val="Normal"/>
    <w:link w:val="BalloonTextChar"/>
    <w:uiPriority w:val="99"/>
    <w:semiHidden/>
    <w:unhideWhenUsed/>
    <w:rsid w:val="00C112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1121C"/>
    <w:rPr>
      <w:rFonts w:ascii="Tahoma" w:hAnsi="Tahoma" w:cs="Tahoma"/>
      <w:sz w:val="16"/>
      <w:szCs w:val="16"/>
    </w:rPr>
  </w:style>
  <w:style w:type="table" w:styleId="TableGrid">
    <w:name w:val="Table Grid"/>
    <w:basedOn w:val="TableNormal"/>
    <w:uiPriority w:val="59"/>
    <w:rsid w:val="00C1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clair1">
    <w:name w:val="Sinclair 1"/>
    <w:link w:val="Sinclair1Char"/>
    <w:qFormat/>
    <w:rsid w:val="00842CAC"/>
    <w:rPr>
      <w:rFonts w:ascii="Times New Roman" w:eastAsia="Cambria" w:hAnsi="Times New Roman" w:cs="Times New Roman"/>
      <w:sz w:val="24"/>
      <w:szCs w:val="24"/>
    </w:rPr>
  </w:style>
  <w:style w:type="character" w:customStyle="1" w:styleId="Sinclair1Char">
    <w:name w:val="Sinclair 1 Char"/>
    <w:link w:val="Sinclair1"/>
    <w:rsid w:val="00842CAC"/>
    <w:rPr>
      <w:rFonts w:ascii="Times New Roman" w:eastAsia="Cambria" w:hAnsi="Times New Roman" w:cs="Times New Roman"/>
      <w:sz w:val="24"/>
      <w:szCs w:val="24"/>
    </w:rPr>
  </w:style>
  <w:style w:type="paragraph" w:styleId="FootnoteText">
    <w:name w:val="footnote text"/>
    <w:basedOn w:val="Normal"/>
    <w:link w:val="FootnoteTextChar"/>
    <w:uiPriority w:val="99"/>
    <w:unhideWhenUsed/>
    <w:rsid w:val="00842CAC"/>
    <w:pPr>
      <w:jc w:val="both"/>
    </w:pPr>
    <w:rPr>
      <w:sz w:val="20"/>
    </w:rPr>
  </w:style>
  <w:style w:type="character" w:customStyle="1" w:styleId="FootnoteTextChar">
    <w:name w:val="Footnote Text Char"/>
    <w:basedOn w:val="DefaultParagraphFont"/>
    <w:link w:val="FootnoteText"/>
    <w:uiPriority w:val="99"/>
    <w:rsid w:val="00842CAC"/>
    <w:rPr>
      <w:rFonts w:ascii="Times New Roman" w:eastAsia="MS Mincho" w:hAnsi="Times New Roman" w:cs="Times New Roman"/>
      <w:sz w:val="20"/>
      <w:szCs w:val="24"/>
    </w:rPr>
  </w:style>
  <w:style w:type="character" w:styleId="FootnoteReference">
    <w:name w:val="footnote reference"/>
    <w:uiPriority w:val="99"/>
    <w:unhideWhenUsed/>
    <w:rsid w:val="00842CAC"/>
    <w:rPr>
      <w:vertAlign w:val="superscript"/>
    </w:rPr>
  </w:style>
  <w:style w:type="paragraph" w:customStyle="1" w:styleId="Author">
    <w:name w:val="Author"/>
    <w:basedOn w:val="Normal"/>
    <w:qFormat/>
    <w:rsid w:val="00842CAC"/>
    <w:pPr>
      <w:jc w:val="both"/>
    </w:pPr>
    <w:rPr>
      <w:rFonts w:ascii="Cambria" w:eastAsia="Cambria" w:hAnsi="Cambria"/>
    </w:rPr>
  </w:style>
  <w:style w:type="table" w:styleId="MediumGrid2-Accent1">
    <w:name w:val="Medium Grid 2 Accent 1"/>
    <w:basedOn w:val="TableNormal"/>
    <w:uiPriority w:val="68"/>
    <w:rsid w:val="00842C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AC"/>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C1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121C"/>
    <w:rPr>
      <w:color w:val="0000FF" w:themeColor="hyperlink"/>
      <w:u w:val="single"/>
    </w:rPr>
  </w:style>
  <w:style w:type="paragraph" w:styleId="BalloonText">
    <w:name w:val="Balloon Text"/>
    <w:basedOn w:val="Normal"/>
    <w:link w:val="BalloonTextChar"/>
    <w:uiPriority w:val="99"/>
    <w:semiHidden/>
    <w:unhideWhenUsed/>
    <w:rsid w:val="00C112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1121C"/>
    <w:rPr>
      <w:rFonts w:ascii="Tahoma" w:hAnsi="Tahoma" w:cs="Tahoma"/>
      <w:sz w:val="16"/>
      <w:szCs w:val="16"/>
    </w:rPr>
  </w:style>
  <w:style w:type="table" w:styleId="TableGrid">
    <w:name w:val="Table Grid"/>
    <w:basedOn w:val="TableNormal"/>
    <w:uiPriority w:val="59"/>
    <w:rsid w:val="00C1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clair1">
    <w:name w:val="Sinclair 1"/>
    <w:link w:val="Sinclair1Char"/>
    <w:qFormat/>
    <w:rsid w:val="00842CAC"/>
    <w:rPr>
      <w:rFonts w:ascii="Times New Roman" w:eastAsia="Cambria" w:hAnsi="Times New Roman" w:cs="Times New Roman"/>
      <w:sz w:val="24"/>
      <w:szCs w:val="24"/>
    </w:rPr>
  </w:style>
  <w:style w:type="character" w:customStyle="1" w:styleId="Sinclair1Char">
    <w:name w:val="Sinclair 1 Char"/>
    <w:link w:val="Sinclair1"/>
    <w:rsid w:val="00842CAC"/>
    <w:rPr>
      <w:rFonts w:ascii="Times New Roman" w:eastAsia="Cambria" w:hAnsi="Times New Roman" w:cs="Times New Roman"/>
      <w:sz w:val="24"/>
      <w:szCs w:val="24"/>
    </w:rPr>
  </w:style>
  <w:style w:type="paragraph" w:styleId="FootnoteText">
    <w:name w:val="footnote text"/>
    <w:basedOn w:val="Normal"/>
    <w:link w:val="FootnoteTextChar"/>
    <w:uiPriority w:val="99"/>
    <w:unhideWhenUsed/>
    <w:rsid w:val="00842CAC"/>
    <w:pPr>
      <w:jc w:val="both"/>
    </w:pPr>
    <w:rPr>
      <w:sz w:val="20"/>
    </w:rPr>
  </w:style>
  <w:style w:type="character" w:customStyle="1" w:styleId="FootnoteTextChar">
    <w:name w:val="Footnote Text Char"/>
    <w:basedOn w:val="DefaultParagraphFont"/>
    <w:link w:val="FootnoteText"/>
    <w:uiPriority w:val="99"/>
    <w:rsid w:val="00842CAC"/>
    <w:rPr>
      <w:rFonts w:ascii="Times New Roman" w:eastAsia="MS Mincho" w:hAnsi="Times New Roman" w:cs="Times New Roman"/>
      <w:sz w:val="20"/>
      <w:szCs w:val="24"/>
    </w:rPr>
  </w:style>
  <w:style w:type="character" w:styleId="FootnoteReference">
    <w:name w:val="footnote reference"/>
    <w:uiPriority w:val="99"/>
    <w:unhideWhenUsed/>
    <w:rsid w:val="00842CAC"/>
    <w:rPr>
      <w:vertAlign w:val="superscript"/>
    </w:rPr>
  </w:style>
  <w:style w:type="paragraph" w:customStyle="1" w:styleId="Author">
    <w:name w:val="Author"/>
    <w:basedOn w:val="Normal"/>
    <w:qFormat/>
    <w:rsid w:val="00842CAC"/>
    <w:pPr>
      <w:jc w:val="both"/>
    </w:pPr>
    <w:rPr>
      <w:rFonts w:ascii="Cambria" w:eastAsia="Cambria" w:hAnsi="Cambria"/>
    </w:rPr>
  </w:style>
  <w:style w:type="table" w:styleId="MediumGrid2-Accent1">
    <w:name w:val="Medium Grid 2 Accent 1"/>
    <w:basedOn w:val="TableNormal"/>
    <w:uiPriority w:val="68"/>
    <w:rsid w:val="00842C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telli@ny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 Hansen</dc:creator>
  <cp:lastModifiedBy>Christian J Hansen</cp:lastModifiedBy>
  <cp:revision>4</cp:revision>
  <dcterms:created xsi:type="dcterms:W3CDTF">2016-01-14T21:06:00Z</dcterms:created>
  <dcterms:modified xsi:type="dcterms:W3CDTF">2016-01-15T19:39:00Z</dcterms:modified>
</cp:coreProperties>
</file>