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B0" w:rsidRPr="007305A6" w:rsidRDefault="001602B0" w:rsidP="001602B0">
      <w:pPr>
        <w:rPr>
          <w:rFonts w:ascii="Times New Roman" w:hAnsi="Times New Roman" w:cs="Times New Roman"/>
        </w:rPr>
      </w:pPr>
      <w:r w:rsidRPr="007305A6">
        <w:rPr>
          <w:rFonts w:ascii="Times New Roman" w:hAnsi="Times New Roman" w:cs="Times New Roman"/>
        </w:rPr>
        <w:t>Appendix A:  CU and HEA models used for replication</w:t>
      </w:r>
    </w:p>
    <w:p w:rsidR="001602B0" w:rsidRPr="007305A6" w:rsidRDefault="001602B0" w:rsidP="001602B0">
      <w:pPr>
        <w:rPr>
          <w:rFonts w:ascii="Times New Roman" w:hAnsi="Times New Roman" w:cs="Times New Roman"/>
        </w:rPr>
      </w:pPr>
    </w:p>
    <w:p w:rsidR="001602B0" w:rsidRPr="007305A6" w:rsidRDefault="001602B0" w:rsidP="001602B0">
      <w:pPr>
        <w:ind w:left="360" w:hanging="360"/>
        <w:jc w:val="both"/>
        <w:rPr>
          <w:rFonts w:ascii="Times New Roman" w:hAnsi="Times New Roman" w:cs="Times New Roman"/>
        </w:rPr>
      </w:pPr>
      <w:r w:rsidRPr="007305A6">
        <w:rPr>
          <w:rFonts w:ascii="Times New Roman" w:hAnsi="Times New Roman" w:cs="Times New Roman"/>
        </w:rPr>
        <w:t xml:space="preserve">Chenoweth &amp; </w:t>
      </w:r>
      <w:proofErr w:type="spellStart"/>
      <w:r w:rsidRPr="007305A6">
        <w:rPr>
          <w:rFonts w:ascii="Times New Roman" w:hAnsi="Times New Roman" w:cs="Times New Roman"/>
        </w:rPr>
        <w:t>Ulfelder</w:t>
      </w:r>
      <w:proofErr w:type="spellEnd"/>
      <w:r w:rsidRPr="007305A6">
        <w:rPr>
          <w:rFonts w:ascii="Times New Roman" w:hAnsi="Times New Roman" w:cs="Times New Roman"/>
        </w:rPr>
        <w:t xml:space="preserve"> (2017) – Culled Model</w:t>
      </w:r>
    </w:p>
    <w:tbl>
      <w:tblPr>
        <w:tblW w:w="6820" w:type="dxa"/>
        <w:tblLook w:val="04A0" w:firstRow="1" w:lastRow="0" w:firstColumn="1" w:lastColumn="0" w:noHBand="0" w:noVBand="1"/>
      </w:tblPr>
      <w:tblGrid>
        <w:gridCol w:w="3940"/>
        <w:gridCol w:w="1920"/>
        <w:gridCol w:w="960"/>
      </w:tblGrid>
      <w:tr w:rsidR="001602B0" w:rsidRPr="007305A6" w:rsidTr="00BB68DB">
        <w:trPr>
          <w:trHeight w:hRule="exact" w:val="288"/>
        </w:trPr>
        <w:tc>
          <w:tcPr>
            <w:tcW w:w="3940" w:type="dxa"/>
            <w:tcBorders>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 </w:t>
            </w:r>
          </w:p>
        </w:tc>
        <w:tc>
          <w:tcPr>
            <w:tcW w:w="2880" w:type="dxa"/>
            <w:gridSpan w:val="2"/>
            <w:tcBorders>
              <w:left w:val="nil"/>
              <w:bottom w:val="single" w:sz="4" w:space="0" w:color="auto"/>
              <w:right w:val="nil"/>
            </w:tcBorders>
            <w:shd w:val="clear" w:color="auto" w:fill="auto"/>
            <w:vAlign w:val="center"/>
            <w:hideMark/>
          </w:tcPr>
          <w:p w:rsidR="001602B0" w:rsidRPr="007305A6" w:rsidRDefault="001602B0" w:rsidP="00BB68DB">
            <w:pPr>
              <w:jc w:val="center"/>
              <w:rPr>
                <w:rFonts w:ascii="Times New Roman" w:eastAsia="Times New Roman" w:hAnsi="Times New Roman" w:cs="Times New Roman"/>
                <w:i/>
                <w:iCs/>
                <w:color w:val="000000"/>
                <w:sz w:val="20"/>
                <w:szCs w:val="20"/>
              </w:rPr>
            </w:pPr>
            <w:proofErr w:type="spellStart"/>
            <w:r w:rsidRPr="007305A6">
              <w:rPr>
                <w:rFonts w:ascii="Times New Roman" w:eastAsia="Times New Roman" w:hAnsi="Times New Roman" w:cs="Times New Roman"/>
                <w:i/>
                <w:iCs/>
                <w:color w:val="000000"/>
                <w:sz w:val="20"/>
                <w:szCs w:val="20"/>
              </w:rPr>
              <w:t>nvc</w:t>
            </w:r>
            <w:proofErr w:type="spellEnd"/>
            <w:r w:rsidRPr="007305A6">
              <w:rPr>
                <w:rFonts w:ascii="Times New Roman" w:eastAsia="Times New Roman" w:hAnsi="Times New Roman" w:cs="Times New Roman"/>
                <w:i/>
                <w:iCs/>
                <w:color w:val="000000"/>
                <w:sz w:val="20"/>
                <w:szCs w:val="20"/>
              </w:rPr>
              <w:t xml:space="preserve"> onset</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Infant mortality rate relative to global median (log)</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-0.0207</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(0.17)</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Leader's years in office (log)</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0.165</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(0.09)</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Ruling elites' ethnicity is politically salient</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0.216</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(0.18)</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 xml:space="preserve">Mobile phone subs per 100 </w:t>
            </w:r>
            <w:proofErr w:type="spellStart"/>
            <w:r w:rsidRPr="007305A6">
              <w:rPr>
                <w:rFonts w:ascii="Times New Roman" w:eastAsia="Times New Roman" w:hAnsi="Times New Roman" w:cs="Times New Roman"/>
                <w:color w:val="000000"/>
                <w:sz w:val="20"/>
                <w:szCs w:val="20"/>
              </w:rPr>
              <w:t>ppl</w:t>
            </w:r>
            <w:proofErr w:type="spellEnd"/>
            <w:r w:rsidRPr="007305A6">
              <w:rPr>
                <w:rFonts w:ascii="Times New Roman" w:eastAsia="Times New Roman" w:hAnsi="Times New Roman" w:cs="Times New Roman"/>
                <w:color w:val="000000"/>
                <w:sz w:val="20"/>
                <w:szCs w:val="20"/>
              </w:rPr>
              <w:t xml:space="preserve"> (logged)</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0.267***</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(0.07)</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Urban population (0-100%), imputed</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-0.00482</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(0.01)</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ythbul4</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-1.358</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(4.54)</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 xml:space="preserve">Sum of Banks riots &amp; </w:t>
            </w:r>
            <w:proofErr w:type="spellStart"/>
            <w:r w:rsidRPr="007305A6">
              <w:rPr>
                <w:rFonts w:ascii="Times New Roman" w:eastAsia="Times New Roman" w:hAnsi="Times New Roman" w:cs="Times New Roman"/>
                <w:color w:val="000000"/>
                <w:sz w:val="20"/>
                <w:szCs w:val="20"/>
              </w:rPr>
              <w:t>dems</w:t>
            </w:r>
            <w:proofErr w:type="spellEnd"/>
            <w:r w:rsidRPr="007305A6">
              <w:rPr>
                <w:rFonts w:ascii="Times New Roman" w:eastAsia="Times New Roman" w:hAnsi="Times New Roman" w:cs="Times New Roman"/>
                <w:color w:val="000000"/>
                <w:sz w:val="20"/>
                <w:szCs w:val="20"/>
              </w:rPr>
              <w:t xml:space="preserve"> (log)</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0.557***</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(0.10)</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Onsets of nonviolent campaigns in same region (log)</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0.275</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(0.17)</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Post-Cold War period (1991+)</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-0.718**</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(0.27)</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Signatory to ICCPR 1st Optional Protocol</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0.192</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(0.21)</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Election year</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0.482**</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(0.19)</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i/>
                <w:iCs/>
                <w:color w:val="000000"/>
                <w:sz w:val="20"/>
                <w:szCs w:val="20"/>
              </w:rPr>
            </w:pPr>
            <w:r w:rsidRPr="007305A6">
              <w:rPr>
                <w:rFonts w:ascii="Times New Roman" w:eastAsia="Times New Roman" w:hAnsi="Times New Roman" w:cs="Times New Roman"/>
                <w:i/>
                <w:iCs/>
                <w:color w:val="000000"/>
                <w:sz w:val="20"/>
                <w:szCs w:val="20"/>
              </w:rPr>
              <w:t>FH civil liberties index (base = 1)</w:t>
            </w:r>
          </w:p>
        </w:tc>
        <w:tc>
          <w:tcPr>
            <w:tcW w:w="192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i/>
                <w:iCs/>
                <w:color w:val="000000"/>
                <w:sz w:val="20"/>
                <w:szCs w:val="20"/>
              </w:rPr>
            </w:pPr>
          </w:p>
        </w:tc>
        <w:tc>
          <w:tcPr>
            <w:tcW w:w="96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sz w:val="20"/>
                <w:szCs w:val="20"/>
              </w:rPr>
            </w:pP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ind w:firstLineChars="100" w:firstLine="200"/>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2</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1.417</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(1.13)</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ind w:firstLineChars="100" w:firstLine="200"/>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3</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2.945**</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(1.06)</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ind w:firstLineChars="100" w:firstLine="200"/>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4</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3.675***</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(1.05)</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ind w:firstLineChars="100" w:firstLine="200"/>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5</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3.378**</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(1.06)</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ind w:firstLineChars="100" w:firstLine="200"/>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6</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3.159**</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(1.07)</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ind w:firstLineChars="100" w:firstLine="200"/>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7</w:t>
            </w:r>
          </w:p>
        </w:tc>
        <w:tc>
          <w:tcPr>
            <w:tcW w:w="1920" w:type="dxa"/>
            <w:tcBorders>
              <w:top w:val="nil"/>
              <w:left w:val="nil"/>
              <w:bottom w:val="nil"/>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2.801*</w:t>
            </w:r>
          </w:p>
        </w:tc>
        <w:tc>
          <w:tcPr>
            <w:tcW w:w="960" w:type="dxa"/>
            <w:tcBorders>
              <w:top w:val="nil"/>
              <w:left w:val="nil"/>
              <w:bottom w:val="nil"/>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(1.10)</w:t>
            </w:r>
          </w:p>
        </w:tc>
      </w:tr>
      <w:tr w:rsidR="001602B0" w:rsidRPr="007305A6" w:rsidTr="00BB68DB">
        <w:trPr>
          <w:trHeight w:hRule="exact" w:val="288"/>
        </w:trPr>
        <w:tc>
          <w:tcPr>
            <w:tcW w:w="3940" w:type="dxa"/>
            <w:tcBorders>
              <w:top w:val="nil"/>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Constant</w:t>
            </w:r>
          </w:p>
        </w:tc>
        <w:tc>
          <w:tcPr>
            <w:tcW w:w="1920" w:type="dxa"/>
            <w:tcBorders>
              <w:top w:val="nil"/>
              <w:left w:val="nil"/>
              <w:bottom w:val="single" w:sz="4" w:space="0" w:color="auto"/>
              <w:right w:val="nil"/>
            </w:tcBorders>
            <w:shd w:val="clear" w:color="auto" w:fill="auto"/>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-7.172***</w:t>
            </w:r>
          </w:p>
        </w:tc>
        <w:tc>
          <w:tcPr>
            <w:tcW w:w="960" w:type="dxa"/>
            <w:tcBorders>
              <w:top w:val="nil"/>
              <w:left w:val="nil"/>
              <w:bottom w:val="single" w:sz="4" w:space="0" w:color="auto"/>
              <w:right w:val="nil"/>
            </w:tcBorders>
            <w:shd w:val="clear" w:color="auto" w:fill="auto"/>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(1.30)</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Observations</w:t>
            </w:r>
          </w:p>
        </w:tc>
        <w:tc>
          <w:tcPr>
            <w:tcW w:w="1920" w:type="dxa"/>
            <w:tcBorders>
              <w:top w:val="nil"/>
              <w:left w:val="nil"/>
              <w:bottom w:val="nil"/>
              <w:right w:val="nil"/>
            </w:tcBorders>
            <w:shd w:val="clear" w:color="auto" w:fill="auto"/>
            <w:noWrap/>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 </w:t>
            </w:r>
          </w:p>
        </w:tc>
        <w:tc>
          <w:tcPr>
            <w:tcW w:w="96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5738</w:t>
            </w:r>
          </w:p>
        </w:tc>
      </w:tr>
      <w:tr w:rsidR="001602B0" w:rsidRPr="007305A6" w:rsidTr="00BB68DB">
        <w:trPr>
          <w:trHeight w:hRule="exact" w:val="288"/>
        </w:trPr>
        <w:tc>
          <w:tcPr>
            <w:tcW w:w="394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i/>
                <w:iCs/>
                <w:color w:val="000000"/>
                <w:sz w:val="20"/>
                <w:szCs w:val="20"/>
              </w:rPr>
            </w:pPr>
            <w:r w:rsidRPr="007305A6">
              <w:rPr>
                <w:rFonts w:ascii="Times New Roman" w:eastAsia="Times New Roman" w:hAnsi="Times New Roman" w:cs="Times New Roman"/>
                <w:i/>
                <w:iCs/>
                <w:color w:val="000000"/>
                <w:sz w:val="20"/>
                <w:szCs w:val="20"/>
              </w:rPr>
              <w:t>AIC</w:t>
            </w:r>
          </w:p>
        </w:tc>
        <w:tc>
          <w:tcPr>
            <w:tcW w:w="192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i/>
                <w:iCs/>
                <w:color w:val="000000"/>
                <w:sz w:val="20"/>
                <w:szCs w:val="20"/>
              </w:rPr>
            </w:pPr>
          </w:p>
        </w:tc>
        <w:tc>
          <w:tcPr>
            <w:tcW w:w="960" w:type="dxa"/>
            <w:tcBorders>
              <w:top w:val="nil"/>
              <w:left w:val="nil"/>
              <w:bottom w:val="nil"/>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1212.68</w:t>
            </w:r>
          </w:p>
        </w:tc>
      </w:tr>
      <w:tr w:rsidR="001602B0" w:rsidRPr="007305A6" w:rsidTr="00BB68DB">
        <w:trPr>
          <w:trHeight w:hRule="exact" w:val="288"/>
        </w:trPr>
        <w:tc>
          <w:tcPr>
            <w:tcW w:w="3940" w:type="dxa"/>
            <w:tcBorders>
              <w:top w:val="nil"/>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i/>
                <w:iCs/>
                <w:color w:val="000000"/>
                <w:sz w:val="20"/>
                <w:szCs w:val="20"/>
              </w:rPr>
            </w:pPr>
            <w:r w:rsidRPr="007305A6">
              <w:rPr>
                <w:rFonts w:ascii="Times New Roman" w:eastAsia="Times New Roman" w:hAnsi="Times New Roman" w:cs="Times New Roman"/>
                <w:i/>
                <w:iCs/>
                <w:color w:val="000000"/>
                <w:sz w:val="20"/>
                <w:szCs w:val="20"/>
              </w:rPr>
              <w:t>BIC</w:t>
            </w:r>
          </w:p>
        </w:tc>
        <w:tc>
          <w:tcPr>
            <w:tcW w:w="1920" w:type="dxa"/>
            <w:tcBorders>
              <w:top w:val="nil"/>
              <w:left w:val="nil"/>
              <w:bottom w:val="single" w:sz="4" w:space="0" w:color="auto"/>
              <w:right w:val="nil"/>
            </w:tcBorders>
            <w:shd w:val="clear" w:color="auto" w:fill="auto"/>
            <w:noWrap/>
            <w:vAlign w:val="center"/>
            <w:hideMark/>
          </w:tcPr>
          <w:p w:rsidR="001602B0" w:rsidRPr="007305A6" w:rsidRDefault="001602B0" w:rsidP="00BB68DB">
            <w:pPr>
              <w:jc w:val="right"/>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20"/>
                <w:szCs w:val="20"/>
              </w:rPr>
            </w:pPr>
            <w:r w:rsidRPr="007305A6">
              <w:rPr>
                <w:rFonts w:ascii="Times New Roman" w:eastAsia="Times New Roman" w:hAnsi="Times New Roman" w:cs="Times New Roman"/>
                <w:color w:val="000000"/>
                <w:sz w:val="20"/>
                <w:szCs w:val="20"/>
              </w:rPr>
              <w:t>1332.47</w:t>
            </w:r>
          </w:p>
        </w:tc>
      </w:tr>
    </w:tbl>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roofErr w:type="spellStart"/>
      <w:r w:rsidRPr="007305A6">
        <w:rPr>
          <w:rFonts w:ascii="Times New Roman" w:hAnsi="Times New Roman" w:cs="Times New Roman"/>
        </w:rPr>
        <w:t>Hegre</w:t>
      </w:r>
      <w:proofErr w:type="spellEnd"/>
      <w:r w:rsidRPr="007305A6">
        <w:rPr>
          <w:rFonts w:ascii="Times New Roman" w:hAnsi="Times New Roman" w:cs="Times New Roman"/>
        </w:rPr>
        <w:t xml:space="preserve"> et al. (2013):  Core Model</w:t>
      </w:r>
    </w:p>
    <w:p w:rsidR="001602B0" w:rsidRPr="007305A6" w:rsidRDefault="001602B0" w:rsidP="001602B0">
      <w:pPr>
        <w:rPr>
          <w:rFonts w:ascii="Times New Roman" w:hAnsi="Times New Roman" w:cs="Times New Roman"/>
        </w:rPr>
      </w:pPr>
    </w:p>
    <w:tbl>
      <w:tblPr>
        <w:tblW w:w="0" w:type="auto"/>
        <w:tblLayout w:type="fixed"/>
        <w:tblLook w:val="0000" w:firstRow="0" w:lastRow="0" w:firstColumn="0" w:lastColumn="0" w:noHBand="0" w:noVBand="0"/>
      </w:tblPr>
      <w:tblGrid>
        <w:gridCol w:w="2616"/>
        <w:gridCol w:w="1656"/>
      </w:tblGrid>
      <w:tr w:rsidR="001602B0" w:rsidRPr="007305A6" w:rsidTr="00BB68DB">
        <w:tc>
          <w:tcPr>
            <w:tcW w:w="2616" w:type="dxa"/>
            <w:tcBorders>
              <w:top w:val="single" w:sz="4" w:space="0" w:color="auto"/>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single" w:sz="4" w:space="0" w:color="auto"/>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i/>
                <w:sz w:val="20"/>
                <w:szCs w:val="20"/>
              </w:rPr>
            </w:pPr>
            <w:proofErr w:type="spellStart"/>
            <w:r w:rsidRPr="007305A6">
              <w:rPr>
                <w:rFonts w:ascii="Times New Roman" w:hAnsi="Times New Roman" w:cs="Times New Roman"/>
                <w:i/>
                <w:sz w:val="20"/>
                <w:szCs w:val="20"/>
              </w:rPr>
              <w:t>HegreModel</w:t>
            </w:r>
            <w:proofErr w:type="spellEnd"/>
          </w:p>
        </w:tc>
      </w:tr>
      <w:tr w:rsidR="001602B0" w:rsidRPr="007305A6" w:rsidTr="00BB68DB">
        <w:tc>
          <w:tcPr>
            <w:tcW w:w="2616" w:type="dxa"/>
            <w:tcBorders>
              <w:top w:val="single" w:sz="4" w:space="0" w:color="auto"/>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roofErr w:type="spellStart"/>
            <w:r w:rsidRPr="007305A6">
              <w:rPr>
                <w:rFonts w:ascii="Times New Roman" w:hAnsi="Times New Roman" w:cs="Times New Roman"/>
                <w:sz w:val="20"/>
                <w:szCs w:val="20"/>
              </w:rPr>
              <w:t>conflict_onsets_binary</w:t>
            </w:r>
            <w:proofErr w:type="spellEnd"/>
          </w:p>
        </w:tc>
        <w:tc>
          <w:tcPr>
            <w:tcW w:w="1656" w:type="dxa"/>
            <w:tcBorders>
              <w:top w:val="single" w:sz="4" w:space="0" w:color="auto"/>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Oil</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0.119</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(0.575)</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roofErr w:type="spellStart"/>
            <w:r w:rsidRPr="007305A6">
              <w:rPr>
                <w:rFonts w:ascii="Times New Roman" w:hAnsi="Times New Roman" w:cs="Times New Roman"/>
                <w:sz w:val="20"/>
                <w:szCs w:val="20"/>
              </w:rPr>
              <w:t>Ethn</w:t>
            </w:r>
            <w:proofErr w:type="spellEnd"/>
            <w:r w:rsidRPr="007305A6">
              <w:rPr>
                <w:rFonts w:ascii="Times New Roman" w:hAnsi="Times New Roman" w:cs="Times New Roman"/>
                <w:sz w:val="20"/>
                <w:szCs w:val="20"/>
              </w:rPr>
              <w:t>. dom.</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-0.0680</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(0.673)</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ln(IMR)</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0.709</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(0.000)</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Youth</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0.0294</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(0.209)</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ln(Population)</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0.181</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(0.000)</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Education</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0.263</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(0.591)</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W. Asia &amp; N. Africa</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0.572</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(0.157)</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West Africa</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0.0201</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(0.942)</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Southern Africa</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0.0206</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(0.920)</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lastRenderedPageBreak/>
              <w:t>Constant</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-9.082</w:t>
            </w:r>
          </w:p>
        </w:tc>
      </w:tr>
      <w:tr w:rsidR="001602B0" w:rsidRPr="007305A6" w:rsidTr="00BB68DB">
        <w:tc>
          <w:tcPr>
            <w:tcW w:w="2616" w:type="dxa"/>
            <w:tcBorders>
              <w:top w:val="nil"/>
              <w:left w:val="nil"/>
              <w:bottom w:val="single" w:sz="4" w:space="0" w:color="auto"/>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p>
        </w:tc>
        <w:tc>
          <w:tcPr>
            <w:tcW w:w="1656" w:type="dxa"/>
            <w:tcBorders>
              <w:top w:val="nil"/>
              <w:left w:val="nil"/>
              <w:bottom w:val="single" w:sz="4" w:space="0" w:color="auto"/>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(0.000)</w:t>
            </w:r>
          </w:p>
        </w:tc>
      </w:tr>
      <w:tr w:rsidR="001602B0" w:rsidRPr="007305A6" w:rsidTr="00BB68DB">
        <w:tc>
          <w:tcPr>
            <w:tcW w:w="2616" w:type="dxa"/>
            <w:tcBorders>
              <w:top w:val="single" w:sz="4" w:space="0" w:color="auto"/>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Observations</w:t>
            </w:r>
          </w:p>
        </w:tc>
        <w:tc>
          <w:tcPr>
            <w:tcW w:w="1656" w:type="dxa"/>
            <w:tcBorders>
              <w:top w:val="single" w:sz="4" w:space="0" w:color="auto"/>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6084</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sz w:val="20"/>
                <w:szCs w:val="20"/>
              </w:rPr>
              <w:t xml:space="preserve">Pseudo </w:t>
            </w:r>
            <w:r w:rsidRPr="007305A6">
              <w:rPr>
                <w:rFonts w:ascii="Times New Roman" w:hAnsi="Times New Roman" w:cs="Times New Roman"/>
                <w:i/>
                <w:iCs/>
                <w:sz w:val="20"/>
                <w:szCs w:val="20"/>
              </w:rPr>
              <w:t>R</w:t>
            </w:r>
            <w:r w:rsidRPr="007305A6">
              <w:rPr>
                <w:rFonts w:ascii="Times New Roman" w:hAnsi="Times New Roman" w:cs="Times New Roman"/>
                <w:sz w:val="20"/>
                <w:szCs w:val="20"/>
                <w:vertAlign w:val="superscript"/>
              </w:rPr>
              <w:t>2</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0.056</w:t>
            </w:r>
          </w:p>
        </w:tc>
      </w:tr>
      <w:tr w:rsidR="001602B0" w:rsidRPr="007305A6" w:rsidTr="00BB68DB">
        <w:tc>
          <w:tcPr>
            <w:tcW w:w="2616" w:type="dxa"/>
            <w:tcBorders>
              <w:top w:val="nil"/>
              <w:left w:val="nil"/>
              <w:bottom w:val="nil"/>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i/>
                <w:iCs/>
                <w:sz w:val="20"/>
                <w:szCs w:val="20"/>
              </w:rPr>
              <w:t>AIC</w:t>
            </w:r>
          </w:p>
        </w:tc>
        <w:tc>
          <w:tcPr>
            <w:tcW w:w="1656" w:type="dxa"/>
            <w:tcBorders>
              <w:top w:val="nil"/>
              <w:left w:val="nil"/>
              <w:bottom w:val="nil"/>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1518.08</w:t>
            </w:r>
          </w:p>
        </w:tc>
      </w:tr>
      <w:tr w:rsidR="001602B0" w:rsidRPr="007305A6" w:rsidTr="00BB68DB">
        <w:tc>
          <w:tcPr>
            <w:tcW w:w="2616" w:type="dxa"/>
            <w:tcBorders>
              <w:top w:val="nil"/>
              <w:left w:val="nil"/>
              <w:bottom w:val="single" w:sz="4" w:space="0" w:color="auto"/>
              <w:right w:val="nil"/>
            </w:tcBorders>
          </w:tcPr>
          <w:p w:rsidR="001602B0" w:rsidRPr="007305A6" w:rsidRDefault="001602B0" w:rsidP="00BB68DB">
            <w:pPr>
              <w:widowControl w:val="0"/>
              <w:autoSpaceDE w:val="0"/>
              <w:autoSpaceDN w:val="0"/>
              <w:adjustRightInd w:val="0"/>
              <w:rPr>
                <w:rFonts w:ascii="Times New Roman" w:hAnsi="Times New Roman" w:cs="Times New Roman"/>
                <w:sz w:val="20"/>
                <w:szCs w:val="20"/>
              </w:rPr>
            </w:pPr>
            <w:r w:rsidRPr="007305A6">
              <w:rPr>
                <w:rFonts w:ascii="Times New Roman" w:hAnsi="Times New Roman" w:cs="Times New Roman"/>
                <w:i/>
                <w:iCs/>
                <w:sz w:val="20"/>
                <w:szCs w:val="20"/>
              </w:rPr>
              <w:t>BIC</w:t>
            </w:r>
          </w:p>
        </w:tc>
        <w:tc>
          <w:tcPr>
            <w:tcW w:w="1656" w:type="dxa"/>
            <w:tcBorders>
              <w:top w:val="nil"/>
              <w:left w:val="nil"/>
              <w:bottom w:val="single" w:sz="4" w:space="0" w:color="auto"/>
              <w:right w:val="nil"/>
            </w:tcBorders>
          </w:tcPr>
          <w:p w:rsidR="001602B0" w:rsidRPr="007305A6" w:rsidRDefault="001602B0" w:rsidP="00BB68DB">
            <w:pPr>
              <w:widowControl w:val="0"/>
              <w:autoSpaceDE w:val="0"/>
              <w:autoSpaceDN w:val="0"/>
              <w:adjustRightInd w:val="0"/>
              <w:jc w:val="center"/>
              <w:rPr>
                <w:rFonts w:ascii="Times New Roman" w:hAnsi="Times New Roman" w:cs="Times New Roman"/>
                <w:sz w:val="20"/>
                <w:szCs w:val="20"/>
              </w:rPr>
            </w:pPr>
            <w:r w:rsidRPr="007305A6">
              <w:rPr>
                <w:rFonts w:ascii="Times New Roman" w:hAnsi="Times New Roman" w:cs="Times New Roman"/>
                <w:sz w:val="20"/>
                <w:szCs w:val="20"/>
              </w:rPr>
              <w:t>1585.22</w:t>
            </w:r>
          </w:p>
        </w:tc>
      </w:tr>
    </w:tbl>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r w:rsidRPr="007305A6">
        <w:rPr>
          <w:rFonts w:ascii="Times New Roman" w:hAnsi="Times New Roman" w:cs="Times New Roman"/>
        </w:rPr>
        <w:br w:type="page"/>
      </w:r>
    </w:p>
    <w:p w:rsidR="001602B0" w:rsidRPr="007305A6" w:rsidRDefault="001602B0" w:rsidP="001602B0">
      <w:pPr>
        <w:rPr>
          <w:rFonts w:ascii="Times New Roman" w:hAnsi="Times New Roman" w:cs="Times New Roman"/>
        </w:rPr>
      </w:pPr>
      <w:r w:rsidRPr="007305A6">
        <w:rPr>
          <w:rFonts w:ascii="Times New Roman" w:hAnsi="Times New Roman" w:cs="Times New Roman"/>
        </w:rPr>
        <w:lastRenderedPageBreak/>
        <w:t>Appendix B:  Moving-decade AUROC scores for GEA, CU, and HEA models using PITF, NAVCO, and PRIO dependent variables</w:t>
      </w:r>
    </w:p>
    <w:p w:rsidR="001602B0" w:rsidRPr="007305A6" w:rsidRDefault="001602B0" w:rsidP="001602B0">
      <w:pPr>
        <w:rPr>
          <w:rFonts w:ascii="Times New Roman" w:hAnsi="Times New Roman" w:cs="Times New Roman"/>
        </w:rPr>
      </w:pPr>
    </w:p>
    <w:p w:rsidR="001602B0" w:rsidRPr="007305A6" w:rsidRDefault="001602B0" w:rsidP="001602B0">
      <w:pPr>
        <w:spacing w:line="360" w:lineRule="auto"/>
        <w:ind w:left="360" w:hanging="360"/>
        <w:jc w:val="both"/>
        <w:rPr>
          <w:rFonts w:ascii="Times New Roman" w:hAnsi="Times New Roman" w:cs="Times New Roman"/>
        </w:rPr>
      </w:pPr>
      <w:r w:rsidRPr="007305A6">
        <w:rPr>
          <w:rFonts w:ascii="Times New Roman" w:hAnsi="Times New Roman" w:cs="Times New Roman"/>
          <w:noProof/>
        </w:rPr>
        <w:drawing>
          <wp:inline distT="0" distB="0" distL="0" distR="0" wp14:anchorId="4DE91305" wp14:editId="018B7FAF">
            <wp:extent cx="5943600" cy="2799715"/>
            <wp:effectExtent l="0" t="0" r="0" b="635"/>
            <wp:docPr id="9" name="Chart 9">
              <a:extLst xmlns:a="http://schemas.openxmlformats.org/drawingml/2006/main">
                <a:ext uri="{FF2B5EF4-FFF2-40B4-BE49-F238E27FC236}">
                  <a16:creationId xmlns:a16="http://schemas.microsoft.com/office/drawing/2014/main" id="{D66C1D8D-06C6-480D-86DF-F3E8FBCF6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602B0" w:rsidRPr="007305A6" w:rsidRDefault="001602B0" w:rsidP="001602B0">
      <w:pPr>
        <w:spacing w:line="360" w:lineRule="auto"/>
        <w:ind w:left="360" w:hanging="360"/>
        <w:jc w:val="both"/>
        <w:rPr>
          <w:rFonts w:ascii="Times New Roman" w:hAnsi="Times New Roman" w:cs="Times New Roman"/>
        </w:rPr>
      </w:pPr>
      <w:r w:rsidRPr="007305A6">
        <w:rPr>
          <w:rFonts w:ascii="Times New Roman" w:hAnsi="Times New Roman" w:cs="Times New Roman"/>
          <w:noProof/>
        </w:rPr>
        <w:drawing>
          <wp:inline distT="0" distB="0" distL="0" distR="0" wp14:anchorId="5FAE2062" wp14:editId="361D3834">
            <wp:extent cx="5943600" cy="3350895"/>
            <wp:effectExtent l="0" t="0" r="0" b="1905"/>
            <wp:docPr id="7" name="Chart 7">
              <a:extLst xmlns:a="http://schemas.openxmlformats.org/drawingml/2006/main">
                <a:ext uri="{FF2B5EF4-FFF2-40B4-BE49-F238E27FC236}">
                  <a16:creationId xmlns:a16="http://schemas.microsoft.com/office/drawing/2014/main" id="{783F220A-D36A-49E6-98F8-67015C7BD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02B0" w:rsidRPr="007305A6" w:rsidRDefault="001602B0" w:rsidP="001602B0">
      <w:pPr>
        <w:spacing w:line="360" w:lineRule="auto"/>
        <w:ind w:left="360" w:hanging="360"/>
        <w:jc w:val="both"/>
        <w:rPr>
          <w:rFonts w:ascii="Times New Roman" w:hAnsi="Times New Roman" w:cs="Times New Roman"/>
        </w:rPr>
      </w:pPr>
      <w:r w:rsidRPr="007305A6">
        <w:rPr>
          <w:rFonts w:ascii="Times New Roman" w:hAnsi="Times New Roman" w:cs="Times New Roman"/>
          <w:noProof/>
        </w:rPr>
        <w:lastRenderedPageBreak/>
        <w:drawing>
          <wp:inline distT="0" distB="0" distL="0" distR="0" wp14:anchorId="1A01F7B6" wp14:editId="5888CC45">
            <wp:extent cx="5943600" cy="3263705"/>
            <wp:effectExtent l="0" t="0" r="0" b="13335"/>
            <wp:docPr id="12" name="Chart 12">
              <a:extLst xmlns:a="http://schemas.openxmlformats.org/drawingml/2006/main">
                <a:ext uri="{FF2B5EF4-FFF2-40B4-BE49-F238E27FC236}">
                  <a16:creationId xmlns:a16="http://schemas.microsoft.com/office/drawing/2014/main" id="{66DC661E-0600-4BF1-944A-1C8D15A5D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r w:rsidRPr="007305A6">
        <w:rPr>
          <w:rFonts w:ascii="Times New Roman" w:hAnsi="Times New Roman" w:cs="Times New Roman"/>
        </w:rPr>
        <w:br w:type="page"/>
      </w:r>
    </w:p>
    <w:p w:rsidR="001602B0" w:rsidRPr="007305A6" w:rsidRDefault="001602B0" w:rsidP="001602B0">
      <w:pPr>
        <w:rPr>
          <w:rFonts w:ascii="Times New Roman" w:hAnsi="Times New Roman" w:cs="Times New Roman"/>
        </w:rPr>
      </w:pPr>
      <w:r w:rsidRPr="007305A6">
        <w:rPr>
          <w:rFonts w:ascii="Times New Roman" w:hAnsi="Times New Roman" w:cs="Times New Roman"/>
        </w:rPr>
        <w:lastRenderedPageBreak/>
        <w:t>Appendix C:  Comparing Moving-Decade AUROC and Out-of-Sample Accuracy</w:t>
      </w:r>
    </w:p>
    <w:p w:rsidR="001602B0" w:rsidRPr="007305A6" w:rsidRDefault="001602B0" w:rsidP="001602B0">
      <w:pPr>
        <w:rPr>
          <w:rFonts w:ascii="Times New Roman" w:hAnsi="Times New Roman" w:cs="Times New Roman"/>
        </w:rPr>
      </w:pPr>
    </w:p>
    <w:p w:rsidR="001602B0" w:rsidRPr="007305A6" w:rsidRDefault="001602B0" w:rsidP="001602B0">
      <w:pPr>
        <w:rPr>
          <w:rFonts w:ascii="Times New Roman" w:hAnsi="Times New Roman" w:cs="Times New Roman"/>
        </w:rPr>
      </w:pPr>
      <w:r w:rsidRPr="007305A6">
        <w:rPr>
          <w:rFonts w:ascii="Times New Roman" w:hAnsi="Times New Roman" w:cs="Times New Roman"/>
          <w:noProof/>
        </w:rPr>
        <w:drawing>
          <wp:inline distT="0" distB="0" distL="0" distR="0" wp14:anchorId="13115407" wp14:editId="1AD145AB">
            <wp:extent cx="5943600" cy="3319145"/>
            <wp:effectExtent l="0" t="0" r="0" b="8255"/>
            <wp:docPr id="5" name="Chart 5">
              <a:extLst xmlns:a="http://schemas.openxmlformats.org/drawingml/2006/main">
                <a:ext uri="{FF2B5EF4-FFF2-40B4-BE49-F238E27FC236}">
                  <a16:creationId xmlns:a16="http://schemas.microsoft.com/office/drawing/2014/main" id="{8AFEB2EF-AE02-4261-94F3-FF9B1377B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02B0" w:rsidRPr="007305A6" w:rsidRDefault="001602B0" w:rsidP="001602B0">
      <w:pPr>
        <w:rPr>
          <w:rFonts w:ascii="Times New Roman" w:hAnsi="Times New Roman" w:cs="Times New Roman"/>
        </w:rPr>
      </w:pPr>
    </w:p>
    <w:p w:rsidR="001602B0" w:rsidRPr="007305A6" w:rsidRDefault="001602B0" w:rsidP="001602B0">
      <w:pPr>
        <w:spacing w:line="480" w:lineRule="auto"/>
        <w:jc w:val="both"/>
        <w:rPr>
          <w:rFonts w:ascii="Times New Roman" w:hAnsi="Times New Roman" w:cs="Times New Roman"/>
        </w:rPr>
      </w:pPr>
    </w:p>
    <w:p w:rsidR="001602B0" w:rsidRPr="007305A6" w:rsidRDefault="001602B0" w:rsidP="001602B0">
      <w:pPr>
        <w:rPr>
          <w:rFonts w:ascii="Times New Roman" w:hAnsi="Times New Roman" w:cs="Times New Roman"/>
        </w:rPr>
      </w:pPr>
      <w:r w:rsidRPr="007305A6">
        <w:rPr>
          <w:rFonts w:ascii="Times New Roman" w:hAnsi="Times New Roman" w:cs="Times New Roman"/>
        </w:rPr>
        <w:br w:type="page"/>
      </w:r>
    </w:p>
    <w:p w:rsidR="001602B0" w:rsidRPr="007305A6" w:rsidRDefault="001602B0" w:rsidP="001602B0">
      <w:pPr>
        <w:spacing w:line="480" w:lineRule="auto"/>
        <w:jc w:val="both"/>
        <w:rPr>
          <w:rFonts w:ascii="Times New Roman" w:hAnsi="Times New Roman" w:cs="Times New Roman"/>
        </w:rPr>
      </w:pPr>
      <w:r w:rsidRPr="007305A6">
        <w:rPr>
          <w:rFonts w:ascii="Times New Roman" w:hAnsi="Times New Roman" w:cs="Times New Roman"/>
        </w:rPr>
        <w:lastRenderedPageBreak/>
        <w:t xml:space="preserve">We see close correspondence between the moving-decade AUROC and out-of-sample accuracy. The out-of-sample accuracy for each 10-year interval were calculated exactly like the 1995-2004 &amp; 2005-2014 validation exercises, whereby predictions are made with models estimated with all years before the year of prediction. Therefore, the points representing earlier decades are based on less data than more recent decades. Even still, the two curves track one another very closely.   </w:t>
      </w:r>
    </w:p>
    <w:p w:rsidR="001602B0" w:rsidRPr="007305A6" w:rsidRDefault="001602B0" w:rsidP="001602B0">
      <w:pPr>
        <w:rPr>
          <w:rFonts w:ascii="Times New Roman" w:hAnsi="Times New Roman" w:cs="Times New Roman"/>
        </w:rPr>
      </w:pPr>
      <w:r w:rsidRPr="007305A6">
        <w:rPr>
          <w:rFonts w:ascii="Times New Roman" w:hAnsi="Times New Roman" w:cs="Times New Roman"/>
        </w:rPr>
        <w:br w:type="page"/>
      </w:r>
    </w:p>
    <w:p w:rsidR="001602B0" w:rsidRPr="007305A6" w:rsidRDefault="001602B0" w:rsidP="001602B0">
      <w:pPr>
        <w:spacing w:line="480" w:lineRule="auto"/>
        <w:rPr>
          <w:rFonts w:ascii="Times New Roman" w:hAnsi="Times New Roman" w:cs="Times New Roman"/>
        </w:rPr>
      </w:pPr>
      <w:r w:rsidRPr="007305A6">
        <w:rPr>
          <w:rFonts w:ascii="Times New Roman" w:hAnsi="Times New Roman" w:cs="Times New Roman"/>
        </w:rPr>
        <w:lastRenderedPageBreak/>
        <w:t>Appendix D: Predicted onset by decile for GEA, HEA and CU</w:t>
      </w:r>
    </w:p>
    <w:tbl>
      <w:tblPr>
        <w:tblW w:w="9855" w:type="dxa"/>
        <w:tblLook w:val="04A0" w:firstRow="1" w:lastRow="0" w:firstColumn="1" w:lastColumn="0" w:noHBand="0" w:noVBand="1"/>
      </w:tblPr>
      <w:tblGrid>
        <w:gridCol w:w="1890"/>
        <w:gridCol w:w="581"/>
        <w:gridCol w:w="826"/>
        <w:gridCol w:w="500"/>
        <w:gridCol w:w="1339"/>
        <w:gridCol w:w="900"/>
        <w:gridCol w:w="826"/>
        <w:gridCol w:w="500"/>
        <w:gridCol w:w="1104"/>
        <w:gridCol w:w="581"/>
        <w:gridCol w:w="826"/>
      </w:tblGrid>
      <w:tr w:rsidR="001602B0" w:rsidRPr="007305A6" w:rsidTr="00BB68DB">
        <w:trPr>
          <w:trHeight w:val="260"/>
        </w:trPr>
        <w:tc>
          <w:tcPr>
            <w:tcW w:w="1890" w:type="dxa"/>
            <w:tcBorders>
              <w:left w:val="nil"/>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GEA</w:t>
            </w:r>
          </w:p>
        </w:tc>
        <w:tc>
          <w:tcPr>
            <w:tcW w:w="581" w:type="dxa"/>
            <w:tcBorders>
              <w:left w:val="nil"/>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820" w:type="dxa"/>
            <w:tcBorders>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500" w:type="dxa"/>
            <w:tcBorders>
              <w:left w:val="single" w:sz="4" w:space="0" w:color="FFFFFF"/>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1339" w:type="dxa"/>
            <w:tcBorders>
              <w:left w:val="nil"/>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HEA</w:t>
            </w:r>
          </w:p>
        </w:tc>
        <w:tc>
          <w:tcPr>
            <w:tcW w:w="900" w:type="dxa"/>
            <w:tcBorders>
              <w:left w:val="nil"/>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820" w:type="dxa"/>
            <w:tcBorders>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500" w:type="dxa"/>
            <w:tcBorders>
              <w:left w:val="single" w:sz="4" w:space="0" w:color="FFFFFF"/>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1104" w:type="dxa"/>
            <w:tcBorders>
              <w:left w:val="nil"/>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CU</w:t>
            </w:r>
          </w:p>
        </w:tc>
        <w:tc>
          <w:tcPr>
            <w:tcW w:w="581" w:type="dxa"/>
            <w:tcBorders>
              <w:left w:val="nil"/>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c>
          <w:tcPr>
            <w:tcW w:w="820" w:type="dxa"/>
            <w:tcBorders>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i/>
                <w:iCs/>
                <w:color w:val="000000"/>
              </w:rPr>
            </w:pPr>
            <w:r w:rsidRPr="007305A6">
              <w:rPr>
                <w:rFonts w:ascii="Times New Roman" w:eastAsia="Times New Roman" w:hAnsi="Times New Roman" w:cs="Times New Roman"/>
                <w:i/>
                <w:iCs/>
                <w:color w:val="000000"/>
              </w:rPr>
              <w:t> </w:t>
            </w:r>
          </w:p>
        </w:tc>
      </w:tr>
      <w:tr w:rsidR="001602B0" w:rsidRPr="007305A6" w:rsidTr="00BB68DB">
        <w:trPr>
          <w:trHeight w:val="323"/>
        </w:trPr>
        <w:tc>
          <w:tcPr>
            <w:tcW w:w="1890"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Country</w:t>
            </w:r>
          </w:p>
        </w:tc>
        <w:tc>
          <w:tcPr>
            <w:tcW w:w="581"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Year</w:t>
            </w:r>
          </w:p>
        </w:tc>
        <w:tc>
          <w:tcPr>
            <w:tcW w:w="820"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Ranking</w:t>
            </w:r>
          </w:p>
        </w:tc>
        <w:tc>
          <w:tcPr>
            <w:tcW w:w="500" w:type="dxa"/>
            <w:tcBorders>
              <w:top w:val="single" w:sz="4" w:space="0" w:color="auto"/>
              <w:left w:val="single" w:sz="4" w:space="0" w:color="FFFFFF"/>
              <w:bottom w:val="single" w:sz="4" w:space="0" w:color="FFFFFF"/>
              <w:right w:val="single" w:sz="4" w:space="0" w:color="FFFFFF"/>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Country</w:t>
            </w:r>
          </w:p>
        </w:tc>
        <w:tc>
          <w:tcPr>
            <w:tcW w:w="900"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Year</w:t>
            </w:r>
          </w:p>
        </w:tc>
        <w:tc>
          <w:tcPr>
            <w:tcW w:w="820"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Ranking</w:t>
            </w:r>
          </w:p>
        </w:tc>
        <w:tc>
          <w:tcPr>
            <w:tcW w:w="500" w:type="dxa"/>
            <w:tcBorders>
              <w:top w:val="single" w:sz="4" w:space="0" w:color="auto"/>
              <w:left w:val="single" w:sz="4" w:space="0" w:color="FFFFFF"/>
              <w:bottom w:val="single" w:sz="4" w:space="0" w:color="FFFFFF"/>
              <w:right w:val="single" w:sz="4" w:space="0" w:color="FFFFFF"/>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Country</w:t>
            </w:r>
          </w:p>
        </w:tc>
        <w:tc>
          <w:tcPr>
            <w:tcW w:w="581"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Year</w:t>
            </w:r>
          </w:p>
        </w:tc>
        <w:tc>
          <w:tcPr>
            <w:tcW w:w="820" w:type="dxa"/>
            <w:tcBorders>
              <w:top w:val="single" w:sz="4" w:space="0" w:color="auto"/>
              <w:left w:val="nil"/>
              <w:bottom w:val="single" w:sz="4" w:space="0" w:color="auto"/>
              <w:right w:val="nil"/>
            </w:tcBorders>
            <w:shd w:val="clear" w:color="auto" w:fill="auto"/>
            <w:noWrap/>
            <w:vAlign w:val="center"/>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Ranking</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Armenia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1995</w:t>
            </w:r>
          </w:p>
        </w:tc>
        <w:tc>
          <w:tcPr>
            <w:tcW w:w="820" w:type="dxa"/>
            <w:tcBorders>
              <w:top w:val="single" w:sz="4" w:space="0" w:color="auto"/>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Croatia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Yugoslavia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Belarus</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Pakistan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Indonesia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Comoros</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Senegal</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Cambodia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1997</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Albania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Central African Rep.</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Malaysia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80%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Nepal</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Congo Kinshasa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Croatia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Niger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Iran (Persia)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Indonesia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Zambia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Mexico</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Iran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Cambodia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1997</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Nepal</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Morocco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Congo Brazzaville</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1997</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Niger</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Egypt</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Guinea-Bissau</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Chad</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Fiji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Lesotho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Comoros</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Ghana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xml:space="preserve">Serbia and </w:t>
            </w:r>
          </w:p>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Montenegro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80%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Congo</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Peru</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Ethiopia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Eritrea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Senegal</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Haiti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Indonesia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Ukraine</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Guinea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Rwanda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Philippines</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Solomon Islands</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Senegal</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Sri Lanka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Ivory Coast</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2002</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Ethiopia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1998</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Zambia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xml:space="preserve">Central African </w:t>
            </w:r>
          </w:p>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Republic</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2003</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Guinea-Bissau</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Madagascar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2001</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Iran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Lesotho</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Nepal</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Thailand</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Serbia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Venezuela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2001</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Yemen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Tajikistan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Bolivia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Chad</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United Kingdom</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Georgia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2002</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Fiji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Djibouti</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Haiti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Nigeria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Eritrea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Bangladesh</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2003</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Bangladesh</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2007</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Iran (Persia)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Bolivia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2003</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Ethiopia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2007</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Russia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Bolivia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Mexico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Uzbekistan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1999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Ecuador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Mauritania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Guinea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Haiti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China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Liberia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Kyrgyzstan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Madagascar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Senegal</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Lebanon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Niger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Central African Rep.</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Thailand</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Haiti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Macedonia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Togo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2004</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Egypt</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Somalia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Bangladesh</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Libya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80%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United States</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80%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Belarus</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2005</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Syria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Congo</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2002</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Lebanon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Guinea-Bissau</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Cote D’Ivoire</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Mexico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Mali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Iraq</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xml:space="preserve">Timor </w:t>
            </w:r>
            <w:proofErr w:type="spellStart"/>
            <w:r w:rsidRPr="007305A6">
              <w:rPr>
                <w:rFonts w:ascii="Times New Roman" w:eastAsia="Times New Roman" w:hAnsi="Times New Roman" w:cs="Times New Roman"/>
                <w:color w:val="000000"/>
                <w:sz w:val="18"/>
                <w:szCs w:val="18"/>
              </w:rPr>
              <w:t>Leste</w:t>
            </w:r>
            <w:proofErr w:type="spellEnd"/>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Ukraine</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2014</w:t>
            </w:r>
          </w:p>
        </w:tc>
        <w:tc>
          <w:tcPr>
            <w:tcW w:w="820" w:type="dxa"/>
            <w:tcBorders>
              <w:top w:val="nil"/>
              <w:left w:val="nil"/>
              <w:bottom w:val="nil"/>
              <w:right w:val="single" w:sz="4" w:space="0" w:color="FFFFFF"/>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nil"/>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Pakistan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2002</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Armenia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Eritrea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2003</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Egypt</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Senegal</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2003</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Guinea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Sri Lanka (Ceylon)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2003</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Myanmar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Thailand</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2003</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Nepal</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Angola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2004</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Pakistan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Georgia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2004</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Russia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Haiti</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2004</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Thailand</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Nigeria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2004</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Yemen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Uzbekistan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2004</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Haiti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Azerbaijan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Iraq</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Chad</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Thailand</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2007</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Iran (Persia)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2005</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Bulgaria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80%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Myanmar (Burma)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Honduras</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Sri Lanka (Ceylon)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Iran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Turkey</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2005</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Madagascar</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Central African Rep.</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Moldova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Congo Kinshasa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Pakistan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Morocco</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2006</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Kyrgyzstan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Somalia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2006</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Morocco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Angola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2007</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Nepal</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Mali</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Russia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Niger</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2007</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Tunisia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2009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Peru</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2007</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Algeria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Burundi</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2008</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Bahrain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Georgia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Djibouti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70%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Iran (Persia)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2008</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Iraq</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Turkey</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2008</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Jordan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Angola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Malawi</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Central African Rep.</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2009</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Mauritania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Nigeria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Sudan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Rwanda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Syria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Uganda</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2009</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Uganda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Yemen</w:t>
            </w:r>
          </w:p>
        </w:tc>
        <w:tc>
          <w:tcPr>
            <w:tcW w:w="900"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sz w:val="18"/>
                <w:szCs w:val="18"/>
              </w:rPr>
            </w:pPr>
            <w:r w:rsidRPr="007305A6">
              <w:rPr>
                <w:rFonts w:ascii="Times New Roman" w:eastAsia="Times New Roman" w:hAnsi="Times New Roman" w:cs="Times New Roman"/>
                <w:sz w:val="18"/>
                <w:szCs w:val="18"/>
              </w:rPr>
              <w:t>2009</w:t>
            </w:r>
          </w:p>
        </w:tc>
        <w:tc>
          <w:tcPr>
            <w:tcW w:w="820" w:type="dxa"/>
            <w:tcBorders>
              <w:top w:val="nil"/>
              <w:left w:val="nil"/>
              <w:bottom w:val="nil"/>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c>
          <w:tcPr>
            <w:tcW w:w="500" w:type="dxa"/>
            <w:tcBorders>
              <w:top w:val="nil"/>
              <w:left w:val="nil"/>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Yemen</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2010</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China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2011</w:t>
            </w:r>
          </w:p>
        </w:tc>
        <w:tc>
          <w:tcPr>
            <w:tcW w:w="820" w:type="dxa"/>
            <w:tcBorders>
              <w:top w:val="nil"/>
              <w:left w:val="nil"/>
              <w:bottom w:val="nil"/>
              <w:right w:val="nil"/>
            </w:tcBorders>
            <w:shd w:val="clear" w:color="000000" w:fill="D9D9D9"/>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Nepal</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60%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Togo</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2011</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30%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Bulgaria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90%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Egypt</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Thailand</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40%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single" w:sz="4" w:space="0" w:color="FFFFFF"/>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Tunisia</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7305A6" w:rsidTr="00BB68DB">
        <w:trPr>
          <w:trHeight w:val="240"/>
        </w:trPr>
        <w:tc>
          <w:tcPr>
            <w:tcW w:w="189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p>
        </w:tc>
        <w:tc>
          <w:tcPr>
            <w:tcW w:w="581"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nil"/>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p>
        </w:tc>
        <w:tc>
          <w:tcPr>
            <w:tcW w:w="90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sz w:val="20"/>
                <w:szCs w:val="20"/>
              </w:rPr>
            </w:pPr>
          </w:p>
        </w:tc>
        <w:tc>
          <w:tcPr>
            <w:tcW w:w="500" w:type="dxa"/>
            <w:tcBorders>
              <w:top w:val="nil"/>
              <w:left w:val="single" w:sz="4" w:space="0" w:color="FFFFFF"/>
              <w:bottom w:val="nil"/>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nil"/>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Turkey</w:t>
            </w:r>
          </w:p>
        </w:tc>
        <w:tc>
          <w:tcPr>
            <w:tcW w:w="581" w:type="dxa"/>
            <w:tcBorders>
              <w:top w:val="nil"/>
              <w:left w:val="nil"/>
              <w:bottom w:val="nil"/>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nil"/>
              <w:right w:val="nil"/>
            </w:tcBorders>
            <w:shd w:val="clear" w:color="000000" w:fill="BFBFBF"/>
            <w:noWrap/>
            <w:vAlign w:val="bottom"/>
            <w:hideMark/>
          </w:tcPr>
          <w:p w:rsidR="001602B0" w:rsidRPr="007305A6" w:rsidRDefault="001602B0" w:rsidP="00BB68DB">
            <w:pPr>
              <w:rPr>
                <w:rFonts w:ascii="Times New Roman" w:eastAsia="Times New Roman" w:hAnsi="Times New Roman" w:cs="Times New Roman"/>
                <w:bCs/>
                <w:color w:val="000000"/>
                <w:sz w:val="18"/>
                <w:szCs w:val="18"/>
              </w:rPr>
            </w:pPr>
            <w:r w:rsidRPr="007305A6">
              <w:rPr>
                <w:rFonts w:ascii="Times New Roman" w:eastAsia="Times New Roman" w:hAnsi="Times New Roman" w:cs="Times New Roman"/>
                <w:bCs/>
                <w:color w:val="000000"/>
                <w:sz w:val="18"/>
                <w:szCs w:val="18"/>
              </w:rPr>
              <w:t>10%</w:t>
            </w:r>
          </w:p>
        </w:tc>
      </w:tr>
      <w:tr w:rsidR="001602B0" w:rsidRPr="00B10FC5" w:rsidTr="00BB68DB">
        <w:trPr>
          <w:trHeight w:val="240"/>
        </w:trPr>
        <w:tc>
          <w:tcPr>
            <w:tcW w:w="1890"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581"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820"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500" w:type="dxa"/>
            <w:tcBorders>
              <w:top w:val="nil"/>
              <w:left w:val="single" w:sz="4" w:space="0" w:color="FFFFFF"/>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339"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900"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820"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500" w:type="dxa"/>
            <w:tcBorders>
              <w:top w:val="nil"/>
              <w:left w:val="single" w:sz="4" w:space="0" w:color="FFFFFF"/>
              <w:bottom w:val="single" w:sz="4" w:space="0" w:color="auto"/>
              <w:right w:val="single" w:sz="4" w:space="0" w:color="FFFFFF"/>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 </w:t>
            </w:r>
          </w:p>
        </w:tc>
        <w:tc>
          <w:tcPr>
            <w:tcW w:w="1104" w:type="dxa"/>
            <w:tcBorders>
              <w:top w:val="nil"/>
              <w:left w:val="nil"/>
              <w:bottom w:val="single" w:sz="4" w:space="0" w:color="auto"/>
              <w:right w:val="nil"/>
            </w:tcBorders>
            <w:shd w:val="clear" w:color="auto" w:fill="auto"/>
            <w:noWrap/>
            <w:vAlign w:val="bottom"/>
            <w:hideMark/>
          </w:tcPr>
          <w:p w:rsidR="001602B0" w:rsidRPr="007305A6"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Ukraine</w:t>
            </w:r>
          </w:p>
        </w:tc>
        <w:tc>
          <w:tcPr>
            <w:tcW w:w="581" w:type="dxa"/>
            <w:tcBorders>
              <w:top w:val="nil"/>
              <w:left w:val="nil"/>
              <w:bottom w:val="single" w:sz="4" w:space="0" w:color="auto"/>
              <w:right w:val="nil"/>
            </w:tcBorders>
            <w:shd w:val="clear" w:color="auto" w:fill="auto"/>
            <w:noWrap/>
            <w:vAlign w:val="bottom"/>
            <w:hideMark/>
          </w:tcPr>
          <w:p w:rsidR="001602B0" w:rsidRPr="007305A6" w:rsidRDefault="001602B0" w:rsidP="00BB68DB">
            <w:pPr>
              <w:jc w:val="right"/>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2012</w:t>
            </w:r>
          </w:p>
        </w:tc>
        <w:tc>
          <w:tcPr>
            <w:tcW w:w="820" w:type="dxa"/>
            <w:tcBorders>
              <w:top w:val="nil"/>
              <w:left w:val="nil"/>
              <w:bottom w:val="single" w:sz="4" w:space="0" w:color="auto"/>
              <w:right w:val="nil"/>
            </w:tcBorders>
            <w:shd w:val="clear" w:color="auto" w:fill="auto"/>
            <w:noWrap/>
            <w:vAlign w:val="bottom"/>
            <w:hideMark/>
          </w:tcPr>
          <w:p w:rsidR="001602B0" w:rsidRPr="008B2440" w:rsidRDefault="001602B0" w:rsidP="00BB68DB">
            <w:pPr>
              <w:rPr>
                <w:rFonts w:ascii="Times New Roman" w:eastAsia="Times New Roman" w:hAnsi="Times New Roman" w:cs="Times New Roman"/>
                <w:color w:val="000000"/>
                <w:sz w:val="18"/>
                <w:szCs w:val="18"/>
              </w:rPr>
            </w:pPr>
            <w:r w:rsidRPr="007305A6">
              <w:rPr>
                <w:rFonts w:ascii="Times New Roman" w:eastAsia="Times New Roman" w:hAnsi="Times New Roman" w:cs="Times New Roman"/>
                <w:color w:val="000000"/>
                <w:sz w:val="18"/>
                <w:szCs w:val="18"/>
              </w:rPr>
              <w:t>50%</w:t>
            </w:r>
          </w:p>
        </w:tc>
      </w:tr>
    </w:tbl>
    <w:p w:rsidR="001602B0" w:rsidRPr="00B10FC5" w:rsidRDefault="001602B0" w:rsidP="001602B0">
      <w:pPr>
        <w:spacing w:line="480" w:lineRule="auto"/>
        <w:rPr>
          <w:rFonts w:ascii="Times New Roman" w:hAnsi="Times New Roman" w:cs="Times New Roman"/>
        </w:rPr>
      </w:pPr>
    </w:p>
    <w:p w:rsidR="00AE7A97" w:rsidRDefault="00AE7A97">
      <w:bookmarkStart w:id="0" w:name="_GoBack"/>
      <w:bookmarkEnd w:id="0"/>
    </w:p>
    <w:sectPr w:rsidR="00AE7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E5A3C"/>
    <w:multiLevelType w:val="hybridMultilevel"/>
    <w:tmpl w:val="F02C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B0"/>
    <w:rsid w:val="001602B0"/>
    <w:rsid w:val="00AE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7CBC8-DBBF-46FF-9020-52863302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2B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1602B0"/>
    <w:pPr>
      <w:spacing w:line="276" w:lineRule="auto"/>
      <w:jc w:val="both"/>
    </w:pPr>
    <w:rPr>
      <w:rFonts w:ascii="Times New Roman" w:eastAsiaTheme="minorEastAsia" w:hAnsi="Times New Roman"/>
    </w:rPr>
  </w:style>
  <w:style w:type="character" w:customStyle="1" w:styleId="FootnoteTextChar">
    <w:name w:val="Footnote Text Char"/>
    <w:basedOn w:val="DefaultParagraphFont"/>
    <w:link w:val="FootnoteText"/>
    <w:uiPriority w:val="99"/>
    <w:rsid w:val="001602B0"/>
    <w:rPr>
      <w:rFonts w:ascii="Times New Roman" w:eastAsiaTheme="minorEastAsia" w:hAnsi="Times New Roman"/>
      <w:sz w:val="24"/>
      <w:szCs w:val="24"/>
    </w:rPr>
  </w:style>
  <w:style w:type="character" w:styleId="FootnoteReference">
    <w:name w:val="footnote reference"/>
    <w:basedOn w:val="DefaultParagraphFont"/>
    <w:uiPriority w:val="99"/>
    <w:unhideWhenUsed/>
    <w:rsid w:val="001602B0"/>
    <w:rPr>
      <w:vertAlign w:val="superscript"/>
    </w:rPr>
  </w:style>
  <w:style w:type="character" w:styleId="Emphasis">
    <w:name w:val="Emphasis"/>
    <w:basedOn w:val="DefaultParagraphFont"/>
    <w:uiPriority w:val="20"/>
    <w:qFormat/>
    <w:rsid w:val="001602B0"/>
    <w:rPr>
      <w:i/>
      <w:iCs/>
    </w:rPr>
  </w:style>
  <w:style w:type="paragraph" w:styleId="ListParagraph">
    <w:name w:val="List Paragraph"/>
    <w:basedOn w:val="Normal"/>
    <w:uiPriority w:val="34"/>
    <w:qFormat/>
    <w:rsid w:val="001602B0"/>
    <w:pPr>
      <w:ind w:left="720"/>
      <w:contextualSpacing/>
    </w:pPr>
  </w:style>
  <w:style w:type="character" w:styleId="CommentReference">
    <w:name w:val="annotation reference"/>
    <w:basedOn w:val="DefaultParagraphFont"/>
    <w:uiPriority w:val="99"/>
    <w:semiHidden/>
    <w:unhideWhenUsed/>
    <w:rsid w:val="001602B0"/>
    <w:rPr>
      <w:sz w:val="18"/>
      <w:szCs w:val="18"/>
    </w:rPr>
  </w:style>
  <w:style w:type="paragraph" w:styleId="CommentText">
    <w:name w:val="annotation text"/>
    <w:basedOn w:val="Normal"/>
    <w:link w:val="CommentTextChar"/>
    <w:uiPriority w:val="99"/>
    <w:semiHidden/>
    <w:unhideWhenUsed/>
    <w:rsid w:val="001602B0"/>
  </w:style>
  <w:style w:type="character" w:customStyle="1" w:styleId="CommentTextChar">
    <w:name w:val="Comment Text Char"/>
    <w:basedOn w:val="DefaultParagraphFont"/>
    <w:link w:val="CommentText"/>
    <w:uiPriority w:val="99"/>
    <w:semiHidden/>
    <w:rsid w:val="001602B0"/>
    <w:rPr>
      <w:sz w:val="24"/>
      <w:szCs w:val="24"/>
    </w:rPr>
  </w:style>
  <w:style w:type="paragraph" w:styleId="CommentSubject">
    <w:name w:val="annotation subject"/>
    <w:basedOn w:val="CommentText"/>
    <w:next w:val="CommentText"/>
    <w:link w:val="CommentSubjectChar"/>
    <w:uiPriority w:val="99"/>
    <w:semiHidden/>
    <w:unhideWhenUsed/>
    <w:rsid w:val="001602B0"/>
    <w:rPr>
      <w:b/>
      <w:bCs/>
      <w:sz w:val="20"/>
      <w:szCs w:val="20"/>
    </w:rPr>
  </w:style>
  <w:style w:type="character" w:customStyle="1" w:styleId="CommentSubjectChar">
    <w:name w:val="Comment Subject Char"/>
    <w:basedOn w:val="CommentTextChar"/>
    <w:link w:val="CommentSubject"/>
    <w:uiPriority w:val="99"/>
    <w:semiHidden/>
    <w:rsid w:val="001602B0"/>
    <w:rPr>
      <w:b/>
      <w:bCs/>
      <w:sz w:val="20"/>
      <w:szCs w:val="20"/>
    </w:rPr>
  </w:style>
  <w:style w:type="paragraph" w:styleId="BalloonText">
    <w:name w:val="Balloon Text"/>
    <w:basedOn w:val="Normal"/>
    <w:link w:val="BalloonTextChar"/>
    <w:uiPriority w:val="99"/>
    <w:semiHidden/>
    <w:unhideWhenUsed/>
    <w:rsid w:val="001602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02B0"/>
    <w:rPr>
      <w:rFonts w:ascii="Times New Roman" w:hAnsi="Times New Roman" w:cs="Times New Roman"/>
      <w:sz w:val="18"/>
      <w:szCs w:val="18"/>
    </w:rPr>
  </w:style>
  <w:style w:type="paragraph" w:styleId="NormalWeb">
    <w:name w:val="Normal (Web)"/>
    <w:basedOn w:val="Normal"/>
    <w:uiPriority w:val="99"/>
    <w:semiHidden/>
    <w:unhideWhenUsed/>
    <w:rsid w:val="001602B0"/>
    <w:rPr>
      <w:rFonts w:ascii="Times New Roman" w:hAnsi="Times New Roman" w:cs="Times New Roman"/>
    </w:rPr>
  </w:style>
  <w:style w:type="paragraph" w:styleId="Footer">
    <w:name w:val="footer"/>
    <w:basedOn w:val="Normal"/>
    <w:link w:val="FooterChar"/>
    <w:uiPriority w:val="99"/>
    <w:unhideWhenUsed/>
    <w:rsid w:val="001602B0"/>
    <w:pPr>
      <w:tabs>
        <w:tab w:val="center" w:pos="4680"/>
        <w:tab w:val="right" w:pos="9360"/>
      </w:tabs>
    </w:pPr>
  </w:style>
  <w:style w:type="character" w:customStyle="1" w:styleId="FooterChar">
    <w:name w:val="Footer Char"/>
    <w:basedOn w:val="DefaultParagraphFont"/>
    <w:link w:val="Footer"/>
    <w:uiPriority w:val="99"/>
    <w:rsid w:val="001602B0"/>
    <w:rPr>
      <w:sz w:val="24"/>
      <w:szCs w:val="24"/>
    </w:rPr>
  </w:style>
  <w:style w:type="character" w:styleId="PageNumber">
    <w:name w:val="page number"/>
    <w:basedOn w:val="DefaultParagraphFont"/>
    <w:uiPriority w:val="99"/>
    <w:semiHidden/>
    <w:unhideWhenUsed/>
    <w:rsid w:val="001602B0"/>
  </w:style>
  <w:style w:type="paragraph" w:styleId="Header">
    <w:name w:val="header"/>
    <w:basedOn w:val="Normal"/>
    <w:link w:val="HeaderChar"/>
    <w:uiPriority w:val="99"/>
    <w:unhideWhenUsed/>
    <w:rsid w:val="001602B0"/>
    <w:pPr>
      <w:tabs>
        <w:tab w:val="center" w:pos="4680"/>
        <w:tab w:val="right" w:pos="9360"/>
      </w:tabs>
    </w:pPr>
  </w:style>
  <w:style w:type="character" w:customStyle="1" w:styleId="HeaderChar">
    <w:name w:val="Header Char"/>
    <w:basedOn w:val="DefaultParagraphFont"/>
    <w:link w:val="Header"/>
    <w:uiPriority w:val="99"/>
    <w:rsid w:val="001602B0"/>
    <w:rPr>
      <w:sz w:val="24"/>
      <w:szCs w:val="24"/>
    </w:rPr>
  </w:style>
  <w:style w:type="paragraph" w:styleId="Revision">
    <w:name w:val="Revision"/>
    <w:hidden/>
    <w:uiPriority w:val="99"/>
    <w:semiHidden/>
    <w:rsid w:val="001602B0"/>
    <w:pPr>
      <w:spacing w:after="0" w:line="240" w:lineRule="auto"/>
    </w:pPr>
    <w:rPr>
      <w:sz w:val="24"/>
      <w:szCs w:val="24"/>
    </w:rPr>
  </w:style>
  <w:style w:type="character" w:styleId="Hyperlink">
    <w:name w:val="Hyperlink"/>
    <w:basedOn w:val="DefaultParagraphFont"/>
    <w:uiPriority w:val="99"/>
    <w:semiHidden/>
    <w:unhideWhenUsed/>
    <w:rsid w:val="00160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ew\Documents\Minerva\Forecasting%20Failures\Future%20is%20a%20Moving%20Target%20Replication\GEA%20onse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ew\Documents\Minerva\Forecasting%20Failures\Future%20is%20a%20Moving%20Target%20Replication\CU%20onse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ew\Documents\Minerva\Forecasting%20Failures\Future%20is%20a%20Moving%20Target%20Replication\Hegre%20Onse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ew\Documents\Forecasting%20Failures%204.10.17\Modified%20mAUROC%20Figure%20(w%20replication%20fil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Using PITF as Dependent</a:t>
            </a:r>
            <a:r>
              <a:rPr lang="en-US" baseline="0"/>
              <a:t> Variable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Sheet1!$C$1</c:f>
              <c:strCache>
                <c:ptCount val="1"/>
                <c:pt idx="0">
                  <c:v>CU</c:v>
                </c:pt>
              </c:strCache>
            </c:strRef>
          </c:tx>
          <c:spPr>
            <a:ln w="28575" cap="rnd">
              <a:solidFill>
                <a:schemeClr val="bg1">
                  <a:lumMod val="50000"/>
                </a:schemeClr>
              </a:solidFill>
              <a:round/>
            </a:ln>
            <a:effectLst/>
          </c:spPr>
          <c:marker>
            <c:symbol val="none"/>
          </c:marker>
          <c:cat>
            <c:strRef>
              <c:f>Sheet1!$B$2:$B$51</c:f>
              <c:strCache>
                <c:ptCount val="50"/>
                <c:pt idx="0">
                  <c:v>1955-1964</c:v>
                </c:pt>
                <c:pt idx="1">
                  <c:v>1956-1965</c:v>
                </c:pt>
                <c:pt idx="2">
                  <c:v>1957-1966</c:v>
                </c:pt>
                <c:pt idx="3">
                  <c:v>1958-1967</c:v>
                </c:pt>
                <c:pt idx="4">
                  <c:v>1959-1968</c:v>
                </c:pt>
                <c:pt idx="5">
                  <c:v>1960-1969</c:v>
                </c:pt>
                <c:pt idx="6">
                  <c:v>1961-1970</c:v>
                </c:pt>
                <c:pt idx="7">
                  <c:v>1962-1971</c:v>
                </c:pt>
                <c:pt idx="8">
                  <c:v>1963-1972</c:v>
                </c:pt>
                <c:pt idx="9">
                  <c:v>1964-1973</c:v>
                </c:pt>
                <c:pt idx="10">
                  <c:v>1965-1974</c:v>
                </c:pt>
                <c:pt idx="11">
                  <c:v>1966-1975</c:v>
                </c:pt>
                <c:pt idx="12">
                  <c:v>1967-1976</c:v>
                </c:pt>
                <c:pt idx="13">
                  <c:v>1968-1977</c:v>
                </c:pt>
                <c:pt idx="14">
                  <c:v>1969-1978</c:v>
                </c:pt>
                <c:pt idx="15">
                  <c:v>1970-1979</c:v>
                </c:pt>
                <c:pt idx="16">
                  <c:v>1971-1980</c:v>
                </c:pt>
                <c:pt idx="17">
                  <c:v>1972-1981</c:v>
                </c:pt>
                <c:pt idx="18">
                  <c:v>1973-1982</c:v>
                </c:pt>
                <c:pt idx="19">
                  <c:v>1974-1983</c:v>
                </c:pt>
                <c:pt idx="20">
                  <c:v>1975-1984</c:v>
                </c:pt>
                <c:pt idx="21">
                  <c:v>1976-1985</c:v>
                </c:pt>
                <c:pt idx="22">
                  <c:v>1977-1986</c:v>
                </c:pt>
                <c:pt idx="23">
                  <c:v>1978-1987</c:v>
                </c:pt>
                <c:pt idx="24">
                  <c:v>1979-1988</c:v>
                </c:pt>
                <c:pt idx="25">
                  <c:v>1980-1989</c:v>
                </c:pt>
                <c:pt idx="26">
                  <c:v>1981-1990</c:v>
                </c:pt>
                <c:pt idx="27">
                  <c:v>1982-1991</c:v>
                </c:pt>
                <c:pt idx="28">
                  <c:v>1983-1992</c:v>
                </c:pt>
                <c:pt idx="29">
                  <c:v>1984-1993</c:v>
                </c:pt>
                <c:pt idx="30">
                  <c:v>1985-1994</c:v>
                </c:pt>
                <c:pt idx="31">
                  <c:v>1986-1995</c:v>
                </c:pt>
                <c:pt idx="32">
                  <c:v>1987-1996</c:v>
                </c:pt>
                <c:pt idx="33">
                  <c:v>1988-1997</c:v>
                </c:pt>
                <c:pt idx="34">
                  <c:v>1989-1998</c:v>
                </c:pt>
                <c:pt idx="35">
                  <c:v>1990-1999</c:v>
                </c:pt>
                <c:pt idx="36">
                  <c:v>1991-2000</c:v>
                </c:pt>
                <c:pt idx="37">
                  <c:v>1992-2001</c:v>
                </c:pt>
                <c:pt idx="38">
                  <c:v>1993-2002</c:v>
                </c:pt>
                <c:pt idx="39">
                  <c:v>1994-2003</c:v>
                </c:pt>
                <c:pt idx="40">
                  <c:v>1995-2004</c:v>
                </c:pt>
                <c:pt idx="41">
                  <c:v>1996-2005</c:v>
                </c:pt>
                <c:pt idx="42">
                  <c:v>1997-2006</c:v>
                </c:pt>
                <c:pt idx="43">
                  <c:v>1998-2007</c:v>
                </c:pt>
                <c:pt idx="44">
                  <c:v>1999-2008</c:v>
                </c:pt>
                <c:pt idx="45">
                  <c:v>2000-2009</c:v>
                </c:pt>
                <c:pt idx="46">
                  <c:v>2001-2010</c:v>
                </c:pt>
                <c:pt idx="47">
                  <c:v>2002-2011</c:v>
                </c:pt>
                <c:pt idx="48">
                  <c:v>2003-2012</c:v>
                </c:pt>
                <c:pt idx="49">
                  <c:v>2004-2013</c:v>
                </c:pt>
              </c:strCache>
            </c:strRef>
          </c:cat>
          <c:val>
            <c:numRef>
              <c:f>Sheet1!$C$2:$C$51</c:f>
              <c:numCache>
                <c:formatCode>General</c:formatCode>
                <c:ptCount val="50"/>
                <c:pt idx="17">
                  <c:v>0.76679841473122501</c:v>
                </c:pt>
                <c:pt idx="18">
                  <c:v>0.81398810200605898</c:v>
                </c:pt>
                <c:pt idx="19">
                  <c:v>0.81851735894683697</c:v>
                </c:pt>
                <c:pt idx="20">
                  <c:v>0.83062691435259195</c:v>
                </c:pt>
                <c:pt idx="21">
                  <c:v>0.83591653336759497</c:v>
                </c:pt>
                <c:pt idx="22">
                  <c:v>0.81730279968530295</c:v>
                </c:pt>
                <c:pt idx="23">
                  <c:v>0.85854232295969302</c:v>
                </c:pt>
                <c:pt idx="24">
                  <c:v>0.87720475639798701</c:v>
                </c:pt>
                <c:pt idx="25">
                  <c:v>0.91682228670692301</c:v>
                </c:pt>
                <c:pt idx="26">
                  <c:v>0.91699956064940302</c:v>
                </c:pt>
                <c:pt idx="27">
                  <c:v>0.91608432811970997</c:v>
                </c:pt>
                <c:pt idx="28">
                  <c:v>0.93410119976384498</c:v>
                </c:pt>
                <c:pt idx="29">
                  <c:v>0.92960576763534197</c:v>
                </c:pt>
                <c:pt idx="30">
                  <c:v>0.86848155393908</c:v>
                </c:pt>
                <c:pt idx="31">
                  <c:v>0.850811391696631</c:v>
                </c:pt>
                <c:pt idx="32">
                  <c:v>0.84375136308544096</c:v>
                </c:pt>
                <c:pt idx="33">
                  <c:v>0.84677248323602305</c:v>
                </c:pt>
                <c:pt idx="34">
                  <c:v>0.85141589948837204</c:v>
                </c:pt>
                <c:pt idx="35">
                  <c:v>0.82634510400845296</c:v>
                </c:pt>
                <c:pt idx="36">
                  <c:v>0.83899876051188205</c:v>
                </c:pt>
                <c:pt idx="37">
                  <c:v>0.84501740080306098</c:v>
                </c:pt>
                <c:pt idx="38">
                  <c:v>0.80661809772920801</c:v>
                </c:pt>
                <c:pt idx="39">
                  <c:v>0.83774301270654505</c:v>
                </c:pt>
                <c:pt idx="40">
                  <c:v>0.808290162915693</c:v>
                </c:pt>
                <c:pt idx="41">
                  <c:v>0.83462962071757096</c:v>
                </c:pt>
                <c:pt idx="42">
                  <c:v>0.831427367057747</c:v>
                </c:pt>
                <c:pt idx="43">
                  <c:v>0.83522012334287898</c:v>
                </c:pt>
                <c:pt idx="44">
                  <c:v>0.83433334010280702</c:v>
                </c:pt>
                <c:pt idx="45">
                  <c:v>0.82326778880087703</c:v>
                </c:pt>
                <c:pt idx="46">
                  <c:v>0.83785803612598397</c:v>
                </c:pt>
              </c:numCache>
            </c:numRef>
          </c:val>
          <c:smooth val="0"/>
          <c:extLst>
            <c:ext xmlns:c16="http://schemas.microsoft.com/office/drawing/2014/chart" uri="{C3380CC4-5D6E-409C-BE32-E72D297353CC}">
              <c16:uniqueId val="{00000000-0054-451B-82E7-8D5C880A8B48}"/>
            </c:ext>
          </c:extLst>
        </c:ser>
        <c:ser>
          <c:idx val="1"/>
          <c:order val="1"/>
          <c:tx>
            <c:strRef>
              <c:f>Sheet1!$D$1</c:f>
              <c:strCache>
                <c:ptCount val="1"/>
                <c:pt idx="0">
                  <c:v>HEA</c:v>
                </c:pt>
              </c:strCache>
            </c:strRef>
          </c:tx>
          <c:spPr>
            <a:ln w="28575" cap="rnd">
              <a:solidFill>
                <a:schemeClr val="tx1"/>
              </a:solidFill>
              <a:prstDash val="dash"/>
              <a:round/>
            </a:ln>
            <a:effectLst/>
          </c:spPr>
          <c:marker>
            <c:symbol val="none"/>
          </c:marker>
          <c:cat>
            <c:strRef>
              <c:f>Sheet1!$B$2:$B$51</c:f>
              <c:strCache>
                <c:ptCount val="50"/>
                <c:pt idx="0">
                  <c:v>1955-1964</c:v>
                </c:pt>
                <c:pt idx="1">
                  <c:v>1956-1965</c:v>
                </c:pt>
                <c:pt idx="2">
                  <c:v>1957-1966</c:v>
                </c:pt>
                <c:pt idx="3">
                  <c:v>1958-1967</c:v>
                </c:pt>
                <c:pt idx="4">
                  <c:v>1959-1968</c:v>
                </c:pt>
                <c:pt idx="5">
                  <c:v>1960-1969</c:v>
                </c:pt>
                <c:pt idx="6">
                  <c:v>1961-1970</c:v>
                </c:pt>
                <c:pt idx="7">
                  <c:v>1962-1971</c:v>
                </c:pt>
                <c:pt idx="8">
                  <c:v>1963-1972</c:v>
                </c:pt>
                <c:pt idx="9">
                  <c:v>1964-1973</c:v>
                </c:pt>
                <c:pt idx="10">
                  <c:v>1965-1974</c:v>
                </c:pt>
                <c:pt idx="11">
                  <c:v>1966-1975</c:v>
                </c:pt>
                <c:pt idx="12">
                  <c:v>1967-1976</c:v>
                </c:pt>
                <c:pt idx="13">
                  <c:v>1968-1977</c:v>
                </c:pt>
                <c:pt idx="14">
                  <c:v>1969-1978</c:v>
                </c:pt>
                <c:pt idx="15">
                  <c:v>1970-1979</c:v>
                </c:pt>
                <c:pt idx="16">
                  <c:v>1971-1980</c:v>
                </c:pt>
                <c:pt idx="17">
                  <c:v>1972-1981</c:v>
                </c:pt>
                <c:pt idx="18">
                  <c:v>1973-1982</c:v>
                </c:pt>
                <c:pt idx="19">
                  <c:v>1974-1983</c:v>
                </c:pt>
                <c:pt idx="20">
                  <c:v>1975-1984</c:v>
                </c:pt>
                <c:pt idx="21">
                  <c:v>1976-1985</c:v>
                </c:pt>
                <c:pt idx="22">
                  <c:v>1977-1986</c:v>
                </c:pt>
                <c:pt idx="23">
                  <c:v>1978-1987</c:v>
                </c:pt>
                <c:pt idx="24">
                  <c:v>1979-1988</c:v>
                </c:pt>
                <c:pt idx="25">
                  <c:v>1980-1989</c:v>
                </c:pt>
                <c:pt idx="26">
                  <c:v>1981-1990</c:v>
                </c:pt>
                <c:pt idx="27">
                  <c:v>1982-1991</c:v>
                </c:pt>
                <c:pt idx="28">
                  <c:v>1983-1992</c:v>
                </c:pt>
                <c:pt idx="29">
                  <c:v>1984-1993</c:v>
                </c:pt>
                <c:pt idx="30">
                  <c:v>1985-1994</c:v>
                </c:pt>
                <c:pt idx="31">
                  <c:v>1986-1995</c:v>
                </c:pt>
                <c:pt idx="32">
                  <c:v>1987-1996</c:v>
                </c:pt>
                <c:pt idx="33">
                  <c:v>1988-1997</c:v>
                </c:pt>
                <c:pt idx="34">
                  <c:v>1989-1998</c:v>
                </c:pt>
                <c:pt idx="35">
                  <c:v>1990-1999</c:v>
                </c:pt>
                <c:pt idx="36">
                  <c:v>1991-2000</c:v>
                </c:pt>
                <c:pt idx="37">
                  <c:v>1992-2001</c:v>
                </c:pt>
                <c:pt idx="38">
                  <c:v>1993-2002</c:v>
                </c:pt>
                <c:pt idx="39">
                  <c:v>1994-2003</c:v>
                </c:pt>
                <c:pt idx="40">
                  <c:v>1995-2004</c:v>
                </c:pt>
                <c:pt idx="41">
                  <c:v>1996-2005</c:v>
                </c:pt>
                <c:pt idx="42">
                  <c:v>1997-2006</c:v>
                </c:pt>
                <c:pt idx="43">
                  <c:v>1998-2007</c:v>
                </c:pt>
                <c:pt idx="44">
                  <c:v>1999-2008</c:v>
                </c:pt>
                <c:pt idx="45">
                  <c:v>2000-2009</c:v>
                </c:pt>
                <c:pt idx="46">
                  <c:v>2001-2010</c:v>
                </c:pt>
                <c:pt idx="47">
                  <c:v>2002-2011</c:v>
                </c:pt>
                <c:pt idx="48">
                  <c:v>2003-2012</c:v>
                </c:pt>
                <c:pt idx="49">
                  <c:v>2004-2013</c:v>
                </c:pt>
              </c:strCache>
            </c:strRef>
          </c:cat>
          <c:val>
            <c:numRef>
              <c:f>Sheet1!$D$2:$D$51</c:f>
              <c:numCache>
                <c:formatCode>General</c:formatCode>
                <c:ptCount val="50"/>
                <c:pt idx="16">
                  <c:v>0.73328899730617603</c:v>
                </c:pt>
                <c:pt idx="17">
                  <c:v>0.73527972008777498</c:v>
                </c:pt>
                <c:pt idx="18">
                  <c:v>0.75645103787074297</c:v>
                </c:pt>
                <c:pt idx="19">
                  <c:v>0.79149548989943697</c:v>
                </c:pt>
                <c:pt idx="20">
                  <c:v>0.80224272642976902</c:v>
                </c:pt>
                <c:pt idx="21">
                  <c:v>0.80139671823626701</c:v>
                </c:pt>
                <c:pt idx="22">
                  <c:v>0.84330036059426505</c:v>
                </c:pt>
                <c:pt idx="23">
                  <c:v>0.81386739997532898</c:v>
                </c:pt>
                <c:pt idx="24">
                  <c:v>0.78419626111792295</c:v>
                </c:pt>
                <c:pt idx="25">
                  <c:v>0.78462837270234498</c:v>
                </c:pt>
                <c:pt idx="26">
                  <c:v>0.78939652292375295</c:v>
                </c:pt>
                <c:pt idx="27">
                  <c:v>0.79327388124938703</c:v>
                </c:pt>
                <c:pt idx="28">
                  <c:v>0.80499145441803399</c:v>
                </c:pt>
                <c:pt idx="29">
                  <c:v>0.80255912406999697</c:v>
                </c:pt>
                <c:pt idx="30">
                  <c:v>0.803228769715708</c:v>
                </c:pt>
                <c:pt idx="31">
                  <c:v>0.79722175311521504</c:v>
                </c:pt>
                <c:pt idx="32">
                  <c:v>0.80975721095451103</c:v>
                </c:pt>
                <c:pt idx="33">
                  <c:v>0.84274501861919904</c:v>
                </c:pt>
                <c:pt idx="34">
                  <c:v>0.83571428796852099</c:v>
                </c:pt>
                <c:pt idx="35">
                  <c:v>0.85022214410565</c:v>
                </c:pt>
                <c:pt idx="36">
                  <c:v>0.84548047757386102</c:v>
                </c:pt>
                <c:pt idx="37">
                  <c:v>0.84789573692150999</c:v>
                </c:pt>
                <c:pt idx="38">
                  <c:v>0.85082435233284703</c:v>
                </c:pt>
                <c:pt idx="39">
                  <c:v>0.86308549918071598</c:v>
                </c:pt>
                <c:pt idx="40">
                  <c:v>0.80651213966393598</c:v>
                </c:pt>
                <c:pt idx="41">
                  <c:v>0.84284210808674298</c:v>
                </c:pt>
                <c:pt idx="42">
                  <c:v>0.80424528068397205</c:v>
                </c:pt>
                <c:pt idx="43">
                  <c:v>0.78653138094110298</c:v>
                </c:pt>
                <c:pt idx="44">
                  <c:v>0.79532134172040903</c:v>
                </c:pt>
                <c:pt idx="45">
                  <c:v>0.79740666362364099</c:v>
                </c:pt>
              </c:numCache>
            </c:numRef>
          </c:val>
          <c:smooth val="0"/>
          <c:extLst>
            <c:ext xmlns:c16="http://schemas.microsoft.com/office/drawing/2014/chart" uri="{C3380CC4-5D6E-409C-BE32-E72D297353CC}">
              <c16:uniqueId val="{00000001-0054-451B-82E7-8D5C880A8B48}"/>
            </c:ext>
          </c:extLst>
        </c:ser>
        <c:ser>
          <c:idx val="2"/>
          <c:order val="2"/>
          <c:tx>
            <c:strRef>
              <c:f>Sheet1!$E$1</c:f>
              <c:strCache>
                <c:ptCount val="1"/>
                <c:pt idx="0">
                  <c:v>GEA</c:v>
                </c:pt>
              </c:strCache>
            </c:strRef>
          </c:tx>
          <c:spPr>
            <a:ln w="28575" cap="rnd">
              <a:solidFill>
                <a:schemeClr val="tx1"/>
              </a:solidFill>
              <a:round/>
            </a:ln>
            <a:effectLst/>
          </c:spPr>
          <c:marker>
            <c:symbol val="none"/>
          </c:marker>
          <c:cat>
            <c:strRef>
              <c:f>Sheet1!$B$2:$B$51</c:f>
              <c:strCache>
                <c:ptCount val="50"/>
                <c:pt idx="0">
                  <c:v>1955-1964</c:v>
                </c:pt>
                <c:pt idx="1">
                  <c:v>1956-1965</c:v>
                </c:pt>
                <c:pt idx="2">
                  <c:v>1957-1966</c:v>
                </c:pt>
                <c:pt idx="3">
                  <c:v>1958-1967</c:v>
                </c:pt>
                <c:pt idx="4">
                  <c:v>1959-1968</c:v>
                </c:pt>
                <c:pt idx="5">
                  <c:v>1960-1969</c:v>
                </c:pt>
                <c:pt idx="6">
                  <c:v>1961-1970</c:v>
                </c:pt>
                <c:pt idx="7">
                  <c:v>1962-1971</c:v>
                </c:pt>
                <c:pt idx="8">
                  <c:v>1963-1972</c:v>
                </c:pt>
                <c:pt idx="9">
                  <c:v>1964-1973</c:v>
                </c:pt>
                <c:pt idx="10">
                  <c:v>1965-1974</c:v>
                </c:pt>
                <c:pt idx="11">
                  <c:v>1966-1975</c:v>
                </c:pt>
                <c:pt idx="12">
                  <c:v>1967-1976</c:v>
                </c:pt>
                <c:pt idx="13">
                  <c:v>1968-1977</c:v>
                </c:pt>
                <c:pt idx="14">
                  <c:v>1969-1978</c:v>
                </c:pt>
                <c:pt idx="15">
                  <c:v>1970-1979</c:v>
                </c:pt>
                <c:pt idx="16">
                  <c:v>1971-1980</c:v>
                </c:pt>
                <c:pt idx="17">
                  <c:v>1972-1981</c:v>
                </c:pt>
                <c:pt idx="18">
                  <c:v>1973-1982</c:v>
                </c:pt>
                <c:pt idx="19">
                  <c:v>1974-1983</c:v>
                </c:pt>
                <c:pt idx="20">
                  <c:v>1975-1984</c:v>
                </c:pt>
                <c:pt idx="21">
                  <c:v>1976-1985</c:v>
                </c:pt>
                <c:pt idx="22">
                  <c:v>1977-1986</c:v>
                </c:pt>
                <c:pt idx="23">
                  <c:v>1978-1987</c:v>
                </c:pt>
                <c:pt idx="24">
                  <c:v>1979-1988</c:v>
                </c:pt>
                <c:pt idx="25">
                  <c:v>1980-1989</c:v>
                </c:pt>
                <c:pt idx="26">
                  <c:v>1981-1990</c:v>
                </c:pt>
                <c:pt idx="27">
                  <c:v>1982-1991</c:v>
                </c:pt>
                <c:pt idx="28">
                  <c:v>1983-1992</c:v>
                </c:pt>
                <c:pt idx="29">
                  <c:v>1984-1993</c:v>
                </c:pt>
                <c:pt idx="30">
                  <c:v>1985-1994</c:v>
                </c:pt>
                <c:pt idx="31">
                  <c:v>1986-1995</c:v>
                </c:pt>
                <c:pt idx="32">
                  <c:v>1987-1996</c:v>
                </c:pt>
                <c:pt idx="33">
                  <c:v>1988-1997</c:v>
                </c:pt>
                <c:pt idx="34">
                  <c:v>1989-1998</c:v>
                </c:pt>
                <c:pt idx="35">
                  <c:v>1990-1999</c:v>
                </c:pt>
                <c:pt idx="36">
                  <c:v>1991-2000</c:v>
                </c:pt>
                <c:pt idx="37">
                  <c:v>1992-2001</c:v>
                </c:pt>
                <c:pt idx="38">
                  <c:v>1993-2002</c:v>
                </c:pt>
                <c:pt idx="39">
                  <c:v>1994-2003</c:v>
                </c:pt>
                <c:pt idx="40">
                  <c:v>1995-2004</c:v>
                </c:pt>
                <c:pt idx="41">
                  <c:v>1996-2005</c:v>
                </c:pt>
                <c:pt idx="42">
                  <c:v>1997-2006</c:v>
                </c:pt>
                <c:pt idx="43">
                  <c:v>1998-2007</c:v>
                </c:pt>
                <c:pt idx="44">
                  <c:v>1999-2008</c:v>
                </c:pt>
                <c:pt idx="45">
                  <c:v>2000-2009</c:v>
                </c:pt>
                <c:pt idx="46">
                  <c:v>2001-2010</c:v>
                </c:pt>
                <c:pt idx="47">
                  <c:v>2002-2011</c:v>
                </c:pt>
                <c:pt idx="48">
                  <c:v>2003-2012</c:v>
                </c:pt>
                <c:pt idx="49">
                  <c:v>2004-2013</c:v>
                </c:pt>
              </c:strCache>
            </c:strRef>
          </c:cat>
          <c:val>
            <c:numRef>
              <c:f>Sheet1!$E$2:$E$51</c:f>
              <c:numCache>
                <c:formatCode>General</c:formatCode>
                <c:ptCount val="50"/>
                <c:pt idx="0">
                  <c:v>0.80335826674919997</c:v>
                </c:pt>
                <c:pt idx="1">
                  <c:v>0.79592975748703698</c:v>
                </c:pt>
                <c:pt idx="2">
                  <c:v>0.81459715577027703</c:v>
                </c:pt>
                <c:pt idx="3">
                  <c:v>0.81332653595329696</c:v>
                </c:pt>
                <c:pt idx="4">
                  <c:v>0.82989329830511105</c:v>
                </c:pt>
                <c:pt idx="5">
                  <c:v>0.82026375992026801</c:v>
                </c:pt>
                <c:pt idx="6">
                  <c:v>0.77907436823443299</c:v>
                </c:pt>
                <c:pt idx="7">
                  <c:v>0.73292824251620903</c:v>
                </c:pt>
                <c:pt idx="8">
                  <c:v>0.74710679365785004</c:v>
                </c:pt>
                <c:pt idx="9">
                  <c:v>0.76879392654518597</c:v>
                </c:pt>
                <c:pt idx="10">
                  <c:v>0.77543291072834997</c:v>
                </c:pt>
                <c:pt idx="11">
                  <c:v>0.80066412644658702</c:v>
                </c:pt>
                <c:pt idx="12">
                  <c:v>0.82568569324858598</c:v>
                </c:pt>
                <c:pt idx="13">
                  <c:v>0.81056831996568901</c:v>
                </c:pt>
                <c:pt idx="14">
                  <c:v>0.82643240971093201</c:v>
                </c:pt>
                <c:pt idx="15">
                  <c:v>0.83293317279118395</c:v>
                </c:pt>
                <c:pt idx="16">
                  <c:v>0.83791462684483298</c:v>
                </c:pt>
                <c:pt idx="17">
                  <c:v>0.86742723964419399</c:v>
                </c:pt>
                <c:pt idx="18">
                  <c:v>0.90238020601948998</c:v>
                </c:pt>
                <c:pt idx="19">
                  <c:v>0.90084388578913999</c:v>
                </c:pt>
                <c:pt idx="20">
                  <c:v>0.86883307698757195</c:v>
                </c:pt>
                <c:pt idx="21">
                  <c:v>0.86365592008332104</c:v>
                </c:pt>
                <c:pt idx="22">
                  <c:v>0.85193298128733597</c:v>
                </c:pt>
                <c:pt idx="23">
                  <c:v>0.82710663406970897</c:v>
                </c:pt>
                <c:pt idx="24">
                  <c:v>0.86003696401552698</c:v>
                </c:pt>
                <c:pt idx="25">
                  <c:v>0.84952830122520195</c:v>
                </c:pt>
                <c:pt idx="26">
                  <c:v>0.84069500169459799</c:v>
                </c:pt>
                <c:pt idx="27">
                  <c:v>0.81622699150517697</c:v>
                </c:pt>
                <c:pt idx="28">
                  <c:v>0.82066257500471296</c:v>
                </c:pt>
                <c:pt idx="29">
                  <c:v>0.78433263610556103</c:v>
                </c:pt>
                <c:pt idx="30">
                  <c:v>0.80905138108237096</c:v>
                </c:pt>
                <c:pt idx="31">
                  <c:v>0.80746858302726998</c:v>
                </c:pt>
                <c:pt idx="32">
                  <c:v>0.82394194048034497</c:v>
                </c:pt>
                <c:pt idx="33">
                  <c:v>0.851760306488903</c:v>
                </c:pt>
                <c:pt idx="34">
                  <c:v>0.853929256660245</c:v>
                </c:pt>
                <c:pt idx="35">
                  <c:v>0.86230136460282003</c:v>
                </c:pt>
                <c:pt idx="36">
                  <c:v>0.85351223804936605</c:v>
                </c:pt>
                <c:pt idx="37">
                  <c:v>0.88183273720170696</c:v>
                </c:pt>
                <c:pt idx="38">
                  <c:v>0.90459859300791701</c:v>
                </c:pt>
                <c:pt idx="39">
                  <c:v>0.91046303617337998</c:v>
                </c:pt>
                <c:pt idx="40">
                  <c:v>0.86958602977589905</c:v>
                </c:pt>
                <c:pt idx="41">
                  <c:v>0.86425749965589005</c:v>
                </c:pt>
                <c:pt idx="42">
                  <c:v>0.84117647680908703</c:v>
                </c:pt>
                <c:pt idx="43">
                  <c:v>0.81119919951741204</c:v>
                </c:pt>
                <c:pt idx="44">
                  <c:v>0.79130870313383594</c:v>
                </c:pt>
                <c:pt idx="45">
                  <c:v>0.74497563548607804</c:v>
                </c:pt>
                <c:pt idx="46">
                  <c:v>0.71459272920037598</c:v>
                </c:pt>
                <c:pt idx="47">
                  <c:v>0.65096797654809002</c:v>
                </c:pt>
                <c:pt idx="48">
                  <c:v>0.65070303596230195</c:v>
                </c:pt>
                <c:pt idx="49">
                  <c:v>0.647711800650417</c:v>
                </c:pt>
              </c:numCache>
            </c:numRef>
          </c:val>
          <c:smooth val="0"/>
          <c:extLst>
            <c:ext xmlns:c16="http://schemas.microsoft.com/office/drawing/2014/chart" uri="{C3380CC4-5D6E-409C-BE32-E72D297353CC}">
              <c16:uniqueId val="{00000002-0054-451B-82E7-8D5C880A8B48}"/>
            </c:ext>
          </c:extLst>
        </c:ser>
        <c:dLbls>
          <c:showLegendKey val="0"/>
          <c:showVal val="0"/>
          <c:showCatName val="0"/>
          <c:showSerName val="0"/>
          <c:showPercent val="0"/>
          <c:showBubbleSize val="0"/>
        </c:dLbls>
        <c:smooth val="0"/>
        <c:axId val="-1438566912"/>
        <c:axId val="-1438565136"/>
      </c:lineChart>
      <c:catAx>
        <c:axId val="-1438566912"/>
        <c:scaling>
          <c:orientation val="minMax"/>
        </c:scaling>
        <c:delete val="0"/>
        <c:axPos val="b"/>
        <c:numFmt formatCode="General" sourceLinked="1"/>
        <c:majorTickMark val="none"/>
        <c:minorTickMark val="out"/>
        <c:tickLblPos val="nextTo"/>
        <c:spPr>
          <a:noFill/>
          <a:ln w="9525" cap="flat" cmpd="sng" algn="ctr">
            <a:solidFill>
              <a:schemeClr val="bg1">
                <a:lumMod val="6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565136"/>
        <c:crosses val="autoZero"/>
        <c:auto val="1"/>
        <c:lblAlgn val="ctr"/>
        <c:lblOffset val="100"/>
        <c:tickLblSkip val="2"/>
        <c:noMultiLvlLbl val="0"/>
      </c:catAx>
      <c:valAx>
        <c:axId val="-1438565136"/>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56691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Using MEC onset as Dependent Variable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Sheet1!$C$1</c:f>
              <c:strCache>
                <c:ptCount val="1"/>
                <c:pt idx="0">
                  <c:v>CU</c:v>
                </c:pt>
              </c:strCache>
            </c:strRef>
          </c:tx>
          <c:spPr>
            <a:ln w="28575" cap="rnd">
              <a:solidFill>
                <a:schemeClr val="bg1">
                  <a:lumMod val="50000"/>
                </a:schemeClr>
              </a:solidFill>
              <a:round/>
            </a:ln>
            <a:effectLst/>
          </c:spPr>
          <c:marker>
            <c:symbol val="none"/>
          </c:marker>
          <c:cat>
            <c:strRef>
              <c:f>Sheet1!$B$2:$B$43</c:f>
              <c:strCache>
                <c:ptCount val="42"/>
                <c:pt idx="0">
                  <c:v>1963-1972</c:v>
                </c:pt>
                <c:pt idx="1">
                  <c:v>1964-1973</c:v>
                </c:pt>
                <c:pt idx="2">
                  <c:v>1965-1974</c:v>
                </c:pt>
                <c:pt idx="3">
                  <c:v>1966-1975</c:v>
                </c:pt>
                <c:pt idx="4">
                  <c:v>1967-1976</c:v>
                </c:pt>
                <c:pt idx="5">
                  <c:v>1968-1977</c:v>
                </c:pt>
                <c:pt idx="6">
                  <c:v>1969-1978</c:v>
                </c:pt>
                <c:pt idx="7">
                  <c:v>1970-1979</c:v>
                </c:pt>
                <c:pt idx="8">
                  <c:v>1971-1980</c:v>
                </c:pt>
                <c:pt idx="9">
                  <c:v>1972-1981</c:v>
                </c:pt>
                <c:pt idx="10">
                  <c:v>1973-1982</c:v>
                </c:pt>
                <c:pt idx="11">
                  <c:v>1974-1983</c:v>
                </c:pt>
                <c:pt idx="12">
                  <c:v>1975-1984</c:v>
                </c:pt>
                <c:pt idx="13">
                  <c:v>1976-1985</c:v>
                </c:pt>
                <c:pt idx="14">
                  <c:v>1977-1986</c:v>
                </c:pt>
                <c:pt idx="15">
                  <c:v>1978-1987</c:v>
                </c:pt>
                <c:pt idx="16">
                  <c:v>1979-1988</c:v>
                </c:pt>
                <c:pt idx="17">
                  <c:v>1980-1989</c:v>
                </c:pt>
                <c:pt idx="18">
                  <c:v>1981-1990</c:v>
                </c:pt>
                <c:pt idx="19">
                  <c:v>1982-1991</c:v>
                </c:pt>
                <c:pt idx="20">
                  <c:v>1983-1992</c:v>
                </c:pt>
                <c:pt idx="21">
                  <c:v>1984-1993</c:v>
                </c:pt>
                <c:pt idx="22">
                  <c:v>1985-1994</c:v>
                </c:pt>
                <c:pt idx="23">
                  <c:v>1986-1995</c:v>
                </c:pt>
                <c:pt idx="24">
                  <c:v>1987-1996</c:v>
                </c:pt>
                <c:pt idx="25">
                  <c:v>1988-1997</c:v>
                </c:pt>
                <c:pt idx="26">
                  <c:v>1989-1998</c:v>
                </c:pt>
                <c:pt idx="27">
                  <c:v>1990-1999</c:v>
                </c:pt>
                <c:pt idx="28">
                  <c:v>1991-2000</c:v>
                </c:pt>
                <c:pt idx="29">
                  <c:v>1992-2001</c:v>
                </c:pt>
                <c:pt idx="30">
                  <c:v>1993-2002</c:v>
                </c:pt>
                <c:pt idx="31">
                  <c:v>1994-2003</c:v>
                </c:pt>
                <c:pt idx="32">
                  <c:v>1995-2004</c:v>
                </c:pt>
                <c:pt idx="33">
                  <c:v>1996-2005</c:v>
                </c:pt>
                <c:pt idx="34">
                  <c:v>1997-2006</c:v>
                </c:pt>
                <c:pt idx="35">
                  <c:v>1998-2007</c:v>
                </c:pt>
                <c:pt idx="36">
                  <c:v>1999-2008</c:v>
                </c:pt>
                <c:pt idx="37">
                  <c:v>2000-2009</c:v>
                </c:pt>
                <c:pt idx="38">
                  <c:v>2001-2010</c:v>
                </c:pt>
                <c:pt idx="39">
                  <c:v>2002-2011</c:v>
                </c:pt>
                <c:pt idx="40">
                  <c:v>2003-2012</c:v>
                </c:pt>
                <c:pt idx="41">
                  <c:v>2004-2013</c:v>
                </c:pt>
              </c:strCache>
            </c:strRef>
          </c:cat>
          <c:val>
            <c:numRef>
              <c:f>Sheet1!$C$2:$C$43</c:f>
              <c:numCache>
                <c:formatCode>General</c:formatCode>
                <c:ptCount val="42"/>
                <c:pt idx="9">
                  <c:v>0.83411144431738704</c:v>
                </c:pt>
                <c:pt idx="10">
                  <c:v>0.83411144431738704</c:v>
                </c:pt>
                <c:pt idx="11">
                  <c:v>0.83897148042160596</c:v>
                </c:pt>
                <c:pt idx="12">
                  <c:v>0.85680417130154096</c:v>
                </c:pt>
                <c:pt idx="13">
                  <c:v>0.81831419395903304</c:v>
                </c:pt>
                <c:pt idx="14">
                  <c:v>0.82410380712831399</c:v>
                </c:pt>
                <c:pt idx="15">
                  <c:v>0.82532649195813301</c:v>
                </c:pt>
                <c:pt idx="16">
                  <c:v>0.84864292941159203</c:v>
                </c:pt>
                <c:pt idx="17">
                  <c:v>0.83024948473159998</c:v>
                </c:pt>
                <c:pt idx="18">
                  <c:v>0.81440143756316996</c:v>
                </c:pt>
                <c:pt idx="19">
                  <c:v>0.802876803080394</c:v>
                </c:pt>
                <c:pt idx="20">
                  <c:v>0.77792046683736904</c:v>
                </c:pt>
                <c:pt idx="21">
                  <c:v>0.78769456170365604</c:v>
                </c:pt>
                <c:pt idx="22">
                  <c:v>0.80421154144424101</c:v>
                </c:pt>
                <c:pt idx="23">
                  <c:v>0.82824040129166898</c:v>
                </c:pt>
                <c:pt idx="24">
                  <c:v>0.84762602697046996</c:v>
                </c:pt>
                <c:pt idx="25">
                  <c:v>0.85258699890054601</c:v>
                </c:pt>
                <c:pt idx="26">
                  <c:v>0.876131737320202</c:v>
                </c:pt>
                <c:pt idx="27">
                  <c:v>0.87786561095026905</c:v>
                </c:pt>
                <c:pt idx="28">
                  <c:v>0.87601480268818699</c:v>
                </c:pt>
                <c:pt idx="29">
                  <c:v>0.85875386317916602</c:v>
                </c:pt>
                <c:pt idx="30">
                  <c:v>0.83220424344833799</c:v>
                </c:pt>
                <c:pt idx="31">
                  <c:v>0.78873758059334198</c:v>
                </c:pt>
                <c:pt idx="32">
                  <c:v>0.772946243872767</c:v>
                </c:pt>
                <c:pt idx="33">
                  <c:v>0.77767556922947301</c:v>
                </c:pt>
                <c:pt idx="34">
                  <c:v>0.80117077817751403</c:v>
                </c:pt>
                <c:pt idx="35">
                  <c:v>0.80564031898379496</c:v>
                </c:pt>
                <c:pt idx="36">
                  <c:v>0.78669327074742201</c:v>
                </c:pt>
                <c:pt idx="37">
                  <c:v>0.77301592789731799</c:v>
                </c:pt>
                <c:pt idx="38">
                  <c:v>0.77925232974071601</c:v>
                </c:pt>
              </c:numCache>
            </c:numRef>
          </c:val>
          <c:smooth val="0"/>
          <c:extLst>
            <c:ext xmlns:c16="http://schemas.microsoft.com/office/drawing/2014/chart" uri="{C3380CC4-5D6E-409C-BE32-E72D297353CC}">
              <c16:uniqueId val="{00000000-DAB5-431D-9C53-DE7A8131273C}"/>
            </c:ext>
          </c:extLst>
        </c:ser>
        <c:ser>
          <c:idx val="1"/>
          <c:order val="1"/>
          <c:tx>
            <c:strRef>
              <c:f>Sheet1!$D$1</c:f>
              <c:strCache>
                <c:ptCount val="1"/>
                <c:pt idx="0">
                  <c:v>HEA</c:v>
                </c:pt>
              </c:strCache>
            </c:strRef>
          </c:tx>
          <c:spPr>
            <a:ln w="28575" cap="rnd">
              <a:solidFill>
                <a:schemeClr val="tx1"/>
              </a:solidFill>
              <a:prstDash val="dash"/>
              <a:round/>
            </a:ln>
            <a:effectLst/>
          </c:spPr>
          <c:marker>
            <c:symbol val="none"/>
          </c:marker>
          <c:cat>
            <c:strRef>
              <c:f>Sheet1!$B$2:$B$43</c:f>
              <c:strCache>
                <c:ptCount val="42"/>
                <c:pt idx="0">
                  <c:v>1963-1972</c:v>
                </c:pt>
                <c:pt idx="1">
                  <c:v>1964-1973</c:v>
                </c:pt>
                <c:pt idx="2">
                  <c:v>1965-1974</c:v>
                </c:pt>
                <c:pt idx="3">
                  <c:v>1966-1975</c:v>
                </c:pt>
                <c:pt idx="4">
                  <c:v>1967-1976</c:v>
                </c:pt>
                <c:pt idx="5">
                  <c:v>1968-1977</c:v>
                </c:pt>
                <c:pt idx="6">
                  <c:v>1969-1978</c:v>
                </c:pt>
                <c:pt idx="7">
                  <c:v>1970-1979</c:v>
                </c:pt>
                <c:pt idx="8">
                  <c:v>1971-1980</c:v>
                </c:pt>
                <c:pt idx="9">
                  <c:v>1972-1981</c:v>
                </c:pt>
                <c:pt idx="10">
                  <c:v>1973-1982</c:v>
                </c:pt>
                <c:pt idx="11">
                  <c:v>1974-1983</c:v>
                </c:pt>
                <c:pt idx="12">
                  <c:v>1975-1984</c:v>
                </c:pt>
                <c:pt idx="13">
                  <c:v>1976-1985</c:v>
                </c:pt>
                <c:pt idx="14">
                  <c:v>1977-1986</c:v>
                </c:pt>
                <c:pt idx="15">
                  <c:v>1978-1987</c:v>
                </c:pt>
                <c:pt idx="16">
                  <c:v>1979-1988</c:v>
                </c:pt>
                <c:pt idx="17">
                  <c:v>1980-1989</c:v>
                </c:pt>
                <c:pt idx="18">
                  <c:v>1981-1990</c:v>
                </c:pt>
                <c:pt idx="19">
                  <c:v>1982-1991</c:v>
                </c:pt>
                <c:pt idx="20">
                  <c:v>1983-1992</c:v>
                </c:pt>
                <c:pt idx="21">
                  <c:v>1984-1993</c:v>
                </c:pt>
                <c:pt idx="22">
                  <c:v>1985-1994</c:v>
                </c:pt>
                <c:pt idx="23">
                  <c:v>1986-1995</c:v>
                </c:pt>
                <c:pt idx="24">
                  <c:v>1987-1996</c:v>
                </c:pt>
                <c:pt idx="25">
                  <c:v>1988-1997</c:v>
                </c:pt>
                <c:pt idx="26">
                  <c:v>1989-1998</c:v>
                </c:pt>
                <c:pt idx="27">
                  <c:v>1990-1999</c:v>
                </c:pt>
                <c:pt idx="28">
                  <c:v>1991-2000</c:v>
                </c:pt>
                <c:pt idx="29">
                  <c:v>1992-2001</c:v>
                </c:pt>
                <c:pt idx="30">
                  <c:v>1993-2002</c:v>
                </c:pt>
                <c:pt idx="31">
                  <c:v>1994-2003</c:v>
                </c:pt>
                <c:pt idx="32">
                  <c:v>1995-2004</c:v>
                </c:pt>
                <c:pt idx="33">
                  <c:v>1996-2005</c:v>
                </c:pt>
                <c:pt idx="34">
                  <c:v>1997-2006</c:v>
                </c:pt>
                <c:pt idx="35">
                  <c:v>1998-2007</c:v>
                </c:pt>
                <c:pt idx="36">
                  <c:v>1999-2008</c:v>
                </c:pt>
                <c:pt idx="37">
                  <c:v>2000-2009</c:v>
                </c:pt>
                <c:pt idx="38">
                  <c:v>2001-2010</c:v>
                </c:pt>
                <c:pt idx="39">
                  <c:v>2002-2011</c:v>
                </c:pt>
                <c:pt idx="40">
                  <c:v>2003-2012</c:v>
                </c:pt>
                <c:pt idx="41">
                  <c:v>2004-2013</c:v>
                </c:pt>
              </c:strCache>
            </c:strRef>
          </c:cat>
          <c:val>
            <c:numRef>
              <c:f>Sheet1!$D$2:$D$43</c:f>
              <c:numCache>
                <c:formatCode>General</c:formatCode>
                <c:ptCount val="42"/>
                <c:pt idx="8">
                  <c:v>0.76314321089443404</c:v>
                </c:pt>
                <c:pt idx="9">
                  <c:v>0.734738631749417</c:v>
                </c:pt>
                <c:pt idx="10">
                  <c:v>0.74256886185117099</c:v>
                </c:pt>
                <c:pt idx="11">
                  <c:v>0.80499226239801103</c:v>
                </c:pt>
                <c:pt idx="12">
                  <c:v>0.78167842031942703</c:v>
                </c:pt>
                <c:pt idx="13">
                  <c:v>0.77721088757993895</c:v>
                </c:pt>
                <c:pt idx="14">
                  <c:v>0.788811591875753</c:v>
                </c:pt>
                <c:pt idx="15">
                  <c:v>0.75209894871831695</c:v>
                </c:pt>
                <c:pt idx="16">
                  <c:v>0.76436911773635097</c:v>
                </c:pt>
                <c:pt idx="17">
                  <c:v>0.77759811255950895</c:v>
                </c:pt>
                <c:pt idx="18">
                  <c:v>0.78061538455239499</c:v>
                </c:pt>
                <c:pt idx="19">
                  <c:v>0.78312546223561197</c:v>
                </c:pt>
                <c:pt idx="20">
                  <c:v>0.76927322161883904</c:v>
                </c:pt>
                <c:pt idx="21">
                  <c:v>0.76752000103930795</c:v>
                </c:pt>
                <c:pt idx="22">
                  <c:v>0.77261688818323704</c:v>
                </c:pt>
                <c:pt idx="23">
                  <c:v>0.78135848592402402</c:v>
                </c:pt>
                <c:pt idx="24">
                  <c:v>0.76743434870256499</c:v>
                </c:pt>
                <c:pt idx="25">
                  <c:v>0.82870212105080998</c:v>
                </c:pt>
                <c:pt idx="26">
                  <c:v>0.80591543261658205</c:v>
                </c:pt>
                <c:pt idx="27">
                  <c:v>0.80209716818253896</c:v>
                </c:pt>
                <c:pt idx="28">
                  <c:v>0.73931566089462197</c:v>
                </c:pt>
                <c:pt idx="29">
                  <c:v>0.75889748295289905</c:v>
                </c:pt>
                <c:pt idx="30">
                  <c:v>0.75493316206352501</c:v>
                </c:pt>
                <c:pt idx="31">
                  <c:v>0.72912330090074995</c:v>
                </c:pt>
                <c:pt idx="32">
                  <c:v>0.74165607471688</c:v>
                </c:pt>
                <c:pt idx="33">
                  <c:v>0.72148064871870099</c:v>
                </c:pt>
                <c:pt idx="34">
                  <c:v>0.70554235153873301</c:v>
                </c:pt>
                <c:pt idx="35">
                  <c:v>0.70422492794074498</c:v>
                </c:pt>
                <c:pt idx="36">
                  <c:v>0.71172171691459296</c:v>
                </c:pt>
                <c:pt idx="37">
                  <c:v>0.69776453234579705</c:v>
                </c:pt>
              </c:numCache>
            </c:numRef>
          </c:val>
          <c:smooth val="0"/>
          <c:extLst>
            <c:ext xmlns:c16="http://schemas.microsoft.com/office/drawing/2014/chart" uri="{C3380CC4-5D6E-409C-BE32-E72D297353CC}">
              <c16:uniqueId val="{00000001-DAB5-431D-9C53-DE7A8131273C}"/>
            </c:ext>
          </c:extLst>
        </c:ser>
        <c:ser>
          <c:idx val="2"/>
          <c:order val="2"/>
          <c:tx>
            <c:strRef>
              <c:f>Sheet1!$E$1</c:f>
              <c:strCache>
                <c:ptCount val="1"/>
                <c:pt idx="0">
                  <c:v>GEA</c:v>
                </c:pt>
              </c:strCache>
            </c:strRef>
          </c:tx>
          <c:spPr>
            <a:ln w="28575" cap="rnd">
              <a:solidFill>
                <a:schemeClr val="tx1"/>
              </a:solidFill>
              <a:round/>
            </a:ln>
            <a:effectLst/>
          </c:spPr>
          <c:marker>
            <c:symbol val="none"/>
          </c:marker>
          <c:cat>
            <c:strRef>
              <c:f>Sheet1!$B$2:$B$43</c:f>
              <c:strCache>
                <c:ptCount val="42"/>
                <c:pt idx="0">
                  <c:v>1963-1972</c:v>
                </c:pt>
                <c:pt idx="1">
                  <c:v>1964-1973</c:v>
                </c:pt>
                <c:pt idx="2">
                  <c:v>1965-1974</c:v>
                </c:pt>
                <c:pt idx="3">
                  <c:v>1966-1975</c:v>
                </c:pt>
                <c:pt idx="4">
                  <c:v>1967-1976</c:v>
                </c:pt>
                <c:pt idx="5">
                  <c:v>1968-1977</c:v>
                </c:pt>
                <c:pt idx="6">
                  <c:v>1969-1978</c:v>
                </c:pt>
                <c:pt idx="7">
                  <c:v>1970-1979</c:v>
                </c:pt>
                <c:pt idx="8">
                  <c:v>1971-1980</c:v>
                </c:pt>
                <c:pt idx="9">
                  <c:v>1972-1981</c:v>
                </c:pt>
                <c:pt idx="10">
                  <c:v>1973-1982</c:v>
                </c:pt>
                <c:pt idx="11">
                  <c:v>1974-1983</c:v>
                </c:pt>
                <c:pt idx="12">
                  <c:v>1975-1984</c:v>
                </c:pt>
                <c:pt idx="13">
                  <c:v>1976-1985</c:v>
                </c:pt>
                <c:pt idx="14">
                  <c:v>1977-1986</c:v>
                </c:pt>
                <c:pt idx="15">
                  <c:v>1978-1987</c:v>
                </c:pt>
                <c:pt idx="16">
                  <c:v>1979-1988</c:v>
                </c:pt>
                <c:pt idx="17">
                  <c:v>1980-1989</c:v>
                </c:pt>
                <c:pt idx="18">
                  <c:v>1981-1990</c:v>
                </c:pt>
                <c:pt idx="19">
                  <c:v>1982-1991</c:v>
                </c:pt>
                <c:pt idx="20">
                  <c:v>1983-1992</c:v>
                </c:pt>
                <c:pt idx="21">
                  <c:v>1984-1993</c:v>
                </c:pt>
                <c:pt idx="22">
                  <c:v>1985-1994</c:v>
                </c:pt>
                <c:pt idx="23">
                  <c:v>1986-1995</c:v>
                </c:pt>
                <c:pt idx="24">
                  <c:v>1987-1996</c:v>
                </c:pt>
                <c:pt idx="25">
                  <c:v>1988-1997</c:v>
                </c:pt>
                <c:pt idx="26">
                  <c:v>1989-1998</c:v>
                </c:pt>
                <c:pt idx="27">
                  <c:v>1990-1999</c:v>
                </c:pt>
                <c:pt idx="28">
                  <c:v>1991-2000</c:v>
                </c:pt>
                <c:pt idx="29">
                  <c:v>1992-2001</c:v>
                </c:pt>
                <c:pt idx="30">
                  <c:v>1993-2002</c:v>
                </c:pt>
                <c:pt idx="31">
                  <c:v>1994-2003</c:v>
                </c:pt>
                <c:pt idx="32">
                  <c:v>1995-2004</c:v>
                </c:pt>
                <c:pt idx="33">
                  <c:v>1996-2005</c:v>
                </c:pt>
                <c:pt idx="34">
                  <c:v>1997-2006</c:v>
                </c:pt>
                <c:pt idx="35">
                  <c:v>1998-2007</c:v>
                </c:pt>
                <c:pt idx="36">
                  <c:v>1999-2008</c:v>
                </c:pt>
                <c:pt idx="37">
                  <c:v>2000-2009</c:v>
                </c:pt>
                <c:pt idx="38">
                  <c:v>2001-2010</c:v>
                </c:pt>
                <c:pt idx="39">
                  <c:v>2002-2011</c:v>
                </c:pt>
                <c:pt idx="40">
                  <c:v>2003-2012</c:v>
                </c:pt>
                <c:pt idx="41">
                  <c:v>2004-2013</c:v>
                </c:pt>
              </c:strCache>
            </c:strRef>
          </c:cat>
          <c:val>
            <c:numRef>
              <c:f>Sheet1!$E$2:$E$43</c:f>
              <c:numCache>
                <c:formatCode>General</c:formatCode>
                <c:ptCount val="42"/>
                <c:pt idx="0">
                  <c:v>0.86315524135716304</c:v>
                </c:pt>
                <c:pt idx="1">
                  <c:v>0.84106090255594002</c:v>
                </c:pt>
                <c:pt idx="2">
                  <c:v>0.84184260867793503</c:v>
                </c:pt>
                <c:pt idx="3">
                  <c:v>0.82058259708360803</c:v>
                </c:pt>
                <c:pt idx="4">
                  <c:v>0.83324899643316497</c:v>
                </c:pt>
                <c:pt idx="5">
                  <c:v>0.82624590064697201</c:v>
                </c:pt>
                <c:pt idx="6">
                  <c:v>0.78140609565889496</c:v>
                </c:pt>
                <c:pt idx="7">
                  <c:v>0.77224413797827796</c:v>
                </c:pt>
                <c:pt idx="8">
                  <c:v>0.75415074525327297</c:v>
                </c:pt>
                <c:pt idx="9">
                  <c:v>0.77226623776050696</c:v>
                </c:pt>
                <c:pt idx="10">
                  <c:v>0.77538216287875805</c:v>
                </c:pt>
                <c:pt idx="11">
                  <c:v>0.735118904520633</c:v>
                </c:pt>
                <c:pt idx="12">
                  <c:v>0.72946941837359802</c:v>
                </c:pt>
                <c:pt idx="13">
                  <c:v>0.74683934461805401</c:v>
                </c:pt>
                <c:pt idx="14">
                  <c:v>0.75418583245390702</c:v>
                </c:pt>
                <c:pt idx="15">
                  <c:v>0.79000031163621898</c:v>
                </c:pt>
                <c:pt idx="16">
                  <c:v>0.810200090389117</c:v>
                </c:pt>
                <c:pt idx="17">
                  <c:v>0.80513295134430096</c:v>
                </c:pt>
                <c:pt idx="18">
                  <c:v>0.76848538845671099</c:v>
                </c:pt>
                <c:pt idx="19">
                  <c:v>0.77099410664360901</c:v>
                </c:pt>
                <c:pt idx="20">
                  <c:v>0.76560719082434103</c:v>
                </c:pt>
                <c:pt idx="21">
                  <c:v>0.76272391216461599</c:v>
                </c:pt>
                <c:pt idx="22">
                  <c:v>0.77310668943338801</c:v>
                </c:pt>
                <c:pt idx="23">
                  <c:v>0.77269041644466296</c:v>
                </c:pt>
                <c:pt idx="24">
                  <c:v>0.77782905550435699</c:v>
                </c:pt>
                <c:pt idx="25">
                  <c:v>0.73073979489708996</c:v>
                </c:pt>
                <c:pt idx="26">
                  <c:v>0.682622653032397</c:v>
                </c:pt>
                <c:pt idx="27">
                  <c:v>0.67982905624506196</c:v>
                </c:pt>
                <c:pt idx="28">
                  <c:v>0.68517902062804203</c:v>
                </c:pt>
                <c:pt idx="29">
                  <c:v>0.68656016143641596</c:v>
                </c:pt>
                <c:pt idx="30">
                  <c:v>0.65210675848306598</c:v>
                </c:pt>
                <c:pt idx="31">
                  <c:v>0.66286928877322704</c:v>
                </c:pt>
                <c:pt idx="32">
                  <c:v>0.68083199794519</c:v>
                </c:pt>
                <c:pt idx="33">
                  <c:v>0.66783990862313702</c:v>
                </c:pt>
                <c:pt idx="34">
                  <c:v>0.69179037176125002</c:v>
                </c:pt>
                <c:pt idx="35">
                  <c:v>0.68693275652736896</c:v>
                </c:pt>
                <c:pt idx="36">
                  <c:v>0.67988679784792305</c:v>
                </c:pt>
                <c:pt idx="37">
                  <c:v>0.68896669111089004</c:v>
                </c:pt>
                <c:pt idx="38">
                  <c:v>0.71808666969573798</c:v>
                </c:pt>
                <c:pt idx="39">
                  <c:v>0.68702625202781697</c:v>
                </c:pt>
                <c:pt idx="40">
                  <c:v>0.69562975273333105</c:v>
                </c:pt>
                <c:pt idx="41">
                  <c:v>0.69512070824542704</c:v>
                </c:pt>
              </c:numCache>
            </c:numRef>
          </c:val>
          <c:smooth val="0"/>
          <c:extLst>
            <c:ext xmlns:c16="http://schemas.microsoft.com/office/drawing/2014/chart" uri="{C3380CC4-5D6E-409C-BE32-E72D297353CC}">
              <c16:uniqueId val="{00000002-DAB5-431D-9C53-DE7A8131273C}"/>
            </c:ext>
          </c:extLst>
        </c:ser>
        <c:dLbls>
          <c:showLegendKey val="0"/>
          <c:showVal val="0"/>
          <c:showCatName val="0"/>
          <c:showSerName val="0"/>
          <c:showPercent val="0"/>
          <c:showBubbleSize val="0"/>
        </c:dLbls>
        <c:smooth val="0"/>
        <c:axId val="-1438344848"/>
        <c:axId val="-1438343072"/>
      </c:lineChart>
      <c:catAx>
        <c:axId val="-1438344848"/>
        <c:scaling>
          <c:orientation val="minMax"/>
        </c:scaling>
        <c:delete val="0"/>
        <c:axPos val="b"/>
        <c:numFmt formatCode="General" sourceLinked="1"/>
        <c:majorTickMark val="none"/>
        <c:minorTickMark val="out"/>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343072"/>
        <c:crosses val="autoZero"/>
        <c:auto val="1"/>
        <c:lblAlgn val="ctr"/>
        <c:lblOffset val="100"/>
        <c:tickLblSkip val="2"/>
        <c:noMultiLvlLbl val="0"/>
      </c:catAx>
      <c:valAx>
        <c:axId val="-1438343072"/>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34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Using PRIO</a:t>
            </a:r>
            <a:r>
              <a:rPr lang="en-US" baseline="0"/>
              <a:t> as dependent variable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Sheet1!$C$1</c:f>
              <c:strCache>
                <c:ptCount val="1"/>
                <c:pt idx="0">
                  <c:v>CU</c:v>
                </c:pt>
              </c:strCache>
            </c:strRef>
          </c:tx>
          <c:spPr>
            <a:ln w="28575" cap="rnd">
              <a:solidFill>
                <a:schemeClr val="bg2">
                  <a:lumMod val="50000"/>
                </a:schemeClr>
              </a:solidFill>
              <a:round/>
            </a:ln>
            <a:effectLst/>
          </c:spPr>
          <c:marker>
            <c:symbol val="none"/>
          </c:marker>
          <c:cat>
            <c:strRef>
              <c:f>Sheet1!$B$2:$B$31</c:f>
              <c:strCache>
                <c:ptCount val="30"/>
                <c:pt idx="0">
                  <c:v>1971-1980</c:v>
                </c:pt>
                <c:pt idx="1">
                  <c:v>1972-1981</c:v>
                </c:pt>
                <c:pt idx="2">
                  <c:v>1973-1982</c:v>
                </c:pt>
                <c:pt idx="3">
                  <c:v>1974-1983</c:v>
                </c:pt>
                <c:pt idx="4">
                  <c:v>1975-1984</c:v>
                </c:pt>
                <c:pt idx="5">
                  <c:v>1976-1985</c:v>
                </c:pt>
                <c:pt idx="6">
                  <c:v>1977-1986</c:v>
                </c:pt>
                <c:pt idx="7">
                  <c:v>1978-1987</c:v>
                </c:pt>
                <c:pt idx="8">
                  <c:v>1979-1988</c:v>
                </c:pt>
                <c:pt idx="9">
                  <c:v>1980-1989</c:v>
                </c:pt>
                <c:pt idx="10">
                  <c:v>1981-1990</c:v>
                </c:pt>
                <c:pt idx="11">
                  <c:v>1982-1991</c:v>
                </c:pt>
                <c:pt idx="12">
                  <c:v>1983-1992</c:v>
                </c:pt>
                <c:pt idx="13">
                  <c:v>1984-1993</c:v>
                </c:pt>
                <c:pt idx="14">
                  <c:v>1985-1994</c:v>
                </c:pt>
                <c:pt idx="15">
                  <c:v>1986-1995</c:v>
                </c:pt>
                <c:pt idx="16">
                  <c:v>1987-1996</c:v>
                </c:pt>
                <c:pt idx="17">
                  <c:v>1988-1997</c:v>
                </c:pt>
                <c:pt idx="18">
                  <c:v>1989-1998</c:v>
                </c:pt>
                <c:pt idx="19">
                  <c:v>1990-1999</c:v>
                </c:pt>
                <c:pt idx="20">
                  <c:v>1991-2000</c:v>
                </c:pt>
                <c:pt idx="21">
                  <c:v>1992-2001</c:v>
                </c:pt>
                <c:pt idx="22">
                  <c:v>1993-2002</c:v>
                </c:pt>
                <c:pt idx="23">
                  <c:v>1994-2003</c:v>
                </c:pt>
                <c:pt idx="24">
                  <c:v>1995-2004</c:v>
                </c:pt>
                <c:pt idx="25">
                  <c:v>1996-2005</c:v>
                </c:pt>
                <c:pt idx="26">
                  <c:v>1997-2006</c:v>
                </c:pt>
                <c:pt idx="27">
                  <c:v>1998-2007</c:v>
                </c:pt>
                <c:pt idx="28">
                  <c:v>1999-2008</c:v>
                </c:pt>
                <c:pt idx="29">
                  <c:v>2000-2009</c:v>
                </c:pt>
              </c:strCache>
            </c:strRef>
          </c:cat>
          <c:val>
            <c:numRef>
              <c:f>Sheet1!$C$2:$C$31</c:f>
              <c:numCache>
                <c:formatCode>General</c:formatCode>
                <c:ptCount val="30"/>
                <c:pt idx="0">
                  <c:v>0.75965932504040601</c:v>
                </c:pt>
                <c:pt idx="1">
                  <c:v>0.75965932504040601</c:v>
                </c:pt>
                <c:pt idx="2">
                  <c:v>0.77407918270318699</c:v>
                </c:pt>
                <c:pt idx="3">
                  <c:v>0.74819559106947098</c:v>
                </c:pt>
                <c:pt idx="4">
                  <c:v>0.74114476318936795</c:v>
                </c:pt>
                <c:pt idx="5">
                  <c:v>0.76408853285368705</c:v>
                </c:pt>
                <c:pt idx="6">
                  <c:v>0.754116607518306</c:v>
                </c:pt>
                <c:pt idx="7">
                  <c:v>0.72810007881592997</c:v>
                </c:pt>
                <c:pt idx="8">
                  <c:v>0.67822238981745897</c:v>
                </c:pt>
                <c:pt idx="9">
                  <c:v>0.67141389385070605</c:v>
                </c:pt>
                <c:pt idx="10">
                  <c:v>0.71569232562615104</c:v>
                </c:pt>
                <c:pt idx="11">
                  <c:v>0.72520177118990103</c:v>
                </c:pt>
                <c:pt idx="12">
                  <c:v>0.74503709682461094</c:v>
                </c:pt>
                <c:pt idx="13">
                  <c:v>0.73870727427515803</c:v>
                </c:pt>
                <c:pt idx="14">
                  <c:v>0.750797600974899</c:v>
                </c:pt>
                <c:pt idx="15">
                  <c:v>0.75071288782929402</c:v>
                </c:pt>
                <c:pt idx="16">
                  <c:v>0.76457362341239898</c:v>
                </c:pt>
                <c:pt idx="17">
                  <c:v>0.77259344456842705</c:v>
                </c:pt>
                <c:pt idx="18">
                  <c:v>0.76953646368002504</c:v>
                </c:pt>
                <c:pt idx="19">
                  <c:v>0.779444536636129</c:v>
                </c:pt>
                <c:pt idx="20">
                  <c:v>0.78586066180695802</c:v>
                </c:pt>
                <c:pt idx="21">
                  <c:v>0.76362181256457795</c:v>
                </c:pt>
                <c:pt idx="22">
                  <c:v>0.76843658695922301</c:v>
                </c:pt>
                <c:pt idx="23">
                  <c:v>0.74510910318543799</c:v>
                </c:pt>
                <c:pt idx="24">
                  <c:v>0.73927382058800595</c:v>
                </c:pt>
                <c:pt idx="25">
                  <c:v>0.73849335601400001</c:v>
                </c:pt>
                <c:pt idx="26">
                  <c:v>0.73878214243534301</c:v>
                </c:pt>
                <c:pt idx="27">
                  <c:v>0.72976635379641697</c:v>
                </c:pt>
                <c:pt idx="28">
                  <c:v>0.67939559852810205</c:v>
                </c:pt>
                <c:pt idx="29">
                  <c:v>0.69311799504669702</c:v>
                </c:pt>
              </c:numCache>
            </c:numRef>
          </c:val>
          <c:smooth val="0"/>
          <c:extLst>
            <c:ext xmlns:c16="http://schemas.microsoft.com/office/drawing/2014/chart" uri="{C3380CC4-5D6E-409C-BE32-E72D297353CC}">
              <c16:uniqueId val="{00000000-EFE6-4913-BBE7-9AC9F1E81E37}"/>
            </c:ext>
          </c:extLst>
        </c:ser>
        <c:ser>
          <c:idx val="1"/>
          <c:order val="1"/>
          <c:tx>
            <c:strRef>
              <c:f>Sheet1!$D$1</c:f>
              <c:strCache>
                <c:ptCount val="1"/>
                <c:pt idx="0">
                  <c:v>HEA</c:v>
                </c:pt>
              </c:strCache>
            </c:strRef>
          </c:tx>
          <c:spPr>
            <a:ln w="28575" cap="rnd">
              <a:solidFill>
                <a:schemeClr val="tx1"/>
              </a:solidFill>
              <a:prstDash val="dash"/>
              <a:round/>
            </a:ln>
            <a:effectLst/>
          </c:spPr>
          <c:marker>
            <c:symbol val="none"/>
          </c:marker>
          <c:cat>
            <c:strRef>
              <c:f>Sheet1!$B$2:$B$31</c:f>
              <c:strCache>
                <c:ptCount val="30"/>
                <c:pt idx="0">
                  <c:v>1971-1980</c:v>
                </c:pt>
                <c:pt idx="1">
                  <c:v>1972-1981</c:v>
                </c:pt>
                <c:pt idx="2">
                  <c:v>1973-1982</c:v>
                </c:pt>
                <c:pt idx="3">
                  <c:v>1974-1983</c:v>
                </c:pt>
                <c:pt idx="4">
                  <c:v>1975-1984</c:v>
                </c:pt>
                <c:pt idx="5">
                  <c:v>1976-1985</c:v>
                </c:pt>
                <c:pt idx="6">
                  <c:v>1977-1986</c:v>
                </c:pt>
                <c:pt idx="7">
                  <c:v>1978-1987</c:v>
                </c:pt>
                <c:pt idx="8">
                  <c:v>1979-1988</c:v>
                </c:pt>
                <c:pt idx="9">
                  <c:v>1980-1989</c:v>
                </c:pt>
                <c:pt idx="10">
                  <c:v>1981-1990</c:v>
                </c:pt>
                <c:pt idx="11">
                  <c:v>1982-1991</c:v>
                </c:pt>
                <c:pt idx="12">
                  <c:v>1983-1992</c:v>
                </c:pt>
                <c:pt idx="13">
                  <c:v>1984-1993</c:v>
                </c:pt>
                <c:pt idx="14">
                  <c:v>1985-1994</c:v>
                </c:pt>
                <c:pt idx="15">
                  <c:v>1986-1995</c:v>
                </c:pt>
                <c:pt idx="16">
                  <c:v>1987-1996</c:v>
                </c:pt>
                <c:pt idx="17">
                  <c:v>1988-1997</c:v>
                </c:pt>
                <c:pt idx="18">
                  <c:v>1989-1998</c:v>
                </c:pt>
                <c:pt idx="19">
                  <c:v>1990-1999</c:v>
                </c:pt>
                <c:pt idx="20">
                  <c:v>1991-2000</c:v>
                </c:pt>
                <c:pt idx="21">
                  <c:v>1992-2001</c:v>
                </c:pt>
                <c:pt idx="22">
                  <c:v>1993-2002</c:v>
                </c:pt>
                <c:pt idx="23">
                  <c:v>1994-2003</c:v>
                </c:pt>
                <c:pt idx="24">
                  <c:v>1995-2004</c:v>
                </c:pt>
                <c:pt idx="25">
                  <c:v>1996-2005</c:v>
                </c:pt>
                <c:pt idx="26">
                  <c:v>1997-2006</c:v>
                </c:pt>
                <c:pt idx="27">
                  <c:v>1998-2007</c:v>
                </c:pt>
                <c:pt idx="28">
                  <c:v>1999-2008</c:v>
                </c:pt>
                <c:pt idx="29">
                  <c:v>2000-2009</c:v>
                </c:pt>
              </c:strCache>
            </c:strRef>
          </c:cat>
          <c:val>
            <c:numRef>
              <c:f>Sheet1!$D$2:$D$31</c:f>
              <c:numCache>
                <c:formatCode>General</c:formatCode>
                <c:ptCount val="30"/>
                <c:pt idx="0">
                  <c:v>0.70207044529903395</c:v>
                </c:pt>
                <c:pt idx="1">
                  <c:v>0.66762430253156901</c:v>
                </c:pt>
                <c:pt idx="2">
                  <c:v>0.67808573782390302</c:v>
                </c:pt>
                <c:pt idx="3">
                  <c:v>0.68148009711422597</c:v>
                </c:pt>
                <c:pt idx="4">
                  <c:v>0.69917248633907503</c:v>
                </c:pt>
                <c:pt idx="5">
                  <c:v>0.70355732186421205</c:v>
                </c:pt>
                <c:pt idx="6">
                  <c:v>0.69591086705275096</c:v>
                </c:pt>
                <c:pt idx="7">
                  <c:v>0.68286343936629501</c:v>
                </c:pt>
                <c:pt idx="8">
                  <c:v>0.68040614880577599</c:v>
                </c:pt>
                <c:pt idx="9">
                  <c:v>0.68294564235794197</c:v>
                </c:pt>
                <c:pt idx="10">
                  <c:v>0.64252226950947999</c:v>
                </c:pt>
                <c:pt idx="11">
                  <c:v>0.66782086374249905</c:v>
                </c:pt>
                <c:pt idx="12">
                  <c:v>0.685367377133977</c:v>
                </c:pt>
                <c:pt idx="13">
                  <c:v>0.69182277357602595</c:v>
                </c:pt>
                <c:pt idx="14">
                  <c:v>0.71658061402237505</c:v>
                </c:pt>
                <c:pt idx="15">
                  <c:v>0.72061294182512103</c:v>
                </c:pt>
                <c:pt idx="16">
                  <c:v>0.71517330989102301</c:v>
                </c:pt>
                <c:pt idx="17">
                  <c:v>0.73085536008923502</c:v>
                </c:pt>
                <c:pt idx="18">
                  <c:v>0.72319542536969295</c:v>
                </c:pt>
                <c:pt idx="19">
                  <c:v>0.74755737602072403</c:v>
                </c:pt>
                <c:pt idx="20">
                  <c:v>0.74592186648307601</c:v>
                </c:pt>
                <c:pt idx="21">
                  <c:v>0.73992859648795395</c:v>
                </c:pt>
                <c:pt idx="22">
                  <c:v>0.77034942650869398</c:v>
                </c:pt>
                <c:pt idx="23">
                  <c:v>0.759587351974231</c:v>
                </c:pt>
                <c:pt idx="24">
                  <c:v>0.74591334233897599</c:v>
                </c:pt>
                <c:pt idx="25">
                  <c:v>0.74591324924374003</c:v>
                </c:pt>
                <c:pt idx="26">
                  <c:v>0.74708917591262303</c:v>
                </c:pt>
                <c:pt idx="27">
                  <c:v>0.74702937615465004</c:v>
                </c:pt>
                <c:pt idx="28">
                  <c:v>0.75721439452562</c:v>
                </c:pt>
                <c:pt idx="29">
                  <c:v>0.77357107467002395</c:v>
                </c:pt>
              </c:numCache>
            </c:numRef>
          </c:val>
          <c:smooth val="0"/>
          <c:extLst>
            <c:ext xmlns:c16="http://schemas.microsoft.com/office/drawing/2014/chart" uri="{C3380CC4-5D6E-409C-BE32-E72D297353CC}">
              <c16:uniqueId val="{00000001-EFE6-4913-BBE7-9AC9F1E81E37}"/>
            </c:ext>
          </c:extLst>
        </c:ser>
        <c:ser>
          <c:idx val="2"/>
          <c:order val="2"/>
          <c:tx>
            <c:strRef>
              <c:f>Sheet1!$E$1</c:f>
              <c:strCache>
                <c:ptCount val="1"/>
                <c:pt idx="0">
                  <c:v>GEA</c:v>
                </c:pt>
              </c:strCache>
            </c:strRef>
          </c:tx>
          <c:spPr>
            <a:ln w="28575" cap="rnd">
              <a:solidFill>
                <a:schemeClr val="tx1"/>
              </a:solidFill>
              <a:round/>
            </a:ln>
            <a:effectLst/>
          </c:spPr>
          <c:marker>
            <c:symbol val="none"/>
          </c:marker>
          <c:cat>
            <c:strRef>
              <c:f>Sheet1!$B$2:$B$31</c:f>
              <c:strCache>
                <c:ptCount val="30"/>
                <c:pt idx="0">
                  <c:v>1971-1980</c:v>
                </c:pt>
                <c:pt idx="1">
                  <c:v>1972-1981</c:v>
                </c:pt>
                <c:pt idx="2">
                  <c:v>1973-1982</c:v>
                </c:pt>
                <c:pt idx="3">
                  <c:v>1974-1983</c:v>
                </c:pt>
                <c:pt idx="4">
                  <c:v>1975-1984</c:v>
                </c:pt>
                <c:pt idx="5">
                  <c:v>1976-1985</c:v>
                </c:pt>
                <c:pt idx="6">
                  <c:v>1977-1986</c:v>
                </c:pt>
                <c:pt idx="7">
                  <c:v>1978-1987</c:v>
                </c:pt>
                <c:pt idx="8">
                  <c:v>1979-1988</c:v>
                </c:pt>
                <c:pt idx="9">
                  <c:v>1980-1989</c:v>
                </c:pt>
                <c:pt idx="10">
                  <c:v>1981-1990</c:v>
                </c:pt>
                <c:pt idx="11">
                  <c:v>1982-1991</c:v>
                </c:pt>
                <c:pt idx="12">
                  <c:v>1983-1992</c:v>
                </c:pt>
                <c:pt idx="13">
                  <c:v>1984-1993</c:v>
                </c:pt>
                <c:pt idx="14">
                  <c:v>1985-1994</c:v>
                </c:pt>
                <c:pt idx="15">
                  <c:v>1986-1995</c:v>
                </c:pt>
                <c:pt idx="16">
                  <c:v>1987-1996</c:v>
                </c:pt>
                <c:pt idx="17">
                  <c:v>1988-1997</c:v>
                </c:pt>
                <c:pt idx="18">
                  <c:v>1989-1998</c:v>
                </c:pt>
                <c:pt idx="19">
                  <c:v>1990-1999</c:v>
                </c:pt>
                <c:pt idx="20">
                  <c:v>1991-2000</c:v>
                </c:pt>
                <c:pt idx="21">
                  <c:v>1992-2001</c:v>
                </c:pt>
                <c:pt idx="22">
                  <c:v>1993-2002</c:v>
                </c:pt>
                <c:pt idx="23">
                  <c:v>1994-2003</c:v>
                </c:pt>
                <c:pt idx="24">
                  <c:v>1995-2004</c:v>
                </c:pt>
                <c:pt idx="25">
                  <c:v>1996-2005</c:v>
                </c:pt>
                <c:pt idx="26">
                  <c:v>1997-2006</c:v>
                </c:pt>
                <c:pt idx="27">
                  <c:v>1998-2007</c:v>
                </c:pt>
                <c:pt idx="28">
                  <c:v>1999-2008</c:v>
                </c:pt>
                <c:pt idx="29">
                  <c:v>2000-2009</c:v>
                </c:pt>
              </c:strCache>
            </c:strRef>
          </c:cat>
          <c:val>
            <c:numRef>
              <c:f>Sheet1!$E$2:$E$31</c:f>
              <c:numCache>
                <c:formatCode>General</c:formatCode>
                <c:ptCount val="30"/>
                <c:pt idx="0">
                  <c:v>0.69367658710052704</c:v>
                </c:pt>
                <c:pt idx="1">
                  <c:v>0.72094679213464496</c:v>
                </c:pt>
                <c:pt idx="2">
                  <c:v>0.73790261261965195</c:v>
                </c:pt>
                <c:pt idx="3">
                  <c:v>0.71259120794213904</c:v>
                </c:pt>
                <c:pt idx="4">
                  <c:v>0.73776864738215497</c:v>
                </c:pt>
                <c:pt idx="5">
                  <c:v>0.72326414627605096</c:v>
                </c:pt>
                <c:pt idx="6">
                  <c:v>0.72441459434196898</c:v>
                </c:pt>
                <c:pt idx="7">
                  <c:v>0.70058822885382999</c:v>
                </c:pt>
                <c:pt idx="8">
                  <c:v>0.70542289460452601</c:v>
                </c:pt>
                <c:pt idx="9">
                  <c:v>0.643665043949746</c:v>
                </c:pt>
                <c:pt idx="10">
                  <c:v>0.65638210600486402</c:v>
                </c:pt>
                <c:pt idx="11">
                  <c:v>0.67953692054458104</c:v>
                </c:pt>
                <c:pt idx="12">
                  <c:v>0.68573420417086794</c:v>
                </c:pt>
                <c:pt idx="13">
                  <c:v>0.67933862088174202</c:v>
                </c:pt>
                <c:pt idx="14">
                  <c:v>0.72376153625565698</c:v>
                </c:pt>
                <c:pt idx="15">
                  <c:v>0.72978262729752497</c:v>
                </c:pt>
                <c:pt idx="16">
                  <c:v>0.72914850104753104</c:v>
                </c:pt>
                <c:pt idx="17">
                  <c:v>0.74479289100976098</c:v>
                </c:pt>
                <c:pt idx="18">
                  <c:v>0.72910904480698202</c:v>
                </c:pt>
                <c:pt idx="19">
                  <c:v>0.74316336966487295</c:v>
                </c:pt>
                <c:pt idx="20">
                  <c:v>0.75366149720570796</c:v>
                </c:pt>
                <c:pt idx="21">
                  <c:v>0.742792902107692</c:v>
                </c:pt>
                <c:pt idx="22">
                  <c:v>0.76019244574518896</c:v>
                </c:pt>
                <c:pt idx="23">
                  <c:v>0.74528185790595103</c:v>
                </c:pt>
                <c:pt idx="24">
                  <c:v>0.73985932061965998</c:v>
                </c:pt>
                <c:pt idx="25">
                  <c:v>0.76123248098681495</c:v>
                </c:pt>
                <c:pt idx="26">
                  <c:v>0.76787719633951201</c:v>
                </c:pt>
                <c:pt idx="27">
                  <c:v>0.74436617935444604</c:v>
                </c:pt>
                <c:pt idx="28">
                  <c:v>0.74077760458640196</c:v>
                </c:pt>
                <c:pt idx="29">
                  <c:v>0.76497465502647499</c:v>
                </c:pt>
              </c:numCache>
            </c:numRef>
          </c:val>
          <c:smooth val="0"/>
          <c:extLst>
            <c:ext xmlns:c16="http://schemas.microsoft.com/office/drawing/2014/chart" uri="{C3380CC4-5D6E-409C-BE32-E72D297353CC}">
              <c16:uniqueId val="{00000002-EFE6-4913-BBE7-9AC9F1E81E37}"/>
            </c:ext>
          </c:extLst>
        </c:ser>
        <c:dLbls>
          <c:showLegendKey val="0"/>
          <c:showVal val="0"/>
          <c:showCatName val="0"/>
          <c:showSerName val="0"/>
          <c:showPercent val="0"/>
          <c:showBubbleSize val="0"/>
        </c:dLbls>
        <c:smooth val="0"/>
        <c:axId val="-1438644160"/>
        <c:axId val="-1438278848"/>
      </c:lineChart>
      <c:catAx>
        <c:axId val="-1438644160"/>
        <c:scaling>
          <c:orientation val="minMax"/>
        </c:scaling>
        <c:delete val="0"/>
        <c:axPos val="b"/>
        <c:numFmt formatCode="General" sourceLinked="1"/>
        <c:majorTickMark val="none"/>
        <c:minorTickMark val="out"/>
        <c:tickLblPos val="nextTo"/>
        <c:spPr>
          <a:noFill/>
          <a:ln w="9525" cap="flat" cmpd="sng" algn="ctr">
            <a:solidFill>
              <a:schemeClr val="bg1">
                <a:lumMod val="6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278848"/>
        <c:crosses val="autoZero"/>
        <c:auto val="1"/>
        <c:lblAlgn val="ctr"/>
        <c:lblOffset val="100"/>
        <c:tickLblSkip val="2"/>
        <c:noMultiLvlLbl val="0"/>
      </c:catAx>
      <c:valAx>
        <c:axId val="-1438278848"/>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64416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24364728242706E-2"/>
          <c:y val="8.9743589743589702E-2"/>
          <c:w val="0.78600364720903204"/>
          <c:h val="0.62164653849108698"/>
        </c:manualLayout>
      </c:layout>
      <c:lineChart>
        <c:grouping val="standard"/>
        <c:varyColors val="0"/>
        <c:ser>
          <c:idx val="0"/>
          <c:order val="0"/>
          <c:tx>
            <c:strRef>
              <c:f>Sheet1!$D$1</c:f>
              <c:strCache>
                <c:ptCount val="1"/>
                <c:pt idx="0">
                  <c:v>mAUROC</c:v>
                </c:pt>
              </c:strCache>
            </c:strRef>
          </c:tx>
          <c:spPr>
            <a:ln w="28575" cap="rnd">
              <a:solidFill>
                <a:schemeClr val="tx1"/>
              </a:solidFill>
              <a:round/>
            </a:ln>
            <a:effectLst/>
          </c:spPr>
          <c:marker>
            <c:symbol val="none"/>
          </c:marker>
          <c:cat>
            <c:strRef>
              <c:f>Sheet1!$C$2:$C$50</c:f>
              <c:strCache>
                <c:ptCount val="48"/>
                <c:pt idx="0">
                  <c:v>1958-1967</c:v>
                </c:pt>
                <c:pt idx="1">
                  <c:v>1959-1968</c:v>
                </c:pt>
                <c:pt idx="2">
                  <c:v>1960-1969</c:v>
                </c:pt>
                <c:pt idx="3">
                  <c:v>1961-1970</c:v>
                </c:pt>
                <c:pt idx="4">
                  <c:v>1962-1971</c:v>
                </c:pt>
                <c:pt idx="5">
                  <c:v>1963-1972</c:v>
                </c:pt>
                <c:pt idx="6">
                  <c:v>1964-1973</c:v>
                </c:pt>
                <c:pt idx="7">
                  <c:v>1965-1974</c:v>
                </c:pt>
                <c:pt idx="8">
                  <c:v>1966-1975</c:v>
                </c:pt>
                <c:pt idx="9">
                  <c:v>1967-1976</c:v>
                </c:pt>
                <c:pt idx="10">
                  <c:v>1968-1977</c:v>
                </c:pt>
                <c:pt idx="11">
                  <c:v>1969-1978</c:v>
                </c:pt>
                <c:pt idx="12">
                  <c:v>1970-1979</c:v>
                </c:pt>
                <c:pt idx="13">
                  <c:v>1971-1980</c:v>
                </c:pt>
                <c:pt idx="14">
                  <c:v>1972-1981</c:v>
                </c:pt>
                <c:pt idx="15">
                  <c:v>1973-1982</c:v>
                </c:pt>
                <c:pt idx="16">
                  <c:v>1974-1983</c:v>
                </c:pt>
                <c:pt idx="17">
                  <c:v>1975-1984</c:v>
                </c:pt>
                <c:pt idx="18">
                  <c:v>1976-1985</c:v>
                </c:pt>
                <c:pt idx="19">
                  <c:v>1977-1986</c:v>
                </c:pt>
                <c:pt idx="20">
                  <c:v>1978-1987</c:v>
                </c:pt>
                <c:pt idx="21">
                  <c:v>1979-1988</c:v>
                </c:pt>
                <c:pt idx="22">
                  <c:v>1980-1989</c:v>
                </c:pt>
                <c:pt idx="23">
                  <c:v>1981-1990</c:v>
                </c:pt>
                <c:pt idx="24">
                  <c:v>1982-1991</c:v>
                </c:pt>
                <c:pt idx="25">
                  <c:v>1983-1992</c:v>
                </c:pt>
                <c:pt idx="26">
                  <c:v>1984-1993</c:v>
                </c:pt>
                <c:pt idx="27">
                  <c:v>1985-1994</c:v>
                </c:pt>
                <c:pt idx="28">
                  <c:v>1986-1995</c:v>
                </c:pt>
                <c:pt idx="29">
                  <c:v>1987-1996</c:v>
                </c:pt>
                <c:pt idx="30">
                  <c:v>1988-1997</c:v>
                </c:pt>
                <c:pt idx="31">
                  <c:v>1989-1998</c:v>
                </c:pt>
                <c:pt idx="32">
                  <c:v>1990-1999</c:v>
                </c:pt>
                <c:pt idx="33">
                  <c:v>1991-2000</c:v>
                </c:pt>
                <c:pt idx="34">
                  <c:v>1992-2001</c:v>
                </c:pt>
                <c:pt idx="35">
                  <c:v>1993-2002</c:v>
                </c:pt>
                <c:pt idx="36">
                  <c:v>1994-2003</c:v>
                </c:pt>
                <c:pt idx="37">
                  <c:v>1995-2004</c:v>
                </c:pt>
                <c:pt idx="38">
                  <c:v>1996-2005</c:v>
                </c:pt>
                <c:pt idx="39">
                  <c:v>1997-2006</c:v>
                </c:pt>
                <c:pt idx="40">
                  <c:v>1998-2007</c:v>
                </c:pt>
                <c:pt idx="41">
                  <c:v>1999-2008</c:v>
                </c:pt>
                <c:pt idx="42">
                  <c:v>2000-2009</c:v>
                </c:pt>
                <c:pt idx="43">
                  <c:v>2001-2010</c:v>
                </c:pt>
                <c:pt idx="44">
                  <c:v>2002-2011</c:v>
                </c:pt>
                <c:pt idx="45">
                  <c:v>2003-2012</c:v>
                </c:pt>
                <c:pt idx="46">
                  <c:v>2004-2013</c:v>
                </c:pt>
                <c:pt idx="47">
                  <c:v>2005-2014</c:v>
                </c:pt>
              </c:strCache>
              <c:extLst/>
            </c:strRef>
          </c:cat>
          <c:val>
            <c:numRef>
              <c:f>Sheet1!$D$2:$D$50</c:f>
              <c:numCache>
                <c:formatCode>General</c:formatCode>
                <c:ptCount val="48"/>
                <c:pt idx="0">
                  <c:v>0.82613471126336102</c:v>
                </c:pt>
                <c:pt idx="1">
                  <c:v>0.82757804929505696</c:v>
                </c:pt>
                <c:pt idx="2">
                  <c:v>0.82317596019661399</c:v>
                </c:pt>
                <c:pt idx="3">
                  <c:v>0.78248454101215803</c:v>
                </c:pt>
                <c:pt idx="4">
                  <c:v>0.73889920407057796</c:v>
                </c:pt>
                <c:pt idx="5">
                  <c:v>0.74358746650395502</c:v>
                </c:pt>
                <c:pt idx="6">
                  <c:v>0.76698638567904698</c:v>
                </c:pt>
                <c:pt idx="7">
                  <c:v>0.77349669506656904</c:v>
                </c:pt>
                <c:pt idx="8">
                  <c:v>0.78990261846784005</c:v>
                </c:pt>
                <c:pt idx="9">
                  <c:v>0.81178706161098402</c:v>
                </c:pt>
                <c:pt idx="10">
                  <c:v>0.80194051805084199</c:v>
                </c:pt>
                <c:pt idx="11">
                  <c:v>0.81649611934353805</c:v>
                </c:pt>
                <c:pt idx="12">
                  <c:v>0.81580324376554902</c:v>
                </c:pt>
                <c:pt idx="13">
                  <c:v>0.83596684984677505</c:v>
                </c:pt>
                <c:pt idx="14">
                  <c:v>0.86569806538641703</c:v>
                </c:pt>
                <c:pt idx="15">
                  <c:v>0.89771446749541095</c:v>
                </c:pt>
                <c:pt idx="16">
                  <c:v>0.88927903305821998</c:v>
                </c:pt>
                <c:pt idx="17">
                  <c:v>0.85991557101914795</c:v>
                </c:pt>
                <c:pt idx="18">
                  <c:v>0.85427136336020104</c:v>
                </c:pt>
                <c:pt idx="19">
                  <c:v>0.84622518245580802</c:v>
                </c:pt>
                <c:pt idx="20">
                  <c:v>0.82342369917998604</c:v>
                </c:pt>
                <c:pt idx="21">
                  <c:v>0.84844936323192899</c:v>
                </c:pt>
                <c:pt idx="22">
                  <c:v>0.83675424778394603</c:v>
                </c:pt>
                <c:pt idx="23">
                  <c:v>0.83362301694968799</c:v>
                </c:pt>
                <c:pt idx="24">
                  <c:v>0.81336189460705999</c:v>
                </c:pt>
                <c:pt idx="25">
                  <c:v>0.81920759369128604</c:v>
                </c:pt>
                <c:pt idx="26">
                  <c:v>0.78123497212195903</c:v>
                </c:pt>
                <c:pt idx="27">
                  <c:v>0.81180555491446904</c:v>
                </c:pt>
                <c:pt idx="28">
                  <c:v>0.81096599157506299</c:v>
                </c:pt>
                <c:pt idx="29">
                  <c:v>0.82396445122797102</c:v>
                </c:pt>
                <c:pt idx="30">
                  <c:v>0.86131803351604996</c:v>
                </c:pt>
                <c:pt idx="31">
                  <c:v>0.86617616400047504</c:v>
                </c:pt>
                <c:pt idx="32">
                  <c:v>0.87329185172158996</c:v>
                </c:pt>
                <c:pt idx="33">
                  <c:v>0.86801525123857803</c:v>
                </c:pt>
                <c:pt idx="34">
                  <c:v>0.89551641412873195</c:v>
                </c:pt>
                <c:pt idx="35">
                  <c:v>0.91738113365201501</c:v>
                </c:pt>
                <c:pt idx="36">
                  <c:v>0.92092751309461096</c:v>
                </c:pt>
                <c:pt idx="37">
                  <c:v>0.86953817135269995</c:v>
                </c:pt>
                <c:pt idx="38">
                  <c:v>0.86110814077320297</c:v>
                </c:pt>
                <c:pt idx="39">
                  <c:v>0.84129412350803601</c:v>
                </c:pt>
                <c:pt idx="40">
                  <c:v>0.80858085181531303</c:v>
                </c:pt>
                <c:pt idx="41">
                  <c:v>0.78708476462634303</c:v>
                </c:pt>
                <c:pt idx="42">
                  <c:v>0.74273887347022605</c:v>
                </c:pt>
                <c:pt idx="43">
                  <c:v>0.70088782257516902</c:v>
                </c:pt>
                <c:pt idx="44">
                  <c:v>0.64116985684955397</c:v>
                </c:pt>
                <c:pt idx="45">
                  <c:v>0.64026996044572804</c:v>
                </c:pt>
                <c:pt idx="46">
                  <c:v>0.64164348051658304</c:v>
                </c:pt>
                <c:pt idx="47">
                  <c:v>0.62750766032076299</c:v>
                </c:pt>
              </c:numCache>
              <c:extLst/>
            </c:numRef>
          </c:val>
          <c:smooth val="0"/>
          <c:extLst>
            <c:ext xmlns:c16="http://schemas.microsoft.com/office/drawing/2014/chart" uri="{C3380CC4-5D6E-409C-BE32-E72D297353CC}">
              <c16:uniqueId val="{00000000-6D21-4803-891C-115D8F3306B2}"/>
            </c:ext>
          </c:extLst>
        </c:ser>
        <c:dLbls>
          <c:showLegendKey val="0"/>
          <c:showVal val="0"/>
          <c:showCatName val="0"/>
          <c:showSerName val="0"/>
          <c:showPercent val="0"/>
          <c:showBubbleSize val="0"/>
        </c:dLbls>
        <c:marker val="1"/>
        <c:smooth val="0"/>
        <c:axId val="-1438262800"/>
        <c:axId val="-1438437728"/>
      </c:lineChart>
      <c:lineChart>
        <c:grouping val="standard"/>
        <c:varyColors val="0"/>
        <c:ser>
          <c:idx val="1"/>
          <c:order val="1"/>
          <c:tx>
            <c:strRef>
              <c:f>Sheet1!$E$1</c:f>
              <c:strCache>
                <c:ptCount val="1"/>
                <c:pt idx="0">
                  <c:v>out-of-sample accuracy</c:v>
                </c:pt>
              </c:strCache>
            </c:strRef>
          </c:tx>
          <c:spPr>
            <a:ln w="28575" cap="rnd">
              <a:solidFill>
                <a:schemeClr val="bg2">
                  <a:lumMod val="75000"/>
                </a:schemeClr>
              </a:solidFill>
              <a:round/>
            </a:ln>
            <a:effectLst/>
          </c:spPr>
          <c:marker>
            <c:symbol val="none"/>
          </c:marker>
          <c:dPt>
            <c:idx val="37"/>
            <c:marker>
              <c:symbol val="circle"/>
              <c:size val="5"/>
              <c:spPr>
                <a:solidFill>
                  <a:schemeClr val="accent2"/>
                </a:solidFill>
                <a:ln w="9525">
                  <a:solidFill>
                    <a:schemeClr val="bg2">
                      <a:lumMod val="75000"/>
                    </a:schemeClr>
                  </a:solidFill>
                </a:ln>
                <a:effectLst/>
              </c:spPr>
            </c:marker>
            <c:bubble3D val="0"/>
            <c:extLst>
              <c:ext xmlns:c16="http://schemas.microsoft.com/office/drawing/2014/chart" uri="{C3380CC4-5D6E-409C-BE32-E72D297353CC}">
                <c16:uniqueId val="{00000001-6D21-4803-891C-115D8F3306B2}"/>
              </c:ext>
            </c:extLst>
          </c:dPt>
          <c:dPt>
            <c:idx val="47"/>
            <c:marker>
              <c:symbol val="circle"/>
              <c:size val="5"/>
              <c:spPr>
                <a:solidFill>
                  <a:schemeClr val="accent2"/>
                </a:solidFill>
                <a:ln w="9525">
                  <a:solidFill>
                    <a:schemeClr val="bg2">
                      <a:lumMod val="75000"/>
                    </a:schemeClr>
                  </a:solidFill>
                </a:ln>
                <a:effectLst/>
              </c:spPr>
            </c:marker>
            <c:bubble3D val="0"/>
            <c:extLst>
              <c:ext xmlns:c16="http://schemas.microsoft.com/office/drawing/2014/chart" uri="{C3380CC4-5D6E-409C-BE32-E72D297353CC}">
                <c16:uniqueId val="{00000002-6D21-4803-891C-115D8F3306B2}"/>
              </c:ext>
            </c:extLst>
          </c:dPt>
          <c:dLbls>
            <c:dLbl>
              <c:idx val="37"/>
              <c:layout>
                <c:manualLayout>
                  <c:x val="-0.12359235143684"/>
                  <c:y val="-5.3475669185889703E-2"/>
                </c:manualLayout>
              </c:layout>
              <c:spPr>
                <a:noFill/>
                <a:ln>
                  <a:solidFill>
                    <a:schemeClr val="bg1">
                      <a:lumMod val="65000"/>
                    </a:schemeClr>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3215727841712106E-2"/>
                      <c:h val="5.35107685864884E-2"/>
                    </c:manualLayout>
                  </c15:layout>
                </c:ext>
                <c:ext xmlns:c16="http://schemas.microsoft.com/office/drawing/2014/chart" uri="{C3380CC4-5D6E-409C-BE32-E72D297353CC}">
                  <c16:uniqueId val="{00000001-6D21-4803-891C-115D8F3306B2}"/>
                </c:ext>
              </c:extLst>
            </c:dLbl>
            <c:dLbl>
              <c:idx val="47"/>
              <c:layout>
                <c:manualLayout>
                  <c:x val="-8.6828353186620896E-2"/>
                  <c:y val="0.15156132076182299"/>
                </c:manualLayout>
              </c:layout>
              <c:spPr>
                <a:noFill/>
                <a:ln>
                  <a:solidFill>
                    <a:schemeClr val="bg1">
                      <a:lumMod val="6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21-4803-891C-115D8F3306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Sheet1!$C$2:$C$50</c:f>
              <c:strCache>
                <c:ptCount val="48"/>
                <c:pt idx="0">
                  <c:v>1958-1967</c:v>
                </c:pt>
                <c:pt idx="1">
                  <c:v>1959-1968</c:v>
                </c:pt>
                <c:pt idx="2">
                  <c:v>1960-1969</c:v>
                </c:pt>
                <c:pt idx="3">
                  <c:v>1961-1970</c:v>
                </c:pt>
                <c:pt idx="4">
                  <c:v>1962-1971</c:v>
                </c:pt>
                <c:pt idx="5">
                  <c:v>1963-1972</c:v>
                </c:pt>
                <c:pt idx="6">
                  <c:v>1964-1973</c:v>
                </c:pt>
                <c:pt idx="7">
                  <c:v>1965-1974</c:v>
                </c:pt>
                <c:pt idx="8">
                  <c:v>1966-1975</c:v>
                </c:pt>
                <c:pt idx="9">
                  <c:v>1967-1976</c:v>
                </c:pt>
                <c:pt idx="10">
                  <c:v>1968-1977</c:v>
                </c:pt>
                <c:pt idx="11">
                  <c:v>1969-1978</c:v>
                </c:pt>
                <c:pt idx="12">
                  <c:v>1970-1979</c:v>
                </c:pt>
                <c:pt idx="13">
                  <c:v>1971-1980</c:v>
                </c:pt>
                <c:pt idx="14">
                  <c:v>1972-1981</c:v>
                </c:pt>
                <c:pt idx="15">
                  <c:v>1973-1982</c:v>
                </c:pt>
                <c:pt idx="16">
                  <c:v>1974-1983</c:v>
                </c:pt>
                <c:pt idx="17">
                  <c:v>1975-1984</c:v>
                </c:pt>
                <c:pt idx="18">
                  <c:v>1976-1985</c:v>
                </c:pt>
                <c:pt idx="19">
                  <c:v>1977-1986</c:v>
                </c:pt>
                <c:pt idx="20">
                  <c:v>1978-1987</c:v>
                </c:pt>
                <c:pt idx="21">
                  <c:v>1979-1988</c:v>
                </c:pt>
                <c:pt idx="22">
                  <c:v>1980-1989</c:v>
                </c:pt>
                <c:pt idx="23">
                  <c:v>1981-1990</c:v>
                </c:pt>
                <c:pt idx="24">
                  <c:v>1982-1991</c:v>
                </c:pt>
                <c:pt idx="25">
                  <c:v>1983-1992</c:v>
                </c:pt>
                <c:pt idx="26">
                  <c:v>1984-1993</c:v>
                </c:pt>
                <c:pt idx="27">
                  <c:v>1985-1994</c:v>
                </c:pt>
                <c:pt idx="28">
                  <c:v>1986-1995</c:v>
                </c:pt>
                <c:pt idx="29">
                  <c:v>1987-1996</c:v>
                </c:pt>
                <c:pt idx="30">
                  <c:v>1988-1997</c:v>
                </c:pt>
                <c:pt idx="31">
                  <c:v>1989-1998</c:v>
                </c:pt>
                <c:pt idx="32">
                  <c:v>1990-1999</c:v>
                </c:pt>
                <c:pt idx="33">
                  <c:v>1991-2000</c:v>
                </c:pt>
                <c:pt idx="34">
                  <c:v>1992-2001</c:v>
                </c:pt>
                <c:pt idx="35">
                  <c:v>1993-2002</c:v>
                </c:pt>
                <c:pt idx="36">
                  <c:v>1994-2003</c:v>
                </c:pt>
                <c:pt idx="37">
                  <c:v>1995-2004</c:v>
                </c:pt>
                <c:pt idx="38">
                  <c:v>1996-2005</c:v>
                </c:pt>
                <c:pt idx="39">
                  <c:v>1997-2006</c:v>
                </c:pt>
                <c:pt idx="40">
                  <c:v>1998-2007</c:v>
                </c:pt>
                <c:pt idx="41">
                  <c:v>1999-2008</c:v>
                </c:pt>
                <c:pt idx="42">
                  <c:v>2000-2009</c:v>
                </c:pt>
                <c:pt idx="43">
                  <c:v>2001-2010</c:v>
                </c:pt>
                <c:pt idx="44">
                  <c:v>2002-2011</c:v>
                </c:pt>
                <c:pt idx="45">
                  <c:v>2003-2012</c:v>
                </c:pt>
                <c:pt idx="46">
                  <c:v>2004-2013</c:v>
                </c:pt>
                <c:pt idx="47">
                  <c:v>2005-2014</c:v>
                </c:pt>
              </c:strCache>
              <c:extLst/>
            </c:strRef>
          </c:cat>
          <c:val>
            <c:numRef>
              <c:f>Sheet1!$E$2:$E$50</c:f>
              <c:numCache>
                <c:formatCode>General</c:formatCode>
                <c:ptCount val="48"/>
                <c:pt idx="7" formatCode="0.00%">
                  <c:v>0.60606060606060597</c:v>
                </c:pt>
                <c:pt idx="8" formatCode="0.00%">
                  <c:v>0.63636363636363602</c:v>
                </c:pt>
                <c:pt idx="9" formatCode="0.00%">
                  <c:v>0.66666666666666696</c:v>
                </c:pt>
                <c:pt idx="10" formatCode="0.00%">
                  <c:v>0.6</c:v>
                </c:pt>
                <c:pt idx="11" formatCode="0.00%">
                  <c:v>0.63333333333333297</c:v>
                </c:pt>
                <c:pt idx="12" formatCode="0.00%">
                  <c:v>0.64285714285714302</c:v>
                </c:pt>
                <c:pt idx="13" formatCode="0.00%">
                  <c:v>0.67857142857142905</c:v>
                </c:pt>
                <c:pt idx="14" formatCode="0.00%">
                  <c:v>0.76</c:v>
                </c:pt>
                <c:pt idx="15" formatCode="0.00%">
                  <c:v>0.72727272727272696</c:v>
                </c:pt>
                <c:pt idx="16" formatCode="0.00%">
                  <c:v>0.75</c:v>
                </c:pt>
                <c:pt idx="17" formatCode="0.00%">
                  <c:v>0.73913043478260798</c:v>
                </c:pt>
                <c:pt idx="18" formatCode="0.00%">
                  <c:v>0.71428571428571397</c:v>
                </c:pt>
                <c:pt idx="19" formatCode="0.00%">
                  <c:v>0.66666666666666696</c:v>
                </c:pt>
                <c:pt idx="20" formatCode="0.00%">
                  <c:v>0.7</c:v>
                </c:pt>
                <c:pt idx="21" formatCode="0.00%">
                  <c:v>0.65</c:v>
                </c:pt>
                <c:pt idx="22" formatCode="0.00%">
                  <c:v>0.61904761904761896</c:v>
                </c:pt>
                <c:pt idx="23" formatCode="0.00%">
                  <c:v>0.61111111111111105</c:v>
                </c:pt>
                <c:pt idx="24" formatCode="0.00%">
                  <c:v>0.58333333333333304</c:v>
                </c:pt>
                <c:pt idx="25" formatCode="0.00%">
                  <c:v>0.57692307692307698</c:v>
                </c:pt>
                <c:pt idx="26" formatCode="0.00%">
                  <c:v>0.5</c:v>
                </c:pt>
                <c:pt idx="27" formatCode="0.00%">
                  <c:v>0.45833333333333298</c:v>
                </c:pt>
                <c:pt idx="28" formatCode="0.00%">
                  <c:v>0.5</c:v>
                </c:pt>
                <c:pt idx="29" formatCode="0.00%">
                  <c:v>0.58620689655172398</c:v>
                </c:pt>
                <c:pt idx="30" formatCode="0.00%">
                  <c:v>0.62068965517241403</c:v>
                </c:pt>
                <c:pt idx="31" formatCode="0.00%">
                  <c:v>0.65517241379310398</c:v>
                </c:pt>
                <c:pt idx="32" formatCode="0.00%">
                  <c:v>0.68965517241379304</c:v>
                </c:pt>
                <c:pt idx="33" formatCode="0.00%">
                  <c:v>0.72413793103448298</c:v>
                </c:pt>
                <c:pt idx="34" formatCode="0.00%">
                  <c:v>0.77272727272727304</c:v>
                </c:pt>
                <c:pt idx="35" formatCode="0.00%">
                  <c:v>0.8</c:v>
                </c:pt>
                <c:pt idx="36" formatCode="0.00%">
                  <c:v>0.80952380952380998</c:v>
                </c:pt>
                <c:pt idx="37" formatCode="0.00%">
                  <c:v>0.85714285714285698</c:v>
                </c:pt>
                <c:pt idx="38" formatCode="0.00%">
                  <c:v>0.89473684210526305</c:v>
                </c:pt>
                <c:pt idx="39" formatCode="0.00%">
                  <c:v>0.82352941176470595</c:v>
                </c:pt>
                <c:pt idx="40" formatCode="0.00%">
                  <c:v>0.77777777777777801</c:v>
                </c:pt>
                <c:pt idx="41" formatCode="0.00%">
                  <c:v>0.75</c:v>
                </c:pt>
                <c:pt idx="42" formatCode="0.00%">
                  <c:v>0.58823529411764697</c:v>
                </c:pt>
                <c:pt idx="43" formatCode="0.00%">
                  <c:v>0.5625</c:v>
                </c:pt>
                <c:pt idx="44" formatCode="0.00%">
                  <c:v>0.47368421052631599</c:v>
                </c:pt>
                <c:pt idx="45" formatCode="0.00%">
                  <c:v>0.4</c:v>
                </c:pt>
                <c:pt idx="46" formatCode="0.00%">
                  <c:v>0.36842105263157898</c:v>
                </c:pt>
                <c:pt idx="47" formatCode="0.00%">
                  <c:v>0.35294117647058798</c:v>
                </c:pt>
              </c:numCache>
              <c:extLst/>
            </c:numRef>
          </c:val>
          <c:smooth val="0"/>
          <c:extLst>
            <c:ext xmlns:c16="http://schemas.microsoft.com/office/drawing/2014/chart" uri="{C3380CC4-5D6E-409C-BE32-E72D297353CC}">
              <c16:uniqueId val="{00000003-6D21-4803-891C-115D8F3306B2}"/>
            </c:ext>
          </c:extLst>
        </c:ser>
        <c:dLbls>
          <c:showLegendKey val="0"/>
          <c:showVal val="0"/>
          <c:showCatName val="0"/>
          <c:showSerName val="0"/>
          <c:showPercent val="0"/>
          <c:showBubbleSize val="0"/>
        </c:dLbls>
        <c:marker val="1"/>
        <c:smooth val="0"/>
        <c:axId val="-1474320512"/>
        <c:axId val="-1438434336"/>
        <c:extLst>
          <c:ext xmlns:c15="http://schemas.microsoft.com/office/drawing/2012/chart" uri="{02D57815-91ED-43cb-92C2-25804820EDAC}">
            <c15:filteredLineSeries>
              <c15:ser>
                <c:idx val="2"/>
                <c:order val="2"/>
                <c:tx>
                  <c:strRef>
                    <c:extLst>
                      <c:ext uri="{02D57815-91ED-43cb-92C2-25804820EDAC}">
                        <c15:formulaRef>
                          <c15:sqref>Sheet1!$F$1</c15:sqref>
                        </c15:formulaRef>
                      </c:ext>
                    </c:extLst>
                    <c:strCache>
                      <c:ptCount val="1"/>
                    </c:strCache>
                  </c:strRef>
                </c:tx>
                <c:spPr>
                  <a:ln w="28575" cap="rnd">
                    <a:solidFill>
                      <a:schemeClr val="accent3"/>
                    </a:solidFill>
                    <a:round/>
                  </a:ln>
                  <a:effectLst/>
                </c:spPr>
                <c:marker>
                  <c:symbol val="none"/>
                </c:marker>
                <c:cat>
                  <c:strRef>
                    <c:extLst>
                      <c:ext uri="{02D57815-91ED-43cb-92C2-25804820EDAC}">
                        <c15:formulaRef>
                          <c15:sqref>Sheet1!$C$2:$C$50</c15:sqref>
                        </c15:formulaRef>
                      </c:ext>
                    </c:extLst>
                    <c:strCache>
                      <c:ptCount val="48"/>
                      <c:pt idx="0">
                        <c:v>1958-1967</c:v>
                      </c:pt>
                      <c:pt idx="1">
                        <c:v>1959-1968</c:v>
                      </c:pt>
                      <c:pt idx="2">
                        <c:v>1960-1969</c:v>
                      </c:pt>
                      <c:pt idx="3">
                        <c:v>1961-1970</c:v>
                      </c:pt>
                      <c:pt idx="4">
                        <c:v>1962-1971</c:v>
                      </c:pt>
                      <c:pt idx="5">
                        <c:v>1963-1972</c:v>
                      </c:pt>
                      <c:pt idx="6">
                        <c:v>1964-1973</c:v>
                      </c:pt>
                      <c:pt idx="7">
                        <c:v>1965-1974</c:v>
                      </c:pt>
                      <c:pt idx="8">
                        <c:v>1966-1975</c:v>
                      </c:pt>
                      <c:pt idx="9">
                        <c:v>1967-1976</c:v>
                      </c:pt>
                      <c:pt idx="10">
                        <c:v>1968-1977</c:v>
                      </c:pt>
                      <c:pt idx="11">
                        <c:v>1969-1978</c:v>
                      </c:pt>
                      <c:pt idx="12">
                        <c:v>1970-1979</c:v>
                      </c:pt>
                      <c:pt idx="13">
                        <c:v>1971-1980</c:v>
                      </c:pt>
                      <c:pt idx="14">
                        <c:v>1972-1981</c:v>
                      </c:pt>
                      <c:pt idx="15">
                        <c:v>1973-1982</c:v>
                      </c:pt>
                      <c:pt idx="16">
                        <c:v>1974-1983</c:v>
                      </c:pt>
                      <c:pt idx="17">
                        <c:v>1975-1984</c:v>
                      </c:pt>
                      <c:pt idx="18">
                        <c:v>1976-1985</c:v>
                      </c:pt>
                      <c:pt idx="19">
                        <c:v>1977-1986</c:v>
                      </c:pt>
                      <c:pt idx="20">
                        <c:v>1978-1987</c:v>
                      </c:pt>
                      <c:pt idx="21">
                        <c:v>1979-1988</c:v>
                      </c:pt>
                      <c:pt idx="22">
                        <c:v>1980-1989</c:v>
                      </c:pt>
                      <c:pt idx="23">
                        <c:v>1981-1990</c:v>
                      </c:pt>
                      <c:pt idx="24">
                        <c:v>1982-1991</c:v>
                      </c:pt>
                      <c:pt idx="25">
                        <c:v>1983-1992</c:v>
                      </c:pt>
                      <c:pt idx="26">
                        <c:v>1984-1993</c:v>
                      </c:pt>
                      <c:pt idx="27">
                        <c:v>1985-1994</c:v>
                      </c:pt>
                      <c:pt idx="28">
                        <c:v>1986-1995</c:v>
                      </c:pt>
                      <c:pt idx="29">
                        <c:v>1987-1996</c:v>
                      </c:pt>
                      <c:pt idx="30">
                        <c:v>1988-1997</c:v>
                      </c:pt>
                      <c:pt idx="31">
                        <c:v>1989-1998</c:v>
                      </c:pt>
                      <c:pt idx="32">
                        <c:v>1990-1999</c:v>
                      </c:pt>
                      <c:pt idx="33">
                        <c:v>1991-2000</c:v>
                      </c:pt>
                      <c:pt idx="34">
                        <c:v>1992-2001</c:v>
                      </c:pt>
                      <c:pt idx="35">
                        <c:v>1993-2002</c:v>
                      </c:pt>
                      <c:pt idx="36">
                        <c:v>1994-2003</c:v>
                      </c:pt>
                      <c:pt idx="37">
                        <c:v>1995-2004</c:v>
                      </c:pt>
                      <c:pt idx="38">
                        <c:v>1996-2005</c:v>
                      </c:pt>
                      <c:pt idx="39">
                        <c:v>1997-2006</c:v>
                      </c:pt>
                      <c:pt idx="40">
                        <c:v>1998-2007</c:v>
                      </c:pt>
                      <c:pt idx="41">
                        <c:v>1999-2008</c:v>
                      </c:pt>
                      <c:pt idx="42">
                        <c:v>2000-2009</c:v>
                      </c:pt>
                      <c:pt idx="43">
                        <c:v>2001-2010</c:v>
                      </c:pt>
                      <c:pt idx="44">
                        <c:v>2002-2011</c:v>
                      </c:pt>
                      <c:pt idx="45">
                        <c:v>2003-2012</c:v>
                      </c:pt>
                      <c:pt idx="46">
                        <c:v>2004-2013</c:v>
                      </c:pt>
                      <c:pt idx="47">
                        <c:v>2005-2014</c:v>
                      </c:pt>
                    </c:strCache>
                  </c:strRef>
                </c:cat>
                <c:val>
                  <c:numRef>
                    <c:extLst>
                      <c:ext uri="{02D57815-91ED-43cb-92C2-25804820EDAC}">
                        <c15:formulaRef>
                          <c15:sqref>Sheet1!$F$2:$F$50</c15:sqref>
                        </c15:formulaRef>
                      </c:ext>
                    </c:extLst>
                    <c:numCache>
                      <c:formatCode>General</c:formatCode>
                      <c:ptCount val="48"/>
                      <c:pt idx="7" formatCode="0.00%">
                        <c:v>0.60606060606060597</c:v>
                      </c:pt>
                      <c:pt idx="8" formatCode="0.00%">
                        <c:v>0.63636363636363602</c:v>
                      </c:pt>
                      <c:pt idx="9" formatCode="0.00%">
                        <c:v>0.66666666666666696</c:v>
                      </c:pt>
                      <c:pt idx="10" formatCode="0.00%">
                        <c:v>0.6</c:v>
                      </c:pt>
                      <c:pt idx="11" formatCode="0.00%">
                        <c:v>0.63333333333333297</c:v>
                      </c:pt>
                      <c:pt idx="12" formatCode="0.00%">
                        <c:v>0.64285714285714302</c:v>
                      </c:pt>
                      <c:pt idx="13" formatCode="0.00%">
                        <c:v>0.67857142857142905</c:v>
                      </c:pt>
                      <c:pt idx="14" formatCode="0.00%">
                        <c:v>0.76</c:v>
                      </c:pt>
                      <c:pt idx="15" formatCode="0.00%">
                        <c:v>0.72727272727272696</c:v>
                      </c:pt>
                      <c:pt idx="16" formatCode="0.00%">
                        <c:v>0.75</c:v>
                      </c:pt>
                      <c:pt idx="17" formatCode="0.00%">
                        <c:v>0.73913043478260798</c:v>
                      </c:pt>
                      <c:pt idx="18" formatCode="0.00%">
                        <c:v>0.71428571428571397</c:v>
                      </c:pt>
                      <c:pt idx="19" formatCode="0.00%">
                        <c:v>0.66666666666666696</c:v>
                      </c:pt>
                      <c:pt idx="20" formatCode="0.00%">
                        <c:v>0.7</c:v>
                      </c:pt>
                      <c:pt idx="21" formatCode="0.00%">
                        <c:v>0.65</c:v>
                      </c:pt>
                      <c:pt idx="22" formatCode="0.00%">
                        <c:v>0.61904761904761896</c:v>
                      </c:pt>
                      <c:pt idx="23" formatCode="0.00%">
                        <c:v>0.61111111111111105</c:v>
                      </c:pt>
                      <c:pt idx="24" formatCode="0.00%">
                        <c:v>0.58333333333333304</c:v>
                      </c:pt>
                      <c:pt idx="25" formatCode="0.00%">
                        <c:v>0.57692307692307698</c:v>
                      </c:pt>
                      <c:pt idx="26" formatCode="0.00%">
                        <c:v>0.5</c:v>
                      </c:pt>
                      <c:pt idx="27" formatCode="0.00%">
                        <c:v>0.45833333333333298</c:v>
                      </c:pt>
                      <c:pt idx="28" formatCode="0.00%">
                        <c:v>0.5</c:v>
                      </c:pt>
                      <c:pt idx="29" formatCode="0.00%">
                        <c:v>0.58620689655172398</c:v>
                      </c:pt>
                      <c:pt idx="30" formatCode="0.00%">
                        <c:v>0.62068965517241403</c:v>
                      </c:pt>
                      <c:pt idx="31" formatCode="0.00%">
                        <c:v>0.65517241379310398</c:v>
                      </c:pt>
                      <c:pt idx="32" formatCode="0.00%">
                        <c:v>0.68965517241379304</c:v>
                      </c:pt>
                      <c:pt idx="33" formatCode="0.00%">
                        <c:v>0.72413793103448298</c:v>
                      </c:pt>
                      <c:pt idx="34" formatCode="0.00%">
                        <c:v>0.77272727272727304</c:v>
                      </c:pt>
                      <c:pt idx="35" formatCode="0.00%">
                        <c:v>0.8</c:v>
                      </c:pt>
                      <c:pt idx="36" formatCode="0.00%">
                        <c:v>0.80952380952380998</c:v>
                      </c:pt>
                      <c:pt idx="37" formatCode="0.00%">
                        <c:v>0.85714285714285698</c:v>
                      </c:pt>
                      <c:pt idx="38" formatCode="0.00%">
                        <c:v>0.89473684210526305</c:v>
                      </c:pt>
                      <c:pt idx="39" formatCode="0.00%">
                        <c:v>0.82352941176470595</c:v>
                      </c:pt>
                      <c:pt idx="40" formatCode="0.00%">
                        <c:v>0.72222222222222199</c:v>
                      </c:pt>
                      <c:pt idx="41" formatCode="0.00%">
                        <c:v>0.6875</c:v>
                      </c:pt>
                      <c:pt idx="42" formatCode="0.00%">
                        <c:v>0.52941176470588203</c:v>
                      </c:pt>
                      <c:pt idx="43" formatCode="0.00%">
                        <c:v>0.5</c:v>
                      </c:pt>
                      <c:pt idx="44" formatCode="0.00%">
                        <c:v>0.42105263157894701</c:v>
                      </c:pt>
                      <c:pt idx="45" formatCode="0.00%">
                        <c:v>0.35</c:v>
                      </c:pt>
                      <c:pt idx="46" formatCode="0.00%">
                        <c:v>0.31578947368421101</c:v>
                      </c:pt>
                      <c:pt idx="47" formatCode="0.00%">
                        <c:v>0.29411764705882398</c:v>
                      </c:pt>
                    </c:numCache>
                  </c:numRef>
                </c:val>
                <c:smooth val="0"/>
                <c:extLst>
                  <c:ext xmlns:c16="http://schemas.microsoft.com/office/drawing/2014/chart" uri="{C3380CC4-5D6E-409C-BE32-E72D297353CC}">
                    <c16:uniqueId val="{00000004-6D21-4803-891C-115D8F3306B2}"/>
                  </c:ext>
                </c:extLst>
              </c15:ser>
            </c15:filteredLineSeries>
          </c:ext>
        </c:extLst>
      </c:lineChart>
      <c:catAx>
        <c:axId val="-1438262800"/>
        <c:scaling>
          <c:orientation val="minMax"/>
        </c:scaling>
        <c:delete val="0"/>
        <c:axPos val="b"/>
        <c:numFmt formatCode="General" sourceLinked="1"/>
        <c:majorTickMark val="none"/>
        <c:minorTickMark val="out"/>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437728"/>
        <c:crosses val="autoZero"/>
        <c:auto val="1"/>
        <c:lblAlgn val="ctr"/>
        <c:lblOffset val="100"/>
        <c:noMultiLvlLbl val="0"/>
      </c:catAx>
      <c:valAx>
        <c:axId val="-1438437728"/>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AUROC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262800"/>
        <c:crosses val="autoZero"/>
        <c:crossBetween val="between"/>
        <c:majorUnit val="0.1"/>
      </c:valAx>
      <c:valAx>
        <c:axId val="-14384343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out-of-sample</a:t>
                </a:r>
                <a:r>
                  <a:rPr lang="en-US" baseline="0"/>
                  <a:t> accuracy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320512"/>
        <c:crosses val="max"/>
        <c:crossBetween val="between"/>
        <c:majorUnit val="0.2"/>
      </c:valAx>
      <c:catAx>
        <c:axId val="-1474320512"/>
        <c:scaling>
          <c:orientation val="minMax"/>
        </c:scaling>
        <c:delete val="1"/>
        <c:axPos val="b"/>
        <c:numFmt formatCode="General" sourceLinked="1"/>
        <c:majorTickMark val="out"/>
        <c:minorTickMark val="none"/>
        <c:tickLblPos val="nextTo"/>
        <c:crossAx val="-1438434336"/>
        <c:crosses val="autoZero"/>
        <c:auto val="1"/>
        <c:lblAlgn val="ctr"/>
        <c:lblOffset val="100"/>
        <c:noMultiLvlLbl val="0"/>
      </c:catAx>
      <c:spPr>
        <a:noFill/>
        <a:ln>
          <a:noFill/>
        </a:ln>
        <a:effectLst/>
      </c:spPr>
    </c:plotArea>
    <c:legend>
      <c:legendPos val="b"/>
      <c:layout>
        <c:manualLayout>
          <c:xMode val="edge"/>
          <c:yMode val="edge"/>
          <c:x val="0.25946076451981998"/>
          <c:y val="0.91629952894495403"/>
          <c:w val="0.48748855912241701"/>
          <c:h val="6.45690381107183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Moyer</dc:creator>
  <cp:keywords/>
  <dc:description/>
  <cp:lastModifiedBy>Jonathan Moyer</cp:lastModifiedBy>
  <cp:revision>1</cp:revision>
  <dcterms:created xsi:type="dcterms:W3CDTF">2018-09-13T21:57:00Z</dcterms:created>
  <dcterms:modified xsi:type="dcterms:W3CDTF">2018-09-13T21:58:00Z</dcterms:modified>
</cp:coreProperties>
</file>