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6A771" w14:textId="785F1905" w:rsidR="00392337" w:rsidRPr="00A42501" w:rsidRDefault="00760B7D" w:rsidP="00392337">
      <w:pPr>
        <w:spacing w:line="240" w:lineRule="auto"/>
        <w:rPr>
          <w:rFonts w:ascii="Garamond" w:hAnsi="Garamond"/>
          <w:b/>
          <w:sz w:val="28"/>
          <w:szCs w:val="28"/>
        </w:rPr>
      </w:pPr>
      <w:bookmarkStart w:id="0" w:name="_GoBack"/>
      <w:bookmarkEnd w:id="0"/>
      <w:r>
        <w:rPr>
          <w:rFonts w:ascii="Garamond" w:hAnsi="Garamond"/>
          <w:b/>
          <w:sz w:val="28"/>
          <w:szCs w:val="28"/>
        </w:rPr>
        <w:t xml:space="preserve">ONLINE </w:t>
      </w:r>
      <w:r w:rsidR="008D3578">
        <w:rPr>
          <w:rFonts w:ascii="Garamond" w:hAnsi="Garamond"/>
          <w:b/>
          <w:sz w:val="28"/>
          <w:szCs w:val="28"/>
        </w:rPr>
        <w:t>A</w:t>
      </w:r>
      <w:r w:rsidR="00392337" w:rsidRPr="00A42501">
        <w:rPr>
          <w:rFonts w:ascii="Garamond" w:hAnsi="Garamond"/>
          <w:b/>
          <w:sz w:val="28"/>
          <w:szCs w:val="28"/>
        </w:rPr>
        <w:t>PPENDIX</w:t>
      </w:r>
    </w:p>
    <w:p w14:paraId="564C0E04" w14:textId="77777777" w:rsidR="00632C67" w:rsidRDefault="00632C67" w:rsidP="00392337">
      <w:pPr>
        <w:pStyle w:val="NoSpacing"/>
        <w:ind w:firstLine="0"/>
        <w:rPr>
          <w:b/>
        </w:rPr>
      </w:pPr>
    </w:p>
    <w:p w14:paraId="3C0275D7" w14:textId="0AE3AE0D" w:rsidR="00392337" w:rsidRPr="00A42501" w:rsidRDefault="00632C67" w:rsidP="00392337">
      <w:pPr>
        <w:pStyle w:val="NoSpacing"/>
        <w:ind w:firstLine="0"/>
        <w:rPr>
          <w:i/>
          <w:sz w:val="28"/>
          <w:szCs w:val="28"/>
        </w:rPr>
      </w:pPr>
      <w:r w:rsidRPr="00A42501">
        <w:rPr>
          <w:i/>
          <w:sz w:val="28"/>
          <w:szCs w:val="28"/>
        </w:rPr>
        <w:t>T</w:t>
      </w:r>
      <w:r w:rsidR="00392337" w:rsidRPr="00A42501">
        <w:rPr>
          <w:i/>
          <w:sz w:val="28"/>
          <w:szCs w:val="28"/>
        </w:rPr>
        <w:t>he CAPAM Database</w:t>
      </w:r>
    </w:p>
    <w:p w14:paraId="6193A00C" w14:textId="0260E31E" w:rsidR="00392337" w:rsidRDefault="00392337" w:rsidP="00392337">
      <w:pPr>
        <w:pStyle w:val="NoSpacing"/>
        <w:ind w:firstLine="0"/>
      </w:pPr>
      <w:r w:rsidRPr="00B74197">
        <w:t xml:space="preserve">The Criminal </w:t>
      </w:r>
      <w:r>
        <w:t>Attacks</w:t>
      </w:r>
      <w:r w:rsidRPr="00B74197">
        <w:t xml:space="preserve"> against Political Actors in Mexico (CAPAM)</w:t>
      </w:r>
      <w:r w:rsidR="00632C67">
        <w:t xml:space="preserve"> Database</w:t>
      </w:r>
      <w:r w:rsidRPr="00B74197">
        <w:t xml:space="preserve"> is an original newspaper-based databank </w:t>
      </w:r>
      <w:r w:rsidR="00D31EA4">
        <w:t xml:space="preserve">of </w:t>
      </w:r>
      <w:r w:rsidRPr="00B74197">
        <w:t xml:space="preserve">criminal attacks against government authorities, political candidates, and party activists </w:t>
      </w:r>
      <w:r w:rsidR="00D31EA4">
        <w:t xml:space="preserve">perpetrated between </w:t>
      </w:r>
      <w:r w:rsidRPr="00B74197">
        <w:t xml:space="preserve">1995 </w:t>
      </w:r>
      <w:r w:rsidR="00D31EA4">
        <w:t>and</w:t>
      </w:r>
      <w:r w:rsidRPr="00B74197">
        <w:t xml:space="preserve"> 2012</w:t>
      </w:r>
      <w:r w:rsidR="00D31EA4">
        <w:t>, which we created</w:t>
      </w:r>
      <w:r w:rsidRPr="00B74197">
        <w:t>. Information from CAPAM is drawn from</w:t>
      </w:r>
      <w:r w:rsidR="00A54E22">
        <w:t xml:space="preserve"> a systematic analysis of</w:t>
      </w:r>
      <w:r w:rsidRPr="00B74197">
        <w:t xml:space="preserve"> eight national </w:t>
      </w:r>
      <w:r w:rsidR="00A54E22">
        <w:t xml:space="preserve">daily </w:t>
      </w:r>
      <w:r w:rsidRPr="00B74197">
        <w:t xml:space="preserve">newspapers, eighteen subnational </w:t>
      </w:r>
      <w:r w:rsidR="00A54E22">
        <w:t xml:space="preserve">daily </w:t>
      </w:r>
      <w:r w:rsidRPr="00B74197">
        <w:t>newspapers, and two weekly magazines specialized in drug trafficking and organized crime, listed in Table A1.</w:t>
      </w:r>
    </w:p>
    <w:p w14:paraId="776FC452" w14:textId="7BD8CE3E" w:rsidR="00392337" w:rsidRDefault="00392337" w:rsidP="00392337">
      <w:pPr>
        <w:pStyle w:val="NoSpacing"/>
        <w:ind w:firstLine="0"/>
      </w:pPr>
    </w:p>
    <w:p w14:paraId="15CB876F" w14:textId="59F59B10" w:rsidR="00392337" w:rsidRPr="00B04572" w:rsidRDefault="00392337" w:rsidP="00392337">
      <w:pPr>
        <w:pStyle w:val="Sinespaciado1"/>
        <w:rPr>
          <w:rFonts w:ascii="Garamond" w:hAnsi="Garamond"/>
          <w:b/>
          <w:sz w:val="24"/>
          <w:szCs w:val="24"/>
        </w:rPr>
      </w:pPr>
      <w:r w:rsidRPr="003522CE">
        <w:rPr>
          <w:rFonts w:ascii="Garamond" w:hAnsi="Garamond"/>
          <w:b/>
          <w:sz w:val="24"/>
          <w:szCs w:val="24"/>
        </w:rPr>
        <w:t>Table A</w:t>
      </w:r>
      <w:r w:rsidR="00A54E22" w:rsidRPr="003522CE">
        <w:rPr>
          <w:rFonts w:ascii="Garamond" w:hAnsi="Garamond"/>
          <w:b/>
          <w:sz w:val="24"/>
          <w:szCs w:val="24"/>
        </w:rPr>
        <w:t>.</w:t>
      </w:r>
      <w:r w:rsidR="00A54E22" w:rsidRPr="00937FB5">
        <w:rPr>
          <w:rFonts w:ascii="Garamond" w:hAnsi="Garamond"/>
          <w:b/>
          <w:sz w:val="24"/>
          <w:szCs w:val="24"/>
        </w:rPr>
        <w:t>I</w:t>
      </w:r>
      <w:r w:rsidRPr="00B04572">
        <w:rPr>
          <w:rFonts w:ascii="Garamond" w:hAnsi="Garamond"/>
          <w:b/>
          <w:sz w:val="24"/>
          <w:szCs w:val="24"/>
        </w:rPr>
        <w:t>. National and Subnational Newspapers for Data Collection</w:t>
      </w:r>
    </w:p>
    <w:tbl>
      <w:tblPr>
        <w:tblW w:w="6045" w:type="dxa"/>
        <w:tblInd w:w="93" w:type="dxa"/>
        <w:tblLook w:val="00A0" w:firstRow="1" w:lastRow="0" w:firstColumn="1" w:lastColumn="0" w:noHBand="0" w:noVBand="0"/>
      </w:tblPr>
      <w:tblGrid>
        <w:gridCol w:w="1180"/>
        <w:gridCol w:w="1985"/>
        <w:gridCol w:w="2880"/>
      </w:tblGrid>
      <w:tr w:rsidR="00392337" w:rsidRPr="00765683" w14:paraId="205DADD7" w14:textId="77777777" w:rsidTr="001E65F5">
        <w:trPr>
          <w:trHeight w:val="20"/>
        </w:trPr>
        <w:tc>
          <w:tcPr>
            <w:tcW w:w="1180" w:type="dxa"/>
            <w:tcBorders>
              <w:top w:val="single" w:sz="4" w:space="0" w:color="auto"/>
              <w:left w:val="nil"/>
              <w:bottom w:val="single" w:sz="4" w:space="0" w:color="auto"/>
              <w:right w:val="nil"/>
            </w:tcBorders>
            <w:noWrap/>
            <w:vAlign w:val="bottom"/>
          </w:tcPr>
          <w:p w14:paraId="3C177ABA" w14:textId="77777777" w:rsidR="00392337" w:rsidRPr="00A42501" w:rsidRDefault="00392337" w:rsidP="001E65F5">
            <w:pPr>
              <w:spacing w:after="0" w:line="240" w:lineRule="auto"/>
              <w:rPr>
                <w:rFonts w:ascii="Garamond" w:hAnsi="Garamond"/>
                <w:b/>
                <w:bCs/>
                <w:color w:val="000000"/>
              </w:rPr>
            </w:pPr>
            <w:r w:rsidRPr="00A42501">
              <w:rPr>
                <w:rFonts w:ascii="Garamond" w:hAnsi="Garamond"/>
                <w:b/>
                <w:bCs/>
                <w:color w:val="000000"/>
              </w:rPr>
              <w:t>Type</w:t>
            </w:r>
          </w:p>
        </w:tc>
        <w:tc>
          <w:tcPr>
            <w:tcW w:w="1985" w:type="dxa"/>
            <w:tcBorders>
              <w:top w:val="single" w:sz="4" w:space="0" w:color="auto"/>
              <w:left w:val="nil"/>
              <w:bottom w:val="single" w:sz="4" w:space="0" w:color="auto"/>
              <w:right w:val="nil"/>
            </w:tcBorders>
            <w:noWrap/>
            <w:vAlign w:val="bottom"/>
          </w:tcPr>
          <w:p w14:paraId="6BCBFD65" w14:textId="77777777" w:rsidR="00392337" w:rsidRPr="00A42501" w:rsidRDefault="00392337" w:rsidP="001E65F5">
            <w:pPr>
              <w:spacing w:after="0" w:line="240" w:lineRule="auto"/>
              <w:rPr>
                <w:rFonts w:ascii="Garamond" w:hAnsi="Garamond"/>
                <w:b/>
                <w:bCs/>
                <w:color w:val="000000"/>
              </w:rPr>
            </w:pPr>
            <w:r w:rsidRPr="00A42501">
              <w:rPr>
                <w:rFonts w:ascii="Garamond" w:hAnsi="Garamond"/>
                <w:b/>
                <w:bCs/>
                <w:color w:val="000000"/>
              </w:rPr>
              <w:t>State</w:t>
            </w:r>
          </w:p>
        </w:tc>
        <w:tc>
          <w:tcPr>
            <w:tcW w:w="2880" w:type="dxa"/>
            <w:tcBorders>
              <w:top w:val="single" w:sz="4" w:space="0" w:color="auto"/>
              <w:left w:val="nil"/>
              <w:bottom w:val="single" w:sz="4" w:space="0" w:color="auto"/>
              <w:right w:val="nil"/>
            </w:tcBorders>
            <w:noWrap/>
            <w:vAlign w:val="bottom"/>
          </w:tcPr>
          <w:p w14:paraId="0BC50501" w14:textId="77777777" w:rsidR="00392337" w:rsidRPr="00A42501" w:rsidRDefault="00392337" w:rsidP="001E65F5">
            <w:pPr>
              <w:spacing w:after="0" w:line="240" w:lineRule="auto"/>
              <w:rPr>
                <w:rFonts w:ascii="Garamond" w:hAnsi="Garamond"/>
                <w:b/>
                <w:bCs/>
                <w:color w:val="000000"/>
              </w:rPr>
            </w:pPr>
            <w:r w:rsidRPr="00A42501">
              <w:rPr>
                <w:rFonts w:ascii="Garamond" w:hAnsi="Garamond"/>
                <w:b/>
                <w:bCs/>
                <w:color w:val="000000"/>
              </w:rPr>
              <w:t>Source</w:t>
            </w:r>
          </w:p>
        </w:tc>
      </w:tr>
      <w:tr w:rsidR="00392337" w:rsidRPr="00765683" w14:paraId="340AEFFC" w14:textId="77777777" w:rsidTr="001E65F5">
        <w:trPr>
          <w:trHeight w:val="20"/>
        </w:trPr>
        <w:tc>
          <w:tcPr>
            <w:tcW w:w="1180" w:type="dxa"/>
            <w:tcBorders>
              <w:top w:val="nil"/>
              <w:left w:val="nil"/>
              <w:bottom w:val="nil"/>
              <w:right w:val="nil"/>
            </w:tcBorders>
            <w:noWrap/>
            <w:vAlign w:val="bottom"/>
          </w:tcPr>
          <w:p w14:paraId="44E2C69B"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National</w:t>
            </w:r>
          </w:p>
        </w:tc>
        <w:tc>
          <w:tcPr>
            <w:tcW w:w="1985" w:type="dxa"/>
            <w:tcBorders>
              <w:top w:val="nil"/>
              <w:left w:val="nil"/>
              <w:bottom w:val="nil"/>
              <w:right w:val="nil"/>
            </w:tcBorders>
            <w:noWrap/>
            <w:vAlign w:val="bottom"/>
          </w:tcPr>
          <w:p w14:paraId="4AE9F64F" w14:textId="77777777" w:rsidR="00392337" w:rsidRPr="00A42501" w:rsidRDefault="00392337" w:rsidP="001E65F5">
            <w:pPr>
              <w:spacing w:after="0" w:line="240" w:lineRule="auto"/>
              <w:jc w:val="center"/>
              <w:rPr>
                <w:rFonts w:ascii="Garamond" w:hAnsi="Garamond"/>
                <w:color w:val="000000"/>
              </w:rPr>
            </w:pPr>
          </w:p>
        </w:tc>
        <w:tc>
          <w:tcPr>
            <w:tcW w:w="2880" w:type="dxa"/>
            <w:tcBorders>
              <w:top w:val="nil"/>
              <w:left w:val="nil"/>
              <w:bottom w:val="nil"/>
              <w:right w:val="nil"/>
            </w:tcBorders>
            <w:noWrap/>
            <w:vAlign w:val="bottom"/>
          </w:tcPr>
          <w:p w14:paraId="0C9B11EA" w14:textId="77777777" w:rsidR="00392337" w:rsidRPr="00A42501" w:rsidRDefault="00392337" w:rsidP="001E65F5">
            <w:pPr>
              <w:spacing w:after="0" w:line="240" w:lineRule="auto"/>
              <w:rPr>
                <w:rFonts w:ascii="Garamond" w:hAnsi="Garamond"/>
                <w:color w:val="000000"/>
              </w:rPr>
            </w:pPr>
            <w:r w:rsidRPr="00A42501">
              <w:rPr>
                <w:rFonts w:ascii="Garamond" w:hAnsi="Garamond"/>
                <w:i/>
                <w:color w:val="000000"/>
              </w:rPr>
              <w:t>Reforma</w:t>
            </w:r>
            <w:r w:rsidRPr="00A42501">
              <w:rPr>
                <w:rFonts w:ascii="Garamond" w:hAnsi="Garamond"/>
                <w:color w:val="000000"/>
              </w:rPr>
              <w:t>**</w:t>
            </w:r>
          </w:p>
        </w:tc>
      </w:tr>
      <w:tr w:rsidR="00392337" w:rsidRPr="00765683" w14:paraId="0D5B858E" w14:textId="77777777" w:rsidTr="001E65F5">
        <w:trPr>
          <w:trHeight w:val="20"/>
        </w:trPr>
        <w:tc>
          <w:tcPr>
            <w:tcW w:w="1180" w:type="dxa"/>
            <w:tcBorders>
              <w:top w:val="nil"/>
              <w:left w:val="nil"/>
              <w:bottom w:val="nil"/>
              <w:right w:val="nil"/>
            </w:tcBorders>
            <w:noWrap/>
            <w:vAlign w:val="bottom"/>
          </w:tcPr>
          <w:p w14:paraId="22A5764F"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40B86D6C"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7E4A8EF7"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Universal</w:t>
            </w:r>
          </w:p>
        </w:tc>
      </w:tr>
      <w:tr w:rsidR="00392337" w:rsidRPr="00765683" w14:paraId="78D39FA7" w14:textId="77777777" w:rsidTr="001E65F5">
        <w:trPr>
          <w:trHeight w:val="20"/>
        </w:trPr>
        <w:tc>
          <w:tcPr>
            <w:tcW w:w="1180" w:type="dxa"/>
            <w:tcBorders>
              <w:top w:val="nil"/>
              <w:left w:val="nil"/>
              <w:bottom w:val="nil"/>
              <w:right w:val="nil"/>
            </w:tcBorders>
            <w:noWrap/>
            <w:vAlign w:val="bottom"/>
          </w:tcPr>
          <w:p w14:paraId="0B1F5AC0"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4CE93A23"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2A682802"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Jornada</w:t>
            </w:r>
          </w:p>
        </w:tc>
      </w:tr>
      <w:tr w:rsidR="00392337" w:rsidRPr="00765683" w14:paraId="6A412989" w14:textId="77777777" w:rsidTr="001E65F5">
        <w:trPr>
          <w:trHeight w:val="20"/>
        </w:trPr>
        <w:tc>
          <w:tcPr>
            <w:tcW w:w="1180" w:type="dxa"/>
            <w:tcBorders>
              <w:top w:val="nil"/>
              <w:left w:val="nil"/>
              <w:bottom w:val="nil"/>
              <w:right w:val="nil"/>
            </w:tcBorders>
            <w:noWrap/>
            <w:vAlign w:val="bottom"/>
          </w:tcPr>
          <w:p w14:paraId="69A0BC15"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565C598E"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2FE473F4" w14:textId="77777777" w:rsidR="00392337" w:rsidRPr="00A42501" w:rsidRDefault="00392337" w:rsidP="001E65F5">
            <w:pPr>
              <w:spacing w:after="0" w:line="240" w:lineRule="auto"/>
              <w:rPr>
                <w:rFonts w:ascii="Garamond" w:hAnsi="Garamond"/>
                <w:color w:val="000000"/>
              </w:rPr>
            </w:pPr>
            <w:r w:rsidRPr="00A42501">
              <w:rPr>
                <w:rFonts w:ascii="Garamond" w:hAnsi="Garamond"/>
                <w:i/>
                <w:color w:val="000000"/>
              </w:rPr>
              <w:t>Proceso</w:t>
            </w:r>
            <w:r w:rsidRPr="00A42501">
              <w:rPr>
                <w:rFonts w:ascii="Garamond" w:hAnsi="Garamond"/>
                <w:color w:val="000000"/>
              </w:rPr>
              <w:t>*</w:t>
            </w:r>
          </w:p>
        </w:tc>
      </w:tr>
      <w:tr w:rsidR="00392337" w:rsidRPr="00765683" w14:paraId="50BD0400" w14:textId="77777777" w:rsidTr="001E65F5">
        <w:trPr>
          <w:trHeight w:val="20"/>
        </w:trPr>
        <w:tc>
          <w:tcPr>
            <w:tcW w:w="1180" w:type="dxa"/>
            <w:tcBorders>
              <w:top w:val="nil"/>
              <w:left w:val="nil"/>
              <w:bottom w:val="nil"/>
              <w:right w:val="nil"/>
            </w:tcBorders>
            <w:noWrap/>
            <w:vAlign w:val="bottom"/>
          </w:tcPr>
          <w:p w14:paraId="60E35B10"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0D295D0B"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06E31583"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Milenio</w:t>
            </w:r>
          </w:p>
        </w:tc>
      </w:tr>
      <w:tr w:rsidR="00392337" w:rsidRPr="00765683" w14:paraId="45196415" w14:textId="77777777" w:rsidTr="001E65F5">
        <w:trPr>
          <w:trHeight w:val="20"/>
        </w:trPr>
        <w:tc>
          <w:tcPr>
            <w:tcW w:w="1180" w:type="dxa"/>
            <w:tcBorders>
              <w:top w:val="nil"/>
              <w:left w:val="nil"/>
              <w:bottom w:val="nil"/>
              <w:right w:val="nil"/>
            </w:tcBorders>
            <w:noWrap/>
            <w:vAlign w:val="bottom"/>
          </w:tcPr>
          <w:p w14:paraId="7E4F63CA"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46B43CE2"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0B9097BA" w14:textId="2A6BA3CE"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Exc</w:t>
            </w:r>
            <w:r w:rsidR="00760B7D">
              <w:rPr>
                <w:rFonts w:ascii="Garamond" w:hAnsi="Garamond"/>
                <w:i/>
                <w:color w:val="000000"/>
              </w:rPr>
              <w:t>é</w:t>
            </w:r>
            <w:r w:rsidRPr="00A42501">
              <w:rPr>
                <w:rFonts w:ascii="Garamond" w:hAnsi="Garamond"/>
                <w:i/>
                <w:color w:val="000000"/>
              </w:rPr>
              <w:t>lsior</w:t>
            </w:r>
          </w:p>
        </w:tc>
      </w:tr>
      <w:tr w:rsidR="00392337" w:rsidRPr="00765683" w14:paraId="3B4E166B" w14:textId="77777777" w:rsidTr="001E65F5">
        <w:trPr>
          <w:trHeight w:val="20"/>
        </w:trPr>
        <w:tc>
          <w:tcPr>
            <w:tcW w:w="1180" w:type="dxa"/>
            <w:tcBorders>
              <w:top w:val="nil"/>
              <w:left w:val="nil"/>
              <w:bottom w:val="nil"/>
              <w:right w:val="nil"/>
            </w:tcBorders>
            <w:noWrap/>
            <w:vAlign w:val="bottom"/>
          </w:tcPr>
          <w:p w14:paraId="7A21453A"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6969CCD6"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1AE416DF"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Crónica</w:t>
            </w:r>
          </w:p>
        </w:tc>
      </w:tr>
      <w:tr w:rsidR="00392337" w:rsidRPr="007F2C7C" w14:paraId="5332F54E" w14:textId="77777777" w:rsidTr="001E65F5">
        <w:trPr>
          <w:trHeight w:val="20"/>
        </w:trPr>
        <w:tc>
          <w:tcPr>
            <w:tcW w:w="1180" w:type="dxa"/>
            <w:tcBorders>
              <w:top w:val="nil"/>
              <w:left w:val="nil"/>
              <w:bottom w:val="nil"/>
              <w:right w:val="nil"/>
            </w:tcBorders>
            <w:noWrap/>
            <w:vAlign w:val="bottom"/>
          </w:tcPr>
          <w:p w14:paraId="3DBEE38F"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5F2CB2E0"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50D7119E" w14:textId="77777777" w:rsidR="00392337" w:rsidRPr="007F2C7C" w:rsidRDefault="00392337" w:rsidP="001E65F5">
            <w:pPr>
              <w:spacing w:after="0" w:line="240" w:lineRule="auto"/>
              <w:rPr>
                <w:rFonts w:ascii="Garamond" w:hAnsi="Garamond"/>
                <w:i/>
                <w:color w:val="000000"/>
                <w:lang w:val="es-MX"/>
              </w:rPr>
            </w:pPr>
            <w:r w:rsidRPr="007F2C7C">
              <w:rPr>
                <w:rFonts w:ascii="Garamond" w:hAnsi="Garamond"/>
                <w:i/>
                <w:color w:val="000000"/>
                <w:lang w:val="es-MX"/>
              </w:rPr>
              <w:t>El Economista</w:t>
            </w:r>
          </w:p>
          <w:p w14:paraId="65CBB6DC" w14:textId="734FD457" w:rsidR="00392337" w:rsidRPr="007F2C7C" w:rsidRDefault="00392337" w:rsidP="001E65F5">
            <w:pPr>
              <w:spacing w:after="0" w:line="240" w:lineRule="auto"/>
              <w:rPr>
                <w:rFonts w:ascii="Garamond" w:hAnsi="Garamond"/>
                <w:b/>
                <w:i/>
                <w:color w:val="000000"/>
                <w:lang w:val="es-MX"/>
              </w:rPr>
            </w:pPr>
            <w:r w:rsidRPr="007F2C7C">
              <w:rPr>
                <w:rFonts w:ascii="Garamond" w:hAnsi="Garamond"/>
                <w:i/>
                <w:color w:val="000000"/>
                <w:lang w:val="es-MX"/>
              </w:rPr>
              <w:t>El Sol</w:t>
            </w:r>
            <w:r w:rsidR="00760B7D" w:rsidRPr="007F2C7C">
              <w:rPr>
                <w:rFonts w:ascii="Garamond" w:hAnsi="Garamond"/>
                <w:i/>
                <w:color w:val="000000"/>
                <w:lang w:val="es-MX"/>
              </w:rPr>
              <w:t xml:space="preserve"> de México</w:t>
            </w:r>
          </w:p>
        </w:tc>
      </w:tr>
      <w:tr w:rsidR="00392337" w:rsidRPr="00765683" w14:paraId="17BFC335" w14:textId="77777777" w:rsidTr="001E65F5">
        <w:trPr>
          <w:trHeight w:val="20"/>
        </w:trPr>
        <w:tc>
          <w:tcPr>
            <w:tcW w:w="1180" w:type="dxa"/>
            <w:tcBorders>
              <w:top w:val="nil"/>
              <w:left w:val="nil"/>
              <w:bottom w:val="nil"/>
              <w:right w:val="nil"/>
            </w:tcBorders>
            <w:noWrap/>
            <w:vAlign w:val="bottom"/>
          </w:tcPr>
          <w:p w14:paraId="64F993F1"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Local</w:t>
            </w:r>
          </w:p>
        </w:tc>
        <w:tc>
          <w:tcPr>
            <w:tcW w:w="1985" w:type="dxa"/>
            <w:tcBorders>
              <w:top w:val="nil"/>
              <w:left w:val="nil"/>
              <w:bottom w:val="nil"/>
              <w:right w:val="nil"/>
            </w:tcBorders>
            <w:noWrap/>
            <w:vAlign w:val="bottom"/>
          </w:tcPr>
          <w:p w14:paraId="55AD5FE3"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Baja California</w:t>
            </w:r>
          </w:p>
        </w:tc>
        <w:tc>
          <w:tcPr>
            <w:tcW w:w="2880" w:type="dxa"/>
            <w:tcBorders>
              <w:top w:val="nil"/>
              <w:left w:val="nil"/>
              <w:bottom w:val="nil"/>
              <w:right w:val="nil"/>
            </w:tcBorders>
            <w:noWrap/>
            <w:vAlign w:val="bottom"/>
          </w:tcPr>
          <w:p w14:paraId="77447169" w14:textId="77777777" w:rsidR="00392337" w:rsidRPr="00A42501" w:rsidRDefault="00392337" w:rsidP="001E65F5">
            <w:pPr>
              <w:spacing w:after="0" w:line="240" w:lineRule="auto"/>
              <w:rPr>
                <w:rFonts w:ascii="Garamond" w:hAnsi="Garamond"/>
                <w:color w:val="000000"/>
              </w:rPr>
            </w:pPr>
            <w:r w:rsidRPr="00A42501">
              <w:rPr>
                <w:rFonts w:ascii="Garamond" w:hAnsi="Garamond"/>
                <w:i/>
                <w:color w:val="000000"/>
              </w:rPr>
              <w:t>Zeta de Tijuana</w:t>
            </w:r>
            <w:r w:rsidRPr="00A42501">
              <w:rPr>
                <w:rFonts w:ascii="Garamond" w:hAnsi="Garamond"/>
                <w:color w:val="000000"/>
              </w:rPr>
              <w:t>*</w:t>
            </w:r>
          </w:p>
        </w:tc>
      </w:tr>
      <w:tr w:rsidR="00392337" w:rsidRPr="00765683" w14:paraId="4151D34E" w14:textId="77777777" w:rsidTr="001E65F5">
        <w:trPr>
          <w:trHeight w:val="20"/>
        </w:trPr>
        <w:tc>
          <w:tcPr>
            <w:tcW w:w="1180" w:type="dxa"/>
            <w:tcBorders>
              <w:top w:val="nil"/>
              <w:left w:val="nil"/>
              <w:bottom w:val="nil"/>
              <w:right w:val="nil"/>
            </w:tcBorders>
            <w:noWrap/>
            <w:vAlign w:val="bottom"/>
          </w:tcPr>
          <w:p w14:paraId="32B077AF"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36EC4D97"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Campeche</w:t>
            </w:r>
          </w:p>
        </w:tc>
        <w:tc>
          <w:tcPr>
            <w:tcW w:w="2880" w:type="dxa"/>
            <w:tcBorders>
              <w:top w:val="nil"/>
              <w:left w:val="nil"/>
              <w:bottom w:val="nil"/>
              <w:right w:val="nil"/>
            </w:tcBorders>
            <w:noWrap/>
            <w:vAlign w:val="bottom"/>
          </w:tcPr>
          <w:p w14:paraId="22696B9B"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Tribuna de Campeche</w:t>
            </w:r>
          </w:p>
        </w:tc>
      </w:tr>
      <w:tr w:rsidR="00392337" w:rsidRPr="00765683" w14:paraId="73CA8EE5" w14:textId="77777777" w:rsidTr="001E65F5">
        <w:trPr>
          <w:trHeight w:val="20"/>
        </w:trPr>
        <w:tc>
          <w:tcPr>
            <w:tcW w:w="1180" w:type="dxa"/>
            <w:tcBorders>
              <w:top w:val="nil"/>
              <w:left w:val="nil"/>
              <w:bottom w:val="nil"/>
              <w:right w:val="nil"/>
            </w:tcBorders>
            <w:noWrap/>
            <w:vAlign w:val="bottom"/>
          </w:tcPr>
          <w:p w14:paraId="7B242170"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3423B82E"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Coahuila</w:t>
            </w:r>
          </w:p>
        </w:tc>
        <w:tc>
          <w:tcPr>
            <w:tcW w:w="2880" w:type="dxa"/>
            <w:tcBorders>
              <w:top w:val="nil"/>
              <w:left w:val="nil"/>
              <w:bottom w:val="nil"/>
              <w:right w:val="nil"/>
            </w:tcBorders>
            <w:noWrap/>
            <w:vAlign w:val="bottom"/>
          </w:tcPr>
          <w:p w14:paraId="595D852A"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Siglo de Torreón</w:t>
            </w:r>
          </w:p>
        </w:tc>
      </w:tr>
      <w:tr w:rsidR="00392337" w:rsidRPr="00765683" w14:paraId="45FFA923" w14:textId="77777777" w:rsidTr="001E65F5">
        <w:trPr>
          <w:trHeight w:val="20"/>
        </w:trPr>
        <w:tc>
          <w:tcPr>
            <w:tcW w:w="1180" w:type="dxa"/>
            <w:tcBorders>
              <w:top w:val="nil"/>
              <w:left w:val="nil"/>
              <w:bottom w:val="nil"/>
              <w:right w:val="nil"/>
            </w:tcBorders>
            <w:noWrap/>
            <w:vAlign w:val="bottom"/>
          </w:tcPr>
          <w:p w14:paraId="3CD8E3F3"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67ADA563"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0BAEA514"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Zócalo</w:t>
            </w:r>
          </w:p>
        </w:tc>
      </w:tr>
      <w:tr w:rsidR="00392337" w:rsidRPr="00765683" w14:paraId="24E9E155" w14:textId="77777777" w:rsidTr="001E65F5">
        <w:trPr>
          <w:trHeight w:val="20"/>
        </w:trPr>
        <w:tc>
          <w:tcPr>
            <w:tcW w:w="1180" w:type="dxa"/>
            <w:tcBorders>
              <w:top w:val="nil"/>
              <w:left w:val="nil"/>
              <w:bottom w:val="nil"/>
              <w:right w:val="nil"/>
            </w:tcBorders>
            <w:noWrap/>
            <w:vAlign w:val="bottom"/>
          </w:tcPr>
          <w:p w14:paraId="7C087861"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6BFF2B2E"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37286CFC"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Vanguardia</w:t>
            </w:r>
          </w:p>
        </w:tc>
      </w:tr>
      <w:tr w:rsidR="00392337" w:rsidRPr="00765683" w14:paraId="3E2ECAA3" w14:textId="77777777" w:rsidTr="001E65F5">
        <w:trPr>
          <w:trHeight w:val="20"/>
        </w:trPr>
        <w:tc>
          <w:tcPr>
            <w:tcW w:w="1180" w:type="dxa"/>
            <w:tcBorders>
              <w:top w:val="nil"/>
              <w:left w:val="nil"/>
              <w:bottom w:val="nil"/>
              <w:right w:val="nil"/>
            </w:tcBorders>
            <w:noWrap/>
            <w:vAlign w:val="bottom"/>
          </w:tcPr>
          <w:p w14:paraId="3B762EEE"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3FF32B04"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Chihuahua</w:t>
            </w:r>
          </w:p>
        </w:tc>
        <w:tc>
          <w:tcPr>
            <w:tcW w:w="2880" w:type="dxa"/>
            <w:tcBorders>
              <w:top w:val="nil"/>
              <w:left w:val="nil"/>
              <w:bottom w:val="nil"/>
              <w:right w:val="nil"/>
            </w:tcBorders>
            <w:noWrap/>
            <w:vAlign w:val="bottom"/>
          </w:tcPr>
          <w:p w14:paraId="6EC60806"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Heraldo de Chihuahua</w:t>
            </w:r>
          </w:p>
        </w:tc>
      </w:tr>
      <w:tr w:rsidR="00392337" w:rsidRPr="007F2C7C" w14:paraId="1EB67A76" w14:textId="77777777" w:rsidTr="001E65F5">
        <w:trPr>
          <w:trHeight w:val="20"/>
        </w:trPr>
        <w:tc>
          <w:tcPr>
            <w:tcW w:w="1180" w:type="dxa"/>
            <w:tcBorders>
              <w:top w:val="nil"/>
              <w:left w:val="nil"/>
              <w:bottom w:val="nil"/>
              <w:right w:val="nil"/>
            </w:tcBorders>
            <w:noWrap/>
            <w:vAlign w:val="bottom"/>
          </w:tcPr>
          <w:p w14:paraId="24209DD1"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12532329"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1A789345" w14:textId="77777777" w:rsidR="00392337" w:rsidRPr="00A42501" w:rsidRDefault="00392337" w:rsidP="001E65F5">
            <w:pPr>
              <w:spacing w:after="0" w:line="240" w:lineRule="auto"/>
              <w:rPr>
                <w:rFonts w:ascii="Garamond" w:hAnsi="Garamond"/>
                <w:i/>
                <w:color w:val="000000"/>
                <w:lang w:val="es-ES"/>
              </w:rPr>
            </w:pPr>
            <w:r w:rsidRPr="00A42501">
              <w:rPr>
                <w:rFonts w:ascii="Garamond" w:hAnsi="Garamond"/>
                <w:i/>
                <w:color w:val="000000"/>
                <w:lang w:val="es-ES"/>
              </w:rPr>
              <w:t>El Norte de Ciudad Juárez</w:t>
            </w:r>
          </w:p>
        </w:tc>
      </w:tr>
      <w:tr w:rsidR="00392337" w:rsidRPr="00765683" w14:paraId="2E9A0B17" w14:textId="77777777" w:rsidTr="001E65F5">
        <w:trPr>
          <w:trHeight w:val="20"/>
        </w:trPr>
        <w:tc>
          <w:tcPr>
            <w:tcW w:w="1180" w:type="dxa"/>
            <w:tcBorders>
              <w:top w:val="nil"/>
              <w:left w:val="nil"/>
              <w:bottom w:val="nil"/>
              <w:right w:val="nil"/>
            </w:tcBorders>
            <w:noWrap/>
            <w:vAlign w:val="bottom"/>
          </w:tcPr>
          <w:p w14:paraId="5984C3C7" w14:textId="77777777" w:rsidR="00392337" w:rsidRPr="00A42501" w:rsidRDefault="00392337" w:rsidP="001E65F5">
            <w:pPr>
              <w:spacing w:after="0" w:line="240" w:lineRule="auto"/>
              <w:rPr>
                <w:rFonts w:ascii="Garamond" w:hAnsi="Garamond"/>
                <w:color w:val="000000"/>
                <w:lang w:val="es-ES"/>
              </w:rPr>
            </w:pPr>
          </w:p>
        </w:tc>
        <w:tc>
          <w:tcPr>
            <w:tcW w:w="1985" w:type="dxa"/>
            <w:tcBorders>
              <w:top w:val="nil"/>
              <w:left w:val="nil"/>
              <w:bottom w:val="nil"/>
              <w:right w:val="nil"/>
            </w:tcBorders>
            <w:noWrap/>
            <w:vAlign w:val="bottom"/>
          </w:tcPr>
          <w:p w14:paraId="55578B00" w14:textId="77777777" w:rsidR="00392337" w:rsidRPr="00A42501" w:rsidRDefault="00392337" w:rsidP="001E65F5">
            <w:pPr>
              <w:spacing w:after="0" w:line="240" w:lineRule="auto"/>
              <w:rPr>
                <w:rFonts w:ascii="Garamond" w:hAnsi="Garamond"/>
                <w:color w:val="000000"/>
                <w:lang w:val="es-ES"/>
              </w:rPr>
            </w:pPr>
          </w:p>
        </w:tc>
        <w:tc>
          <w:tcPr>
            <w:tcW w:w="2880" w:type="dxa"/>
            <w:tcBorders>
              <w:top w:val="nil"/>
              <w:left w:val="nil"/>
              <w:bottom w:val="nil"/>
              <w:right w:val="nil"/>
            </w:tcBorders>
            <w:noWrap/>
            <w:vAlign w:val="bottom"/>
          </w:tcPr>
          <w:p w14:paraId="1A7C5372"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Diario</w:t>
            </w:r>
          </w:p>
        </w:tc>
      </w:tr>
      <w:tr w:rsidR="00392337" w:rsidRPr="00765683" w14:paraId="501746C9" w14:textId="77777777" w:rsidTr="001E65F5">
        <w:trPr>
          <w:trHeight w:val="20"/>
        </w:trPr>
        <w:tc>
          <w:tcPr>
            <w:tcW w:w="1180" w:type="dxa"/>
            <w:tcBorders>
              <w:top w:val="nil"/>
              <w:left w:val="nil"/>
              <w:bottom w:val="nil"/>
              <w:right w:val="nil"/>
            </w:tcBorders>
            <w:noWrap/>
            <w:vAlign w:val="bottom"/>
          </w:tcPr>
          <w:p w14:paraId="66A8408D"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5FC16133"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Durango</w:t>
            </w:r>
          </w:p>
        </w:tc>
        <w:tc>
          <w:tcPr>
            <w:tcW w:w="2880" w:type="dxa"/>
            <w:tcBorders>
              <w:top w:val="nil"/>
              <w:left w:val="nil"/>
              <w:bottom w:val="nil"/>
              <w:right w:val="nil"/>
            </w:tcBorders>
            <w:noWrap/>
            <w:vAlign w:val="bottom"/>
          </w:tcPr>
          <w:p w14:paraId="18BAC4A9"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Voz de Durango</w:t>
            </w:r>
          </w:p>
        </w:tc>
      </w:tr>
      <w:tr w:rsidR="00392337" w:rsidRPr="00765683" w14:paraId="2D40DB6E" w14:textId="77777777" w:rsidTr="001E65F5">
        <w:trPr>
          <w:trHeight w:val="20"/>
        </w:trPr>
        <w:tc>
          <w:tcPr>
            <w:tcW w:w="1180" w:type="dxa"/>
            <w:tcBorders>
              <w:top w:val="nil"/>
              <w:left w:val="nil"/>
              <w:bottom w:val="nil"/>
              <w:right w:val="nil"/>
            </w:tcBorders>
            <w:noWrap/>
            <w:vAlign w:val="bottom"/>
          </w:tcPr>
          <w:p w14:paraId="28035A1F"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23A52D95"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12D26A33"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Siglo de Durango</w:t>
            </w:r>
          </w:p>
        </w:tc>
      </w:tr>
      <w:tr w:rsidR="00392337" w:rsidRPr="00765683" w14:paraId="008CAC88" w14:textId="77777777" w:rsidTr="001E65F5">
        <w:trPr>
          <w:trHeight w:val="20"/>
        </w:trPr>
        <w:tc>
          <w:tcPr>
            <w:tcW w:w="1180" w:type="dxa"/>
            <w:tcBorders>
              <w:top w:val="nil"/>
              <w:left w:val="nil"/>
              <w:bottom w:val="nil"/>
              <w:right w:val="nil"/>
            </w:tcBorders>
            <w:noWrap/>
            <w:vAlign w:val="bottom"/>
          </w:tcPr>
          <w:p w14:paraId="2C2EC794"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19AB5096"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Guerrero</w:t>
            </w:r>
          </w:p>
        </w:tc>
        <w:tc>
          <w:tcPr>
            <w:tcW w:w="2880" w:type="dxa"/>
            <w:tcBorders>
              <w:top w:val="nil"/>
              <w:left w:val="nil"/>
              <w:bottom w:val="nil"/>
              <w:right w:val="nil"/>
            </w:tcBorders>
            <w:noWrap/>
            <w:vAlign w:val="bottom"/>
          </w:tcPr>
          <w:p w14:paraId="5C3F3979"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Jornada Guerrero</w:t>
            </w:r>
          </w:p>
        </w:tc>
      </w:tr>
      <w:tr w:rsidR="00392337" w:rsidRPr="00765683" w14:paraId="55BC0179" w14:textId="77777777" w:rsidTr="001E65F5">
        <w:trPr>
          <w:trHeight w:val="20"/>
        </w:trPr>
        <w:tc>
          <w:tcPr>
            <w:tcW w:w="1180" w:type="dxa"/>
            <w:tcBorders>
              <w:top w:val="nil"/>
              <w:left w:val="nil"/>
              <w:bottom w:val="nil"/>
              <w:right w:val="nil"/>
            </w:tcBorders>
            <w:noWrap/>
            <w:vAlign w:val="bottom"/>
          </w:tcPr>
          <w:p w14:paraId="2FC37B27"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79586547"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4F323F87"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Sur de Acapulco</w:t>
            </w:r>
          </w:p>
        </w:tc>
      </w:tr>
      <w:tr w:rsidR="00392337" w:rsidRPr="00765683" w14:paraId="2D314B70" w14:textId="77777777" w:rsidTr="001E65F5">
        <w:trPr>
          <w:trHeight w:val="20"/>
        </w:trPr>
        <w:tc>
          <w:tcPr>
            <w:tcW w:w="1180" w:type="dxa"/>
            <w:tcBorders>
              <w:top w:val="nil"/>
              <w:left w:val="nil"/>
              <w:bottom w:val="nil"/>
              <w:right w:val="nil"/>
            </w:tcBorders>
            <w:noWrap/>
            <w:vAlign w:val="bottom"/>
          </w:tcPr>
          <w:p w14:paraId="28915A39"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6B3EF952"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Jalisco</w:t>
            </w:r>
          </w:p>
        </w:tc>
        <w:tc>
          <w:tcPr>
            <w:tcW w:w="2880" w:type="dxa"/>
            <w:tcBorders>
              <w:top w:val="nil"/>
              <w:left w:val="nil"/>
              <w:bottom w:val="nil"/>
              <w:right w:val="nil"/>
            </w:tcBorders>
            <w:noWrap/>
            <w:vAlign w:val="bottom"/>
          </w:tcPr>
          <w:p w14:paraId="69EFBCF7"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Jornada Jalisco</w:t>
            </w:r>
          </w:p>
        </w:tc>
      </w:tr>
      <w:tr w:rsidR="00392337" w:rsidRPr="00765683" w14:paraId="2C6D3FAE" w14:textId="77777777" w:rsidTr="001E65F5">
        <w:trPr>
          <w:trHeight w:val="20"/>
        </w:trPr>
        <w:tc>
          <w:tcPr>
            <w:tcW w:w="1180" w:type="dxa"/>
            <w:tcBorders>
              <w:top w:val="nil"/>
              <w:left w:val="nil"/>
              <w:bottom w:val="nil"/>
              <w:right w:val="nil"/>
            </w:tcBorders>
            <w:noWrap/>
            <w:vAlign w:val="bottom"/>
          </w:tcPr>
          <w:p w14:paraId="5727DD41"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2F5FF116"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Michoacán</w:t>
            </w:r>
          </w:p>
        </w:tc>
        <w:tc>
          <w:tcPr>
            <w:tcW w:w="2880" w:type="dxa"/>
            <w:tcBorders>
              <w:top w:val="nil"/>
              <w:left w:val="nil"/>
              <w:bottom w:val="nil"/>
              <w:right w:val="nil"/>
            </w:tcBorders>
            <w:noWrap/>
            <w:vAlign w:val="bottom"/>
          </w:tcPr>
          <w:p w14:paraId="0EB0B71B"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Cambio de Michoacán</w:t>
            </w:r>
          </w:p>
        </w:tc>
      </w:tr>
      <w:tr w:rsidR="00392337" w:rsidRPr="00765683" w14:paraId="7AD3B5BB" w14:textId="77777777" w:rsidTr="001E65F5">
        <w:trPr>
          <w:trHeight w:val="20"/>
        </w:trPr>
        <w:tc>
          <w:tcPr>
            <w:tcW w:w="1180" w:type="dxa"/>
            <w:tcBorders>
              <w:top w:val="nil"/>
              <w:left w:val="nil"/>
              <w:bottom w:val="nil"/>
              <w:right w:val="nil"/>
            </w:tcBorders>
            <w:noWrap/>
            <w:vAlign w:val="bottom"/>
          </w:tcPr>
          <w:p w14:paraId="7630CAE0"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48E3FD51" w14:textId="77777777" w:rsidR="00392337" w:rsidRPr="00A42501" w:rsidRDefault="00392337" w:rsidP="001E65F5">
            <w:pPr>
              <w:spacing w:after="0" w:line="240" w:lineRule="auto"/>
              <w:rPr>
                <w:rFonts w:ascii="Garamond" w:hAnsi="Garamond"/>
                <w:color w:val="000000"/>
              </w:rPr>
            </w:pPr>
          </w:p>
        </w:tc>
        <w:tc>
          <w:tcPr>
            <w:tcW w:w="2880" w:type="dxa"/>
            <w:tcBorders>
              <w:top w:val="nil"/>
              <w:left w:val="nil"/>
              <w:bottom w:val="nil"/>
              <w:right w:val="nil"/>
            </w:tcBorders>
            <w:noWrap/>
            <w:vAlign w:val="bottom"/>
          </w:tcPr>
          <w:p w14:paraId="6D79F5B3"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La Jornada de Michoacán</w:t>
            </w:r>
          </w:p>
        </w:tc>
      </w:tr>
      <w:tr w:rsidR="00392337" w:rsidRPr="00765683" w14:paraId="33185294" w14:textId="77777777" w:rsidTr="001E65F5">
        <w:trPr>
          <w:trHeight w:val="20"/>
        </w:trPr>
        <w:tc>
          <w:tcPr>
            <w:tcW w:w="1180" w:type="dxa"/>
            <w:tcBorders>
              <w:top w:val="nil"/>
              <w:left w:val="nil"/>
              <w:bottom w:val="nil"/>
              <w:right w:val="nil"/>
            </w:tcBorders>
            <w:noWrap/>
            <w:vAlign w:val="bottom"/>
          </w:tcPr>
          <w:p w14:paraId="26EFC1BE"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56E864C6"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Sinaloa</w:t>
            </w:r>
          </w:p>
        </w:tc>
        <w:tc>
          <w:tcPr>
            <w:tcW w:w="2880" w:type="dxa"/>
            <w:tcBorders>
              <w:top w:val="nil"/>
              <w:left w:val="nil"/>
              <w:bottom w:val="nil"/>
              <w:right w:val="nil"/>
            </w:tcBorders>
            <w:noWrap/>
            <w:vAlign w:val="bottom"/>
          </w:tcPr>
          <w:p w14:paraId="2C6ED619"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Noroeste</w:t>
            </w:r>
          </w:p>
        </w:tc>
      </w:tr>
      <w:tr w:rsidR="00392337" w:rsidRPr="00765683" w14:paraId="153B6DF9" w14:textId="77777777" w:rsidTr="001E65F5">
        <w:trPr>
          <w:trHeight w:val="20"/>
        </w:trPr>
        <w:tc>
          <w:tcPr>
            <w:tcW w:w="1180" w:type="dxa"/>
            <w:tcBorders>
              <w:top w:val="nil"/>
              <w:left w:val="nil"/>
              <w:bottom w:val="nil"/>
              <w:right w:val="nil"/>
            </w:tcBorders>
            <w:noWrap/>
            <w:vAlign w:val="bottom"/>
          </w:tcPr>
          <w:p w14:paraId="4724B4E8"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663D0A83"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Sonora</w:t>
            </w:r>
          </w:p>
        </w:tc>
        <w:tc>
          <w:tcPr>
            <w:tcW w:w="2880" w:type="dxa"/>
            <w:tcBorders>
              <w:top w:val="nil"/>
              <w:left w:val="nil"/>
              <w:bottom w:val="nil"/>
              <w:right w:val="nil"/>
            </w:tcBorders>
            <w:noWrap/>
            <w:vAlign w:val="bottom"/>
          </w:tcPr>
          <w:p w14:paraId="4EC92273"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El Imparcial</w:t>
            </w:r>
          </w:p>
        </w:tc>
      </w:tr>
      <w:tr w:rsidR="00392337" w:rsidRPr="00765683" w14:paraId="60B07E92" w14:textId="77777777" w:rsidTr="001E65F5">
        <w:trPr>
          <w:trHeight w:val="20"/>
        </w:trPr>
        <w:tc>
          <w:tcPr>
            <w:tcW w:w="1180" w:type="dxa"/>
            <w:tcBorders>
              <w:top w:val="nil"/>
              <w:left w:val="nil"/>
              <w:bottom w:val="nil"/>
              <w:right w:val="nil"/>
            </w:tcBorders>
            <w:noWrap/>
            <w:vAlign w:val="bottom"/>
          </w:tcPr>
          <w:p w14:paraId="23F694EB" w14:textId="77777777" w:rsidR="00392337" w:rsidRPr="00A42501" w:rsidRDefault="00392337" w:rsidP="001E65F5">
            <w:pPr>
              <w:spacing w:after="0" w:line="240" w:lineRule="auto"/>
              <w:rPr>
                <w:rFonts w:ascii="Garamond" w:hAnsi="Garamond"/>
                <w:color w:val="000000"/>
              </w:rPr>
            </w:pPr>
          </w:p>
        </w:tc>
        <w:tc>
          <w:tcPr>
            <w:tcW w:w="1985" w:type="dxa"/>
            <w:tcBorders>
              <w:top w:val="nil"/>
              <w:left w:val="nil"/>
              <w:bottom w:val="nil"/>
              <w:right w:val="nil"/>
            </w:tcBorders>
            <w:noWrap/>
            <w:vAlign w:val="bottom"/>
          </w:tcPr>
          <w:p w14:paraId="45BBBC55"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Tabasco</w:t>
            </w:r>
          </w:p>
        </w:tc>
        <w:tc>
          <w:tcPr>
            <w:tcW w:w="2880" w:type="dxa"/>
            <w:tcBorders>
              <w:top w:val="nil"/>
              <w:left w:val="nil"/>
              <w:bottom w:val="nil"/>
              <w:right w:val="nil"/>
            </w:tcBorders>
            <w:noWrap/>
            <w:vAlign w:val="bottom"/>
          </w:tcPr>
          <w:p w14:paraId="4E34F53A"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Tabasco Hoy</w:t>
            </w:r>
          </w:p>
        </w:tc>
      </w:tr>
      <w:tr w:rsidR="00392337" w:rsidRPr="00765683" w14:paraId="468E671C" w14:textId="77777777" w:rsidTr="001E65F5">
        <w:trPr>
          <w:trHeight w:val="20"/>
        </w:trPr>
        <w:tc>
          <w:tcPr>
            <w:tcW w:w="1180" w:type="dxa"/>
            <w:tcBorders>
              <w:top w:val="nil"/>
              <w:left w:val="nil"/>
              <w:bottom w:val="single" w:sz="4" w:space="0" w:color="auto"/>
              <w:right w:val="nil"/>
            </w:tcBorders>
            <w:noWrap/>
            <w:vAlign w:val="bottom"/>
          </w:tcPr>
          <w:p w14:paraId="6DF49255"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 </w:t>
            </w:r>
          </w:p>
        </w:tc>
        <w:tc>
          <w:tcPr>
            <w:tcW w:w="1985" w:type="dxa"/>
            <w:tcBorders>
              <w:top w:val="nil"/>
              <w:left w:val="nil"/>
              <w:bottom w:val="single" w:sz="4" w:space="0" w:color="auto"/>
              <w:right w:val="nil"/>
            </w:tcBorders>
            <w:noWrap/>
            <w:vAlign w:val="bottom"/>
          </w:tcPr>
          <w:p w14:paraId="5A9ECB47" w14:textId="77777777" w:rsidR="00392337" w:rsidRPr="00A42501" w:rsidRDefault="00392337" w:rsidP="001E65F5">
            <w:pPr>
              <w:spacing w:after="0" w:line="240" w:lineRule="auto"/>
              <w:rPr>
                <w:rFonts w:ascii="Garamond" w:hAnsi="Garamond"/>
                <w:color w:val="000000"/>
              </w:rPr>
            </w:pPr>
            <w:r w:rsidRPr="00A42501">
              <w:rPr>
                <w:rFonts w:ascii="Garamond" w:hAnsi="Garamond"/>
                <w:color w:val="000000"/>
              </w:rPr>
              <w:t> </w:t>
            </w:r>
          </w:p>
        </w:tc>
        <w:tc>
          <w:tcPr>
            <w:tcW w:w="2880" w:type="dxa"/>
            <w:tcBorders>
              <w:top w:val="nil"/>
              <w:left w:val="nil"/>
              <w:bottom w:val="single" w:sz="4" w:space="0" w:color="auto"/>
              <w:right w:val="nil"/>
            </w:tcBorders>
            <w:noWrap/>
            <w:vAlign w:val="bottom"/>
          </w:tcPr>
          <w:p w14:paraId="18E93B23" w14:textId="77777777" w:rsidR="00392337" w:rsidRPr="00A42501" w:rsidRDefault="00392337" w:rsidP="001E65F5">
            <w:pPr>
              <w:spacing w:after="0" w:line="240" w:lineRule="auto"/>
              <w:rPr>
                <w:rFonts w:ascii="Garamond" w:hAnsi="Garamond"/>
                <w:i/>
                <w:color w:val="000000"/>
              </w:rPr>
            </w:pPr>
            <w:r w:rsidRPr="00A42501">
              <w:rPr>
                <w:rFonts w:ascii="Garamond" w:hAnsi="Garamond"/>
                <w:i/>
                <w:color w:val="000000"/>
              </w:rPr>
              <w:t>Diario Avance de Tabasco</w:t>
            </w:r>
          </w:p>
        </w:tc>
      </w:tr>
    </w:tbl>
    <w:p w14:paraId="60167C41" w14:textId="77777777" w:rsidR="00392337" w:rsidRPr="00884B0E" w:rsidRDefault="00392337" w:rsidP="00392337">
      <w:pPr>
        <w:pStyle w:val="NoSpacing"/>
        <w:spacing w:line="240" w:lineRule="auto"/>
        <w:rPr>
          <w:color w:val="222222"/>
          <w:sz w:val="20"/>
          <w:szCs w:val="20"/>
          <w:shd w:val="clear" w:color="auto" w:fill="FFFFFF"/>
        </w:rPr>
      </w:pPr>
      <w:r w:rsidRPr="00884B0E">
        <w:rPr>
          <w:color w:val="222222"/>
          <w:sz w:val="20"/>
          <w:szCs w:val="20"/>
          <w:shd w:val="clear" w:color="auto" w:fill="FFFFFF"/>
        </w:rPr>
        <w:t>** Main source</w:t>
      </w:r>
      <w:r>
        <w:rPr>
          <w:color w:val="222222"/>
          <w:sz w:val="20"/>
          <w:szCs w:val="20"/>
          <w:shd w:val="clear" w:color="auto" w:fill="FFFFFF"/>
        </w:rPr>
        <w:t>.</w:t>
      </w:r>
    </w:p>
    <w:p w14:paraId="59A9B6B5" w14:textId="3125D016" w:rsidR="00392337" w:rsidRPr="00884B0E" w:rsidRDefault="00392337" w:rsidP="00A42501">
      <w:pPr>
        <w:pStyle w:val="NoSpacing"/>
        <w:spacing w:line="240" w:lineRule="auto"/>
        <w:ind w:left="720" w:firstLine="0"/>
        <w:rPr>
          <w:color w:val="222222"/>
          <w:shd w:val="clear" w:color="auto" w:fill="FFFFFF"/>
        </w:rPr>
      </w:pPr>
      <w:r w:rsidRPr="00884B0E">
        <w:rPr>
          <w:color w:val="222222"/>
          <w:sz w:val="20"/>
          <w:szCs w:val="20"/>
          <w:shd w:val="clear" w:color="auto" w:fill="FFFFFF"/>
        </w:rPr>
        <w:t>* Weekly magazines specializing in reporting on drug trafficking and organized crime</w:t>
      </w:r>
      <w:r>
        <w:rPr>
          <w:color w:val="222222"/>
          <w:sz w:val="20"/>
          <w:szCs w:val="20"/>
          <w:shd w:val="clear" w:color="auto" w:fill="FFFFFF"/>
        </w:rPr>
        <w:t>.</w:t>
      </w:r>
      <w:r w:rsidR="00A42501">
        <w:rPr>
          <w:color w:val="222222"/>
          <w:sz w:val="20"/>
          <w:szCs w:val="20"/>
          <w:shd w:val="clear" w:color="auto" w:fill="FFFFFF"/>
        </w:rPr>
        <w:t xml:space="preserve"> Note that </w:t>
      </w:r>
      <w:r w:rsidR="00504A47">
        <w:rPr>
          <w:i/>
          <w:color w:val="222222"/>
          <w:sz w:val="20"/>
          <w:szCs w:val="20"/>
          <w:shd w:val="clear" w:color="auto" w:fill="FFFFFF"/>
        </w:rPr>
        <w:t>Zeta de Tijuana</w:t>
      </w:r>
      <w:r w:rsidR="00A54E22">
        <w:rPr>
          <w:color w:val="222222"/>
          <w:sz w:val="20"/>
          <w:szCs w:val="20"/>
          <w:shd w:val="clear" w:color="auto" w:fill="FFFFFF"/>
        </w:rPr>
        <w:t xml:space="preserve"> offers an extensive coverage of crime in the state of Baja California, </w:t>
      </w:r>
      <w:r w:rsidR="00372C46">
        <w:rPr>
          <w:color w:val="222222"/>
          <w:sz w:val="20"/>
          <w:szCs w:val="20"/>
          <w:shd w:val="clear" w:color="auto" w:fill="FFFFFF"/>
        </w:rPr>
        <w:t>but it also publishes</w:t>
      </w:r>
      <w:r w:rsidR="00A54E22">
        <w:rPr>
          <w:color w:val="222222"/>
          <w:sz w:val="20"/>
          <w:szCs w:val="20"/>
          <w:shd w:val="clear" w:color="auto" w:fill="FFFFFF"/>
        </w:rPr>
        <w:t xml:space="preserve"> news from the rest of the country.</w:t>
      </w:r>
    </w:p>
    <w:p w14:paraId="65EED4DA" w14:textId="3D22F616" w:rsidR="00392337" w:rsidRDefault="00392337" w:rsidP="00A42501">
      <w:pPr>
        <w:pStyle w:val="NoSpacing"/>
      </w:pPr>
      <w:r>
        <w:lastRenderedPageBreak/>
        <w:t xml:space="preserve">Unlike other datasets on political violence that focus exclusively on </w:t>
      </w:r>
      <w:r w:rsidR="00D31EA4">
        <w:t>the murder</w:t>
      </w:r>
      <w:r w:rsidR="00A54E22">
        <w:t xml:space="preserve"> of mayors</w:t>
      </w:r>
      <w:r>
        <w:t xml:space="preserve">, </w:t>
      </w:r>
      <w:r w:rsidR="00A54E22">
        <w:t>CAPAM</w:t>
      </w:r>
      <w:r>
        <w:t xml:space="preserve"> </w:t>
      </w:r>
      <w:r w:rsidR="00A54E22">
        <w:t>measures</w:t>
      </w:r>
      <w:r>
        <w:t xml:space="preserve"> </w:t>
      </w:r>
      <w:r w:rsidR="00D31EA4">
        <w:t xml:space="preserve">lethal </w:t>
      </w:r>
      <w:r w:rsidR="00A54E22">
        <w:t>attacks against</w:t>
      </w:r>
      <w:r>
        <w:t xml:space="preserve"> executive authorities, political candidates, and party activists. </w:t>
      </w:r>
      <w:r w:rsidR="00CC0BEE">
        <w:t>Also, u</w:t>
      </w:r>
      <w:r w:rsidR="00D31EA4">
        <w:t xml:space="preserve">nlike other datasets that measure </w:t>
      </w:r>
      <w:r w:rsidR="009041A2">
        <w:t xml:space="preserve">only </w:t>
      </w:r>
      <w:r w:rsidR="00D31EA4">
        <w:t>murders, CAPAM provides detailed information about a wide range of attacks, including murder and murder attempts, public threats</w:t>
      </w:r>
      <w:r w:rsidR="009041A2">
        <w:t>,</w:t>
      </w:r>
      <w:r w:rsidR="00D31EA4">
        <w:t xml:space="preserve"> and kidnapping. </w:t>
      </w:r>
    </w:p>
    <w:p w14:paraId="5AE09679" w14:textId="69EDB816" w:rsidR="00DB5C46" w:rsidRDefault="00392337" w:rsidP="00A42501">
      <w:pPr>
        <w:pStyle w:val="NoSpacing"/>
      </w:pPr>
      <w:r>
        <w:t>We followed strict criteria that allowed us to verify the involvement of</w:t>
      </w:r>
      <w:r w:rsidR="00A54E22">
        <w:t xml:space="preserve"> organized criminal groups (OCGs)</w:t>
      </w:r>
      <w:r>
        <w:t xml:space="preserve"> in such events. </w:t>
      </w:r>
    </w:p>
    <w:p w14:paraId="7033C2F7" w14:textId="06084A82" w:rsidR="00DB5C46" w:rsidRDefault="00A54E22" w:rsidP="00A42501">
      <w:pPr>
        <w:pStyle w:val="NoSpacing"/>
      </w:pPr>
      <w:r>
        <w:t>First, we attributed an attack to organized crime when at</w:t>
      </w:r>
      <w:r w:rsidR="001E65F5">
        <w:t xml:space="preserve"> least two sources</w:t>
      </w:r>
      <w:r w:rsidR="00877B10">
        <w:t xml:space="preserve"> (</w:t>
      </w:r>
      <w:r w:rsidR="00877B10" w:rsidRPr="00A42501">
        <w:rPr>
          <w:i/>
        </w:rPr>
        <w:t xml:space="preserve">Reforma </w:t>
      </w:r>
      <w:r w:rsidR="00877B10">
        <w:t>and another national or local source</w:t>
      </w:r>
      <w:r w:rsidR="001E65F5">
        <w:t xml:space="preserve">) </w:t>
      </w:r>
      <w:r w:rsidR="00DB5C46">
        <w:t xml:space="preserve">named a specific OCG as the perpetrator of the attack. </w:t>
      </w:r>
    </w:p>
    <w:p w14:paraId="448EA23C" w14:textId="4CAA087D" w:rsidR="00392337" w:rsidRDefault="00DB5C46" w:rsidP="00A42501">
      <w:pPr>
        <w:pStyle w:val="NoSpacing"/>
      </w:pPr>
      <w:r>
        <w:t>Second, i</w:t>
      </w:r>
      <w:r w:rsidR="00392337">
        <w:t xml:space="preserve">n the case of </w:t>
      </w:r>
      <w:r w:rsidR="00D31EA4">
        <w:t>murders</w:t>
      </w:r>
      <w:r w:rsidR="00392337">
        <w:t xml:space="preserve">, when news reports did not include the name of the </w:t>
      </w:r>
      <w:r w:rsidR="00D31EA4">
        <w:t xml:space="preserve">OCG </w:t>
      </w:r>
      <w:r w:rsidR="00392337">
        <w:t xml:space="preserve">involved, we relied on three indicators </w:t>
      </w:r>
      <w:r w:rsidR="00D31EA4">
        <w:t xml:space="preserve">associated with the modus operandi of drug cartels and their criminal associates </w:t>
      </w:r>
      <w:r w:rsidR="00392337">
        <w:t xml:space="preserve">to include the event in the dataset: </w:t>
      </w:r>
      <w:r w:rsidR="001E65F5">
        <w:t>a</w:t>
      </w:r>
      <w:r>
        <w:t xml:space="preserve">) </w:t>
      </w:r>
      <w:r w:rsidR="00392337">
        <w:t xml:space="preserve">the use of assault weapons for killing; </w:t>
      </w:r>
      <w:r w:rsidR="001E65F5">
        <w:t>b</w:t>
      </w:r>
      <w:r>
        <w:t xml:space="preserve">) </w:t>
      </w:r>
      <w:r w:rsidR="00392337">
        <w:t xml:space="preserve">signs of torture and brutal violence (e.g., bodies wrapped in a rug or mutilated); and </w:t>
      </w:r>
      <w:r w:rsidR="001E65F5">
        <w:t>c</w:t>
      </w:r>
      <w:r>
        <w:t xml:space="preserve">) </w:t>
      </w:r>
      <w:r w:rsidR="00392337">
        <w:t xml:space="preserve">written messages left on the bodies. The type of assault weapons used was also </w:t>
      </w:r>
      <w:r>
        <w:t>an important indicator</w:t>
      </w:r>
      <w:r w:rsidR="00392337">
        <w:t xml:space="preserve"> for the inclusion of </w:t>
      </w:r>
      <w:r>
        <w:t>an attack</w:t>
      </w:r>
      <w:r w:rsidR="00392337">
        <w:t xml:space="preserve"> in our dataset.</w:t>
      </w:r>
    </w:p>
    <w:p w14:paraId="0420F472" w14:textId="0657B7E3" w:rsidR="00D31EA4" w:rsidRDefault="00DB5C46" w:rsidP="00A42501">
      <w:pPr>
        <w:pStyle w:val="NoSpacing"/>
      </w:pPr>
      <w:r>
        <w:t xml:space="preserve">Third, </w:t>
      </w:r>
      <w:r w:rsidR="00D31EA4">
        <w:t xml:space="preserve">in the case of </w:t>
      </w:r>
      <w:r>
        <w:t>public threats</w:t>
      </w:r>
      <w:r w:rsidR="00D31EA4">
        <w:t>, we only included the event in our dataset if a publicized threat by OCGs against public authorities or party candidates</w:t>
      </w:r>
      <w:r>
        <w:t xml:space="preserve"> resulted in one of three actions</w:t>
      </w:r>
      <w:r w:rsidR="00392337">
        <w:t xml:space="preserve">: </w:t>
      </w:r>
      <w:r w:rsidR="001E65F5">
        <w:t>a</w:t>
      </w:r>
      <w:r w:rsidR="00392337">
        <w:t xml:space="preserve">) candidates were forced to leave the electoral competition; </w:t>
      </w:r>
      <w:r w:rsidR="001E65F5">
        <w:t>b</w:t>
      </w:r>
      <w:r w:rsidR="00392337">
        <w:t xml:space="preserve">) </w:t>
      </w:r>
      <w:r>
        <w:t xml:space="preserve">political </w:t>
      </w:r>
      <w:r w:rsidR="00392337">
        <w:t xml:space="preserve">parties explicitly recognized they had been unable to place candidates for a specific position; </w:t>
      </w:r>
      <w:r w:rsidR="001E65F5">
        <w:t>and c</w:t>
      </w:r>
      <w:r w:rsidR="00392337">
        <w:t>) public authorities were subsequently forced to resign or move out of their municipality. When threats did not meet these criteria, we did not consider them in our dataset.</w:t>
      </w:r>
    </w:p>
    <w:p w14:paraId="2D4B2645" w14:textId="4B823C0D" w:rsidR="00392337" w:rsidRDefault="00D31EA4" w:rsidP="00A42501">
      <w:pPr>
        <w:pStyle w:val="NoSpacing"/>
      </w:pPr>
      <w:r>
        <w:t>Note that</w:t>
      </w:r>
      <w:r w:rsidR="00D54210">
        <w:t>, as we explain in the article, there are two types of threats that OCGs make against government authorities and political candidates: private and public. Private threats are very hard to measure and</w:t>
      </w:r>
      <w:r w:rsidR="009E153F">
        <w:t>,</w:t>
      </w:r>
      <w:r w:rsidR="00D54210">
        <w:t xml:space="preserve"> even though newspapers do report some of them, we decided not to include them in our dataset to avoid a potentially important source of measurement error. When a mayor or a political candidate collude</w:t>
      </w:r>
      <w:r w:rsidR="009E153F">
        <w:t>s</w:t>
      </w:r>
      <w:r w:rsidR="00D54210">
        <w:t xml:space="preserve"> with OCGs, s/he would have incentives to say that s/he did it under threat. If there is no public evidence of such a threat, it would be very hard to actually corroborate whether the threat ever existed. In contrast, public threats are more likely to be corroborated because OCGs have incentives to publicize their threats through messages left on victims (e.g.</w:t>
      </w:r>
      <w:r w:rsidR="001E65F5">
        <w:t>,</w:t>
      </w:r>
      <w:r w:rsidR="00D54210">
        <w:t xml:space="preserve"> wrapped bodies are left with a message) or hanging banners with their message on public</w:t>
      </w:r>
      <w:r w:rsidR="001E65F5">
        <w:t xml:space="preserve"> places (e.g., bridges)</w:t>
      </w:r>
      <w:r w:rsidR="00D54210">
        <w:t xml:space="preserve"> Despite the pub</w:t>
      </w:r>
      <w:r w:rsidR="001E65F5">
        <w:t>licity, as we explain above, we restricted the case of public threats to those that actually led to the withdrawal of local authorities or party candidates from their professional activities.</w:t>
      </w:r>
      <w:r w:rsidR="00D54210">
        <w:t xml:space="preserve"> </w:t>
      </w:r>
      <w:r>
        <w:t xml:space="preserve"> </w:t>
      </w:r>
      <w:r w:rsidR="00392337">
        <w:t xml:space="preserve"> </w:t>
      </w:r>
    </w:p>
    <w:p w14:paraId="483B226B" w14:textId="378DB2E8" w:rsidR="00EF1D3F" w:rsidRDefault="00765683" w:rsidP="00765683">
      <w:pPr>
        <w:pStyle w:val="NoSpacing"/>
        <w:ind w:firstLine="0"/>
      </w:pPr>
      <w:r>
        <w:lastRenderedPageBreak/>
        <w:tab/>
      </w:r>
      <w:r w:rsidR="001E65F5">
        <w:t xml:space="preserve">Based on </w:t>
      </w:r>
      <w:r w:rsidR="00392337">
        <w:t>these</w:t>
      </w:r>
      <w:r w:rsidR="00392337" w:rsidRPr="00C3345E">
        <w:t xml:space="preserve"> criteria, </w:t>
      </w:r>
      <w:r w:rsidR="001E65F5">
        <w:t xml:space="preserve">our coders adhered to the following routine as part of the </w:t>
      </w:r>
      <w:r w:rsidR="00392337" w:rsidRPr="00B74197">
        <w:t>data</w:t>
      </w:r>
      <w:r w:rsidR="00A42501">
        <w:t xml:space="preserve"> </w:t>
      </w:r>
      <w:r w:rsidR="00392337" w:rsidRPr="00B74197">
        <w:t xml:space="preserve">generation process. </w:t>
      </w:r>
      <w:r w:rsidR="001E65F5">
        <w:t xml:space="preserve">The routine began with </w:t>
      </w:r>
      <w:r w:rsidR="00392337" w:rsidRPr="00B74197">
        <w:t xml:space="preserve">the revision of </w:t>
      </w:r>
      <w:r w:rsidR="001E65F5">
        <w:t xml:space="preserve">the eight </w:t>
      </w:r>
      <w:r w:rsidR="00392337" w:rsidRPr="00B74197">
        <w:t xml:space="preserve">national </w:t>
      </w:r>
      <w:r w:rsidR="001E65F5">
        <w:t xml:space="preserve">daily </w:t>
      </w:r>
      <w:r w:rsidR="00392337" w:rsidRPr="00B74197">
        <w:t xml:space="preserve">newspapers to </w:t>
      </w:r>
      <w:r w:rsidR="009E153F">
        <w:t>make</w:t>
      </w:r>
      <w:r w:rsidR="009E153F" w:rsidRPr="00B74197">
        <w:t xml:space="preserve"> </w:t>
      </w:r>
      <w:r w:rsidR="00392337" w:rsidRPr="00B74197">
        <w:t xml:space="preserve">an initial count of lethal attacks directed against </w:t>
      </w:r>
      <w:r w:rsidR="000D0328">
        <w:t xml:space="preserve">government officials and </w:t>
      </w:r>
      <w:r w:rsidR="00392337" w:rsidRPr="00B74197">
        <w:t xml:space="preserve">politicians. </w:t>
      </w:r>
      <w:r w:rsidR="001E65F5">
        <w:t xml:space="preserve">The systematic evaluation was conducted using </w:t>
      </w:r>
      <w:r w:rsidR="00CC0BEE" w:rsidRPr="00A42501">
        <w:rPr>
          <w:i/>
        </w:rPr>
        <w:t>Infolatina</w:t>
      </w:r>
      <w:r w:rsidR="001E65F5">
        <w:t xml:space="preserve">. </w:t>
      </w:r>
      <w:r w:rsidR="00392337" w:rsidRPr="00B74197">
        <w:t xml:space="preserve">When these reports did not provide enough information, we used </w:t>
      </w:r>
      <w:r w:rsidR="001E65F5">
        <w:t>subnational</w:t>
      </w:r>
      <w:r w:rsidR="00392337" w:rsidRPr="00B74197">
        <w:t xml:space="preserve"> newspapers, which often </w:t>
      </w:r>
      <w:r w:rsidR="001E65F5">
        <w:t xml:space="preserve">provided extensive </w:t>
      </w:r>
      <w:r w:rsidR="00392337" w:rsidRPr="00B74197">
        <w:t>follow</w:t>
      </w:r>
      <w:r w:rsidR="009E153F">
        <w:t>-</w:t>
      </w:r>
      <w:r w:rsidR="00392337" w:rsidRPr="00B74197">
        <w:t>up</w:t>
      </w:r>
      <w:r w:rsidR="001E65F5">
        <w:t>s</w:t>
      </w:r>
      <w:r w:rsidR="00392337" w:rsidRPr="00B74197">
        <w:t xml:space="preserve"> </w:t>
      </w:r>
      <w:r w:rsidR="001E65F5">
        <w:t>i</w:t>
      </w:r>
      <w:r w:rsidR="00392337" w:rsidRPr="00B74197">
        <w:t xml:space="preserve">n the cases of </w:t>
      </w:r>
      <w:r w:rsidR="001E65F5">
        <w:t xml:space="preserve">attacks against </w:t>
      </w:r>
      <w:r w:rsidR="00392337" w:rsidRPr="00B74197">
        <w:t>local politicians</w:t>
      </w:r>
      <w:r w:rsidR="001E65F5">
        <w:t>. These follow</w:t>
      </w:r>
      <w:r w:rsidR="009E153F">
        <w:t>-</w:t>
      </w:r>
      <w:r w:rsidR="001E65F5">
        <w:t xml:space="preserve">ups were published </w:t>
      </w:r>
      <w:r w:rsidR="00392337" w:rsidRPr="00B74197">
        <w:t xml:space="preserve">a few months after the </w:t>
      </w:r>
      <w:r w:rsidR="00392337">
        <w:t>attack</w:t>
      </w:r>
      <w:r w:rsidR="00392337" w:rsidRPr="00B74197">
        <w:t xml:space="preserve"> and sometimes</w:t>
      </w:r>
      <w:r w:rsidR="001E65F5">
        <w:t xml:space="preserve"> included </w:t>
      </w:r>
      <w:r w:rsidR="00392337" w:rsidRPr="00B74197">
        <w:t>informa</w:t>
      </w:r>
      <w:r w:rsidR="00392337">
        <w:t xml:space="preserve">tion </w:t>
      </w:r>
      <w:r w:rsidR="001E65F5">
        <w:t>from the</w:t>
      </w:r>
      <w:r w:rsidR="00392337">
        <w:t xml:space="preserve"> state prosecutors’</w:t>
      </w:r>
      <w:r w:rsidR="00392337" w:rsidRPr="00B74197">
        <w:t xml:space="preserve"> investigations. When we found inconsistencies between two sources, we looked for further information that allowed us to clearly determine the involvement of </w:t>
      </w:r>
      <w:r w:rsidR="00392337">
        <w:t>organized crime</w:t>
      </w:r>
      <w:r w:rsidR="001E65F5">
        <w:t xml:space="preserve"> in the attacks</w:t>
      </w:r>
      <w:r w:rsidR="00392337" w:rsidRPr="00B74197">
        <w:t>. If we did not find enough detail</w:t>
      </w:r>
      <w:r w:rsidR="00632C67">
        <w:t>ed information to cross-verify one source of information,</w:t>
      </w:r>
      <w:r w:rsidR="00392337" w:rsidRPr="00B74197">
        <w:t xml:space="preserve"> we exc</w:t>
      </w:r>
      <w:r w:rsidR="00392337">
        <w:t xml:space="preserve">luded </w:t>
      </w:r>
      <w:r w:rsidR="00632C67">
        <w:t>the event</w:t>
      </w:r>
      <w:r w:rsidR="00392337" w:rsidRPr="00B74197">
        <w:t>. Overall, the use of multiple sources of information</w:t>
      </w:r>
      <w:r w:rsidR="00632C67">
        <w:t xml:space="preserve"> – national and subnational –</w:t>
      </w:r>
      <w:r w:rsidR="00392337" w:rsidRPr="00B74197">
        <w:t xml:space="preserve"> maximizes the precision of our measure of </w:t>
      </w:r>
      <w:r w:rsidR="00632C67">
        <w:t xml:space="preserve">high-profile </w:t>
      </w:r>
      <w:r w:rsidR="00392337" w:rsidRPr="00B74197">
        <w:t xml:space="preserve">criminal </w:t>
      </w:r>
      <w:r w:rsidR="00632C67">
        <w:t>attacks</w:t>
      </w:r>
      <w:r w:rsidR="00392337" w:rsidRPr="00B74197">
        <w:t>, while at the same time minimiz</w:t>
      </w:r>
      <w:r w:rsidR="00632C67">
        <w:t>ing</w:t>
      </w:r>
      <w:r w:rsidR="00392337" w:rsidRPr="00B74197">
        <w:t xml:space="preserve"> sources of geographic bias.</w:t>
      </w:r>
    </w:p>
    <w:p w14:paraId="54770812" w14:textId="77777777" w:rsidR="00EF1D3F" w:rsidRDefault="00EF1D3F">
      <w:pPr>
        <w:rPr>
          <w:rFonts w:ascii="Garamond" w:hAnsi="Garamond"/>
          <w:sz w:val="24"/>
          <w:szCs w:val="24"/>
        </w:rPr>
      </w:pPr>
      <w:r>
        <w:br w:type="page"/>
      </w:r>
    </w:p>
    <w:p w14:paraId="7393CDA7" w14:textId="77777777" w:rsidR="00EF1D3F" w:rsidRPr="00A42501" w:rsidRDefault="00EF1D3F" w:rsidP="00EF1D3F">
      <w:pPr>
        <w:pStyle w:val="NoSpacing"/>
        <w:ind w:firstLine="0"/>
        <w:rPr>
          <w:i/>
          <w:sz w:val="28"/>
          <w:szCs w:val="28"/>
        </w:rPr>
      </w:pPr>
      <w:r w:rsidRPr="00A42501">
        <w:rPr>
          <w:i/>
          <w:sz w:val="28"/>
          <w:szCs w:val="28"/>
        </w:rPr>
        <w:lastRenderedPageBreak/>
        <w:t>Additional Statistical Results</w:t>
      </w:r>
    </w:p>
    <w:p w14:paraId="0845644D" w14:textId="77777777" w:rsidR="00EF1D3F" w:rsidRDefault="00EF1D3F" w:rsidP="00EF1D3F">
      <w:pPr>
        <w:pStyle w:val="NoSpacing"/>
        <w:ind w:firstLine="0"/>
        <w:rPr>
          <w:b/>
        </w:rPr>
      </w:pPr>
    </w:p>
    <w:p w14:paraId="69258F59" w14:textId="768A83CB" w:rsidR="00EF1D3F" w:rsidRPr="00A604EE" w:rsidRDefault="00EF1D3F" w:rsidP="00EF1D3F">
      <w:pPr>
        <w:pStyle w:val="NoSpacing"/>
        <w:ind w:firstLine="0"/>
        <w:rPr>
          <w:b/>
        </w:rPr>
      </w:pPr>
      <w:r>
        <w:rPr>
          <w:b/>
        </w:rPr>
        <w:t xml:space="preserve">Table A.II. </w:t>
      </w:r>
      <w:r w:rsidRPr="00A604EE">
        <w:rPr>
          <w:b/>
        </w:rPr>
        <w:t>Logit and Rare Logit Models</w:t>
      </w:r>
      <w:r>
        <w:rPr>
          <w:b/>
        </w:rPr>
        <w:t xml:space="preserve"> (Based on Table 3)</w:t>
      </w:r>
    </w:p>
    <w:tbl>
      <w:tblPr>
        <w:tblW w:w="6240" w:type="dxa"/>
        <w:tblLook w:val="04A0" w:firstRow="1" w:lastRow="0" w:firstColumn="1" w:lastColumn="0" w:noHBand="0" w:noVBand="1"/>
      </w:tblPr>
      <w:tblGrid>
        <w:gridCol w:w="3840"/>
        <w:gridCol w:w="1200"/>
        <w:gridCol w:w="1200"/>
      </w:tblGrid>
      <w:tr w:rsidR="00EF1D3F" w:rsidRPr="004C530C" w14:paraId="0BCDC442" w14:textId="77777777" w:rsidTr="00DC65D6">
        <w:trPr>
          <w:trHeight w:val="20"/>
        </w:trPr>
        <w:tc>
          <w:tcPr>
            <w:tcW w:w="3840" w:type="dxa"/>
            <w:tcBorders>
              <w:top w:val="single" w:sz="4" w:space="0" w:color="auto"/>
              <w:left w:val="nil"/>
              <w:bottom w:val="nil"/>
              <w:right w:val="nil"/>
            </w:tcBorders>
            <w:shd w:val="clear" w:color="auto" w:fill="auto"/>
            <w:noWrap/>
            <w:vAlign w:val="center"/>
            <w:hideMark/>
          </w:tcPr>
          <w:p w14:paraId="60F93E12"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 </w:t>
            </w:r>
          </w:p>
        </w:tc>
        <w:tc>
          <w:tcPr>
            <w:tcW w:w="1200" w:type="dxa"/>
            <w:tcBorders>
              <w:top w:val="single" w:sz="4" w:space="0" w:color="auto"/>
              <w:left w:val="nil"/>
              <w:bottom w:val="nil"/>
              <w:right w:val="nil"/>
            </w:tcBorders>
            <w:shd w:val="clear" w:color="auto" w:fill="auto"/>
            <w:noWrap/>
            <w:vAlign w:val="center"/>
            <w:hideMark/>
          </w:tcPr>
          <w:p w14:paraId="54CF123A"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Model 1</w:t>
            </w:r>
          </w:p>
        </w:tc>
        <w:tc>
          <w:tcPr>
            <w:tcW w:w="1200" w:type="dxa"/>
            <w:tcBorders>
              <w:top w:val="single" w:sz="4" w:space="0" w:color="auto"/>
              <w:left w:val="nil"/>
              <w:bottom w:val="nil"/>
              <w:right w:val="nil"/>
            </w:tcBorders>
            <w:shd w:val="clear" w:color="auto" w:fill="auto"/>
            <w:noWrap/>
            <w:vAlign w:val="center"/>
            <w:hideMark/>
          </w:tcPr>
          <w:p w14:paraId="26FB252C"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Model 2</w:t>
            </w:r>
          </w:p>
        </w:tc>
      </w:tr>
      <w:tr w:rsidR="00EF1D3F" w:rsidRPr="004C530C" w14:paraId="15390348" w14:textId="77777777" w:rsidTr="00DC65D6">
        <w:trPr>
          <w:trHeight w:val="20"/>
        </w:trPr>
        <w:tc>
          <w:tcPr>
            <w:tcW w:w="3840" w:type="dxa"/>
            <w:tcBorders>
              <w:top w:val="nil"/>
              <w:left w:val="nil"/>
              <w:bottom w:val="single" w:sz="4" w:space="0" w:color="auto"/>
              <w:right w:val="nil"/>
            </w:tcBorders>
            <w:shd w:val="clear" w:color="auto" w:fill="auto"/>
            <w:noWrap/>
            <w:vAlign w:val="center"/>
            <w:hideMark/>
          </w:tcPr>
          <w:p w14:paraId="6FEEBF16"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 </w:t>
            </w:r>
          </w:p>
        </w:tc>
        <w:tc>
          <w:tcPr>
            <w:tcW w:w="1200" w:type="dxa"/>
            <w:tcBorders>
              <w:top w:val="nil"/>
              <w:left w:val="nil"/>
              <w:bottom w:val="single" w:sz="4" w:space="0" w:color="auto"/>
              <w:right w:val="nil"/>
            </w:tcBorders>
            <w:shd w:val="clear" w:color="auto" w:fill="auto"/>
            <w:noWrap/>
            <w:vAlign w:val="center"/>
            <w:hideMark/>
          </w:tcPr>
          <w:p w14:paraId="3525A827"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Logit</w:t>
            </w:r>
          </w:p>
        </w:tc>
        <w:tc>
          <w:tcPr>
            <w:tcW w:w="1200" w:type="dxa"/>
            <w:tcBorders>
              <w:top w:val="nil"/>
              <w:left w:val="nil"/>
              <w:bottom w:val="single" w:sz="4" w:space="0" w:color="auto"/>
              <w:right w:val="nil"/>
            </w:tcBorders>
            <w:shd w:val="clear" w:color="auto" w:fill="auto"/>
            <w:noWrap/>
            <w:vAlign w:val="center"/>
            <w:hideMark/>
          </w:tcPr>
          <w:p w14:paraId="00B0AF12" w14:textId="77777777" w:rsidR="00EF1D3F" w:rsidRPr="004C530C" w:rsidRDefault="00EF1D3F" w:rsidP="00DC65D6">
            <w:pPr>
              <w:spacing w:after="0" w:line="240" w:lineRule="auto"/>
              <w:jc w:val="center"/>
              <w:rPr>
                <w:rFonts w:ascii="Garamond" w:eastAsia="Times New Roman" w:hAnsi="Garamond" w:cs="Calibri"/>
                <w:b/>
                <w:bCs/>
                <w:color w:val="000000"/>
              </w:rPr>
            </w:pPr>
            <w:r w:rsidRPr="004C530C">
              <w:rPr>
                <w:rFonts w:ascii="Garamond" w:eastAsia="Times New Roman" w:hAnsi="Garamond" w:cs="Calibri"/>
                <w:b/>
                <w:bCs/>
                <w:color w:val="000000"/>
              </w:rPr>
              <w:t>Rare Logit</w:t>
            </w:r>
          </w:p>
        </w:tc>
      </w:tr>
      <w:tr w:rsidR="00EF1D3F" w:rsidRPr="004C530C" w14:paraId="0DD286CD" w14:textId="77777777" w:rsidTr="00DC65D6">
        <w:trPr>
          <w:trHeight w:val="20"/>
        </w:trPr>
        <w:tc>
          <w:tcPr>
            <w:tcW w:w="3840" w:type="dxa"/>
            <w:tcBorders>
              <w:top w:val="nil"/>
              <w:left w:val="nil"/>
              <w:bottom w:val="single" w:sz="4" w:space="0" w:color="auto"/>
              <w:right w:val="nil"/>
            </w:tcBorders>
            <w:shd w:val="clear" w:color="auto" w:fill="auto"/>
            <w:noWrap/>
            <w:vAlign w:val="center"/>
            <w:hideMark/>
          </w:tcPr>
          <w:p w14:paraId="473FAE69" w14:textId="77777777" w:rsidR="00EF1D3F" w:rsidRPr="004C530C" w:rsidRDefault="00EF1D3F" w:rsidP="00DC65D6">
            <w:pPr>
              <w:spacing w:after="0" w:line="240" w:lineRule="auto"/>
              <w:rPr>
                <w:rFonts w:ascii="Garamond" w:eastAsia="Times New Roman" w:hAnsi="Garamond" w:cs="Calibri"/>
                <w:i/>
                <w:iCs/>
                <w:color w:val="000000"/>
              </w:rPr>
            </w:pPr>
            <w:r w:rsidRPr="004C530C">
              <w:rPr>
                <w:rFonts w:ascii="Garamond" w:eastAsia="Times New Roman" w:hAnsi="Garamond" w:cs="Calibri"/>
                <w:i/>
                <w:iCs/>
                <w:color w:val="000000"/>
              </w:rPr>
              <w:t>Turf wars</w:t>
            </w:r>
          </w:p>
        </w:tc>
        <w:tc>
          <w:tcPr>
            <w:tcW w:w="1200" w:type="dxa"/>
            <w:tcBorders>
              <w:top w:val="nil"/>
              <w:left w:val="nil"/>
              <w:bottom w:val="single" w:sz="4" w:space="0" w:color="auto"/>
              <w:right w:val="nil"/>
            </w:tcBorders>
            <w:shd w:val="clear" w:color="auto" w:fill="auto"/>
            <w:noWrap/>
            <w:vAlign w:val="center"/>
            <w:hideMark/>
          </w:tcPr>
          <w:p w14:paraId="7112BB89" w14:textId="77777777" w:rsidR="00EF1D3F" w:rsidRPr="004C530C" w:rsidRDefault="00EF1D3F" w:rsidP="00DC65D6">
            <w:pPr>
              <w:spacing w:after="0" w:line="240" w:lineRule="auto"/>
              <w:jc w:val="center"/>
              <w:rPr>
                <w:rFonts w:ascii="Garamond" w:eastAsia="Times New Roman" w:hAnsi="Garamond" w:cs="Calibri"/>
                <w:i/>
                <w:iCs/>
                <w:color w:val="000000"/>
              </w:rPr>
            </w:pPr>
            <w:r w:rsidRPr="004C530C">
              <w:rPr>
                <w:rFonts w:ascii="Garamond" w:eastAsia="Times New Roman" w:hAnsi="Garamond" w:cs="Calibri"/>
                <w:i/>
                <w:iCs/>
                <w:color w:val="000000"/>
              </w:rPr>
              <w:t> </w:t>
            </w:r>
          </w:p>
        </w:tc>
        <w:tc>
          <w:tcPr>
            <w:tcW w:w="1200" w:type="dxa"/>
            <w:tcBorders>
              <w:top w:val="nil"/>
              <w:left w:val="nil"/>
              <w:bottom w:val="single" w:sz="4" w:space="0" w:color="auto"/>
              <w:right w:val="nil"/>
            </w:tcBorders>
            <w:shd w:val="clear" w:color="auto" w:fill="auto"/>
            <w:noWrap/>
            <w:vAlign w:val="center"/>
            <w:hideMark/>
          </w:tcPr>
          <w:p w14:paraId="76B16091" w14:textId="77777777" w:rsidR="00EF1D3F" w:rsidRPr="004C530C" w:rsidRDefault="00EF1D3F" w:rsidP="00DC65D6">
            <w:pPr>
              <w:spacing w:after="0" w:line="240" w:lineRule="auto"/>
              <w:jc w:val="center"/>
              <w:rPr>
                <w:rFonts w:ascii="Garamond" w:eastAsia="Times New Roman" w:hAnsi="Garamond" w:cs="Calibri"/>
                <w:i/>
                <w:iCs/>
                <w:color w:val="000000"/>
              </w:rPr>
            </w:pPr>
            <w:r w:rsidRPr="004C530C">
              <w:rPr>
                <w:rFonts w:ascii="Garamond" w:eastAsia="Times New Roman" w:hAnsi="Garamond" w:cs="Calibri"/>
                <w:i/>
                <w:iCs/>
                <w:color w:val="000000"/>
              </w:rPr>
              <w:t> </w:t>
            </w:r>
          </w:p>
        </w:tc>
      </w:tr>
      <w:tr w:rsidR="00EF1D3F" w:rsidRPr="004C530C" w14:paraId="1D2020B4" w14:textId="77777777" w:rsidTr="00DC65D6">
        <w:trPr>
          <w:trHeight w:val="20"/>
        </w:trPr>
        <w:tc>
          <w:tcPr>
            <w:tcW w:w="3840" w:type="dxa"/>
            <w:tcBorders>
              <w:top w:val="nil"/>
              <w:left w:val="nil"/>
              <w:bottom w:val="nil"/>
              <w:right w:val="nil"/>
            </w:tcBorders>
            <w:shd w:val="clear" w:color="auto" w:fill="auto"/>
            <w:vAlign w:val="center"/>
            <w:hideMark/>
          </w:tcPr>
          <w:p w14:paraId="608A1E25"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Drug-related murder rate (CVM)^</w:t>
            </w:r>
          </w:p>
        </w:tc>
        <w:tc>
          <w:tcPr>
            <w:tcW w:w="1200" w:type="dxa"/>
            <w:tcBorders>
              <w:top w:val="nil"/>
              <w:left w:val="nil"/>
              <w:bottom w:val="nil"/>
              <w:right w:val="nil"/>
            </w:tcBorders>
            <w:shd w:val="clear" w:color="auto" w:fill="auto"/>
            <w:noWrap/>
            <w:vAlign w:val="bottom"/>
            <w:hideMark/>
          </w:tcPr>
          <w:p w14:paraId="2DB349B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0.401***</w:t>
            </w:r>
          </w:p>
        </w:tc>
        <w:tc>
          <w:tcPr>
            <w:tcW w:w="1200" w:type="dxa"/>
            <w:tcBorders>
              <w:top w:val="nil"/>
              <w:left w:val="nil"/>
              <w:bottom w:val="nil"/>
              <w:right w:val="nil"/>
            </w:tcBorders>
            <w:shd w:val="clear" w:color="auto" w:fill="auto"/>
            <w:noWrap/>
            <w:vAlign w:val="bottom"/>
            <w:hideMark/>
          </w:tcPr>
          <w:p w14:paraId="521F7D8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0.332**</w:t>
            </w:r>
          </w:p>
        </w:tc>
      </w:tr>
      <w:tr w:rsidR="00EF1D3F" w:rsidRPr="004C530C" w14:paraId="3339DEC7" w14:textId="77777777" w:rsidTr="00DC65D6">
        <w:trPr>
          <w:trHeight w:val="20"/>
        </w:trPr>
        <w:tc>
          <w:tcPr>
            <w:tcW w:w="3840" w:type="dxa"/>
            <w:tcBorders>
              <w:top w:val="nil"/>
              <w:left w:val="nil"/>
              <w:bottom w:val="nil"/>
              <w:right w:val="nil"/>
            </w:tcBorders>
            <w:shd w:val="clear" w:color="auto" w:fill="auto"/>
            <w:noWrap/>
            <w:vAlign w:val="center"/>
            <w:hideMark/>
          </w:tcPr>
          <w:p w14:paraId="74935FBF"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54CD11B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[0.110]</w:t>
            </w:r>
          </w:p>
        </w:tc>
        <w:tc>
          <w:tcPr>
            <w:tcW w:w="1200" w:type="dxa"/>
            <w:tcBorders>
              <w:top w:val="nil"/>
              <w:left w:val="nil"/>
              <w:bottom w:val="nil"/>
              <w:right w:val="nil"/>
            </w:tcBorders>
            <w:shd w:val="clear" w:color="auto" w:fill="auto"/>
            <w:noWrap/>
            <w:vAlign w:val="bottom"/>
            <w:hideMark/>
          </w:tcPr>
          <w:p w14:paraId="5A2E09C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[0.131]</w:t>
            </w:r>
          </w:p>
        </w:tc>
      </w:tr>
      <w:tr w:rsidR="00EF1D3F" w:rsidRPr="004C530C" w14:paraId="4FF8BC0D" w14:textId="77777777" w:rsidTr="00DC65D6">
        <w:trPr>
          <w:trHeight w:val="20"/>
        </w:trPr>
        <w:tc>
          <w:tcPr>
            <w:tcW w:w="3840" w:type="dxa"/>
            <w:tcBorders>
              <w:top w:val="single" w:sz="4" w:space="0" w:color="auto"/>
              <w:left w:val="nil"/>
              <w:bottom w:val="single" w:sz="4" w:space="0" w:color="auto"/>
              <w:right w:val="nil"/>
            </w:tcBorders>
            <w:shd w:val="clear" w:color="000000" w:fill="FFFFFF"/>
            <w:noWrap/>
            <w:vAlign w:val="center"/>
            <w:hideMark/>
          </w:tcPr>
          <w:p w14:paraId="4E2436B5" w14:textId="77777777" w:rsidR="00EF1D3F" w:rsidRPr="004C530C" w:rsidRDefault="00EF1D3F" w:rsidP="00DC65D6">
            <w:pPr>
              <w:spacing w:after="0" w:line="240" w:lineRule="auto"/>
              <w:rPr>
                <w:rFonts w:ascii="Garamond" w:eastAsia="Times New Roman" w:hAnsi="Garamond" w:cs="Calibri"/>
                <w:i/>
                <w:iCs/>
                <w:color w:val="000000"/>
              </w:rPr>
            </w:pPr>
            <w:r>
              <w:rPr>
                <w:rFonts w:ascii="Garamond" w:eastAsia="Times New Roman" w:hAnsi="Garamond" w:cs="Calibri"/>
                <w:i/>
                <w:iCs/>
                <w:color w:val="000000"/>
              </w:rPr>
              <w:t>Vertical partisan f</w:t>
            </w:r>
            <w:r w:rsidRPr="004C530C">
              <w:rPr>
                <w:rFonts w:ascii="Garamond" w:eastAsia="Times New Roman" w:hAnsi="Garamond" w:cs="Calibri"/>
                <w:i/>
                <w:iCs/>
                <w:color w:val="000000"/>
              </w:rPr>
              <w:t>ragmentation</w:t>
            </w:r>
          </w:p>
        </w:tc>
        <w:tc>
          <w:tcPr>
            <w:tcW w:w="1200" w:type="dxa"/>
            <w:tcBorders>
              <w:top w:val="single" w:sz="4" w:space="0" w:color="auto"/>
              <w:left w:val="nil"/>
              <w:bottom w:val="single" w:sz="4" w:space="0" w:color="auto"/>
              <w:right w:val="nil"/>
            </w:tcBorders>
            <w:shd w:val="clear" w:color="auto" w:fill="auto"/>
            <w:noWrap/>
            <w:vAlign w:val="bottom"/>
            <w:hideMark/>
          </w:tcPr>
          <w:p w14:paraId="5E53A35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 </w:t>
            </w:r>
          </w:p>
        </w:tc>
        <w:tc>
          <w:tcPr>
            <w:tcW w:w="1200" w:type="dxa"/>
            <w:tcBorders>
              <w:top w:val="single" w:sz="4" w:space="0" w:color="auto"/>
              <w:left w:val="nil"/>
              <w:bottom w:val="single" w:sz="4" w:space="0" w:color="auto"/>
              <w:right w:val="nil"/>
            </w:tcBorders>
            <w:shd w:val="clear" w:color="auto" w:fill="auto"/>
            <w:noWrap/>
            <w:vAlign w:val="bottom"/>
            <w:hideMark/>
          </w:tcPr>
          <w:p w14:paraId="49AEBF9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 </w:t>
            </w:r>
          </w:p>
        </w:tc>
      </w:tr>
      <w:tr w:rsidR="00EF1D3F" w:rsidRPr="004C530C" w14:paraId="2ADA2E57" w14:textId="77777777" w:rsidTr="00DC65D6">
        <w:trPr>
          <w:trHeight w:val="20"/>
        </w:trPr>
        <w:tc>
          <w:tcPr>
            <w:tcW w:w="3840" w:type="dxa"/>
            <w:tcBorders>
              <w:top w:val="nil"/>
              <w:left w:val="nil"/>
              <w:bottom w:val="nil"/>
              <w:right w:val="nil"/>
            </w:tcBorders>
            <w:shd w:val="clear" w:color="auto" w:fill="auto"/>
            <w:noWrap/>
            <w:vAlign w:val="center"/>
            <w:hideMark/>
          </w:tcPr>
          <w:p w14:paraId="14532168"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PAN-PAN-PRI</w:t>
            </w:r>
          </w:p>
        </w:tc>
        <w:tc>
          <w:tcPr>
            <w:tcW w:w="1200" w:type="dxa"/>
            <w:tcBorders>
              <w:top w:val="nil"/>
              <w:left w:val="nil"/>
              <w:bottom w:val="nil"/>
              <w:right w:val="nil"/>
            </w:tcBorders>
            <w:shd w:val="clear" w:color="auto" w:fill="auto"/>
            <w:noWrap/>
            <w:vAlign w:val="bottom"/>
            <w:hideMark/>
          </w:tcPr>
          <w:p w14:paraId="54354EB9"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0.415</w:t>
            </w:r>
          </w:p>
        </w:tc>
        <w:tc>
          <w:tcPr>
            <w:tcW w:w="1200" w:type="dxa"/>
            <w:tcBorders>
              <w:top w:val="nil"/>
              <w:left w:val="nil"/>
              <w:bottom w:val="nil"/>
              <w:right w:val="nil"/>
            </w:tcBorders>
            <w:shd w:val="clear" w:color="auto" w:fill="auto"/>
            <w:noWrap/>
            <w:vAlign w:val="bottom"/>
            <w:hideMark/>
          </w:tcPr>
          <w:p w14:paraId="1C19F509"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0.424</w:t>
            </w:r>
          </w:p>
        </w:tc>
      </w:tr>
      <w:tr w:rsidR="00EF1D3F" w:rsidRPr="004C530C" w14:paraId="1A8F5626" w14:textId="77777777" w:rsidTr="00DC65D6">
        <w:trPr>
          <w:trHeight w:val="20"/>
        </w:trPr>
        <w:tc>
          <w:tcPr>
            <w:tcW w:w="3840" w:type="dxa"/>
            <w:tcBorders>
              <w:top w:val="nil"/>
              <w:left w:val="nil"/>
              <w:bottom w:val="nil"/>
              <w:right w:val="nil"/>
            </w:tcBorders>
            <w:shd w:val="clear" w:color="auto" w:fill="auto"/>
            <w:noWrap/>
            <w:vAlign w:val="center"/>
            <w:hideMark/>
          </w:tcPr>
          <w:p w14:paraId="0F3091CE"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55564947"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[0.483]</w:t>
            </w:r>
          </w:p>
        </w:tc>
        <w:tc>
          <w:tcPr>
            <w:tcW w:w="1200" w:type="dxa"/>
            <w:tcBorders>
              <w:top w:val="nil"/>
              <w:left w:val="nil"/>
              <w:bottom w:val="nil"/>
              <w:right w:val="nil"/>
            </w:tcBorders>
            <w:shd w:val="clear" w:color="auto" w:fill="auto"/>
            <w:noWrap/>
            <w:vAlign w:val="bottom"/>
            <w:hideMark/>
          </w:tcPr>
          <w:p w14:paraId="6A460088"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[0.447]</w:t>
            </w:r>
          </w:p>
        </w:tc>
      </w:tr>
      <w:tr w:rsidR="00EF1D3F" w:rsidRPr="004C530C" w14:paraId="2B080B9B" w14:textId="77777777" w:rsidTr="00DC65D6">
        <w:trPr>
          <w:trHeight w:val="20"/>
        </w:trPr>
        <w:tc>
          <w:tcPr>
            <w:tcW w:w="3840" w:type="dxa"/>
            <w:tcBorders>
              <w:top w:val="nil"/>
              <w:left w:val="nil"/>
              <w:bottom w:val="nil"/>
              <w:right w:val="nil"/>
            </w:tcBorders>
            <w:shd w:val="clear" w:color="auto" w:fill="auto"/>
            <w:noWrap/>
            <w:vAlign w:val="center"/>
            <w:hideMark/>
          </w:tcPr>
          <w:p w14:paraId="07E8A322"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PAN-PAN-PRD</w:t>
            </w:r>
          </w:p>
        </w:tc>
        <w:tc>
          <w:tcPr>
            <w:tcW w:w="1200" w:type="dxa"/>
            <w:tcBorders>
              <w:top w:val="nil"/>
              <w:left w:val="nil"/>
              <w:bottom w:val="nil"/>
              <w:right w:val="nil"/>
            </w:tcBorders>
            <w:shd w:val="clear" w:color="auto" w:fill="auto"/>
            <w:noWrap/>
            <w:vAlign w:val="bottom"/>
            <w:hideMark/>
          </w:tcPr>
          <w:p w14:paraId="02C71317"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-0.06</w:t>
            </w:r>
          </w:p>
        </w:tc>
        <w:tc>
          <w:tcPr>
            <w:tcW w:w="1200" w:type="dxa"/>
            <w:tcBorders>
              <w:top w:val="nil"/>
              <w:left w:val="nil"/>
              <w:bottom w:val="nil"/>
              <w:right w:val="nil"/>
            </w:tcBorders>
            <w:shd w:val="clear" w:color="auto" w:fill="auto"/>
            <w:noWrap/>
            <w:vAlign w:val="bottom"/>
            <w:hideMark/>
          </w:tcPr>
          <w:p w14:paraId="2A3414A0"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0.382</w:t>
            </w:r>
          </w:p>
        </w:tc>
      </w:tr>
      <w:tr w:rsidR="00EF1D3F" w:rsidRPr="004C530C" w14:paraId="54D07E96" w14:textId="77777777" w:rsidTr="00DC65D6">
        <w:trPr>
          <w:trHeight w:val="20"/>
        </w:trPr>
        <w:tc>
          <w:tcPr>
            <w:tcW w:w="3840" w:type="dxa"/>
            <w:tcBorders>
              <w:top w:val="nil"/>
              <w:left w:val="nil"/>
              <w:bottom w:val="nil"/>
              <w:right w:val="nil"/>
            </w:tcBorders>
            <w:shd w:val="clear" w:color="auto" w:fill="auto"/>
            <w:noWrap/>
            <w:vAlign w:val="center"/>
            <w:hideMark/>
          </w:tcPr>
          <w:p w14:paraId="6EB1FCBE"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3D39F12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[1.100]</w:t>
            </w:r>
          </w:p>
        </w:tc>
        <w:tc>
          <w:tcPr>
            <w:tcW w:w="1200" w:type="dxa"/>
            <w:tcBorders>
              <w:top w:val="nil"/>
              <w:left w:val="nil"/>
              <w:bottom w:val="nil"/>
              <w:right w:val="nil"/>
            </w:tcBorders>
            <w:shd w:val="clear" w:color="auto" w:fill="auto"/>
            <w:noWrap/>
            <w:vAlign w:val="bottom"/>
            <w:hideMark/>
          </w:tcPr>
          <w:p w14:paraId="72E4F679"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[1.018]</w:t>
            </w:r>
          </w:p>
        </w:tc>
      </w:tr>
      <w:tr w:rsidR="00EF1D3F" w:rsidRPr="004C530C" w14:paraId="2F2464D4" w14:textId="77777777" w:rsidTr="00DC65D6">
        <w:trPr>
          <w:trHeight w:val="20"/>
        </w:trPr>
        <w:tc>
          <w:tcPr>
            <w:tcW w:w="3840" w:type="dxa"/>
            <w:tcBorders>
              <w:top w:val="nil"/>
              <w:left w:val="nil"/>
              <w:bottom w:val="nil"/>
              <w:right w:val="nil"/>
            </w:tcBorders>
            <w:shd w:val="clear" w:color="auto" w:fill="auto"/>
            <w:noWrap/>
            <w:vAlign w:val="center"/>
            <w:hideMark/>
          </w:tcPr>
          <w:p w14:paraId="5D95196E"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PAN-PRI-PAN</w:t>
            </w:r>
          </w:p>
        </w:tc>
        <w:tc>
          <w:tcPr>
            <w:tcW w:w="1200" w:type="dxa"/>
            <w:tcBorders>
              <w:top w:val="nil"/>
              <w:left w:val="nil"/>
              <w:bottom w:val="nil"/>
              <w:right w:val="nil"/>
            </w:tcBorders>
            <w:shd w:val="clear" w:color="auto" w:fill="auto"/>
            <w:noWrap/>
            <w:vAlign w:val="bottom"/>
            <w:hideMark/>
          </w:tcPr>
          <w:p w14:paraId="3BFD821A"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0.537</w:t>
            </w:r>
          </w:p>
        </w:tc>
        <w:tc>
          <w:tcPr>
            <w:tcW w:w="1200" w:type="dxa"/>
            <w:tcBorders>
              <w:top w:val="nil"/>
              <w:left w:val="nil"/>
              <w:bottom w:val="nil"/>
              <w:right w:val="nil"/>
            </w:tcBorders>
            <w:shd w:val="clear" w:color="auto" w:fill="auto"/>
            <w:noWrap/>
            <w:vAlign w:val="bottom"/>
            <w:hideMark/>
          </w:tcPr>
          <w:p w14:paraId="077503EE"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0.427</w:t>
            </w:r>
          </w:p>
        </w:tc>
      </w:tr>
      <w:tr w:rsidR="00EF1D3F" w:rsidRPr="004C530C" w14:paraId="4D0F764D" w14:textId="77777777" w:rsidTr="00DC65D6">
        <w:trPr>
          <w:trHeight w:val="20"/>
        </w:trPr>
        <w:tc>
          <w:tcPr>
            <w:tcW w:w="3840" w:type="dxa"/>
            <w:tcBorders>
              <w:top w:val="nil"/>
              <w:left w:val="nil"/>
              <w:bottom w:val="nil"/>
              <w:right w:val="nil"/>
            </w:tcBorders>
            <w:shd w:val="clear" w:color="auto" w:fill="auto"/>
            <w:noWrap/>
            <w:vAlign w:val="center"/>
            <w:hideMark/>
          </w:tcPr>
          <w:p w14:paraId="223CE8AB"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15B69ED2"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[0.433]</w:t>
            </w:r>
          </w:p>
        </w:tc>
        <w:tc>
          <w:tcPr>
            <w:tcW w:w="1200" w:type="dxa"/>
            <w:tcBorders>
              <w:top w:val="nil"/>
              <w:left w:val="nil"/>
              <w:bottom w:val="nil"/>
              <w:right w:val="nil"/>
            </w:tcBorders>
            <w:shd w:val="clear" w:color="auto" w:fill="auto"/>
            <w:noWrap/>
            <w:vAlign w:val="bottom"/>
            <w:hideMark/>
          </w:tcPr>
          <w:p w14:paraId="19F7A8B2"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[0.424]</w:t>
            </w:r>
          </w:p>
        </w:tc>
      </w:tr>
      <w:tr w:rsidR="00EF1D3F" w:rsidRPr="004C530C" w14:paraId="180DD0D5" w14:textId="77777777" w:rsidTr="00DC65D6">
        <w:trPr>
          <w:trHeight w:val="20"/>
        </w:trPr>
        <w:tc>
          <w:tcPr>
            <w:tcW w:w="3840" w:type="dxa"/>
            <w:tcBorders>
              <w:top w:val="nil"/>
              <w:left w:val="nil"/>
              <w:bottom w:val="nil"/>
              <w:right w:val="nil"/>
            </w:tcBorders>
            <w:shd w:val="clear" w:color="auto" w:fill="auto"/>
            <w:noWrap/>
            <w:vAlign w:val="center"/>
            <w:hideMark/>
          </w:tcPr>
          <w:p w14:paraId="653A464E"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PAN-PRI-PRI</w:t>
            </w:r>
          </w:p>
        </w:tc>
        <w:tc>
          <w:tcPr>
            <w:tcW w:w="1200" w:type="dxa"/>
            <w:tcBorders>
              <w:top w:val="nil"/>
              <w:left w:val="nil"/>
              <w:bottom w:val="nil"/>
              <w:right w:val="nil"/>
            </w:tcBorders>
            <w:shd w:val="clear" w:color="auto" w:fill="auto"/>
            <w:noWrap/>
            <w:vAlign w:val="bottom"/>
            <w:hideMark/>
          </w:tcPr>
          <w:p w14:paraId="07A8127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0.753*</w:t>
            </w:r>
          </w:p>
        </w:tc>
        <w:tc>
          <w:tcPr>
            <w:tcW w:w="1200" w:type="dxa"/>
            <w:tcBorders>
              <w:top w:val="nil"/>
              <w:left w:val="nil"/>
              <w:bottom w:val="nil"/>
              <w:right w:val="nil"/>
            </w:tcBorders>
            <w:shd w:val="clear" w:color="auto" w:fill="auto"/>
            <w:noWrap/>
            <w:vAlign w:val="bottom"/>
            <w:hideMark/>
          </w:tcPr>
          <w:p w14:paraId="55D99AA0"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0.693*</w:t>
            </w:r>
          </w:p>
        </w:tc>
      </w:tr>
      <w:tr w:rsidR="00EF1D3F" w:rsidRPr="004C530C" w14:paraId="71B34ADA" w14:textId="77777777" w:rsidTr="00DC65D6">
        <w:trPr>
          <w:trHeight w:val="20"/>
        </w:trPr>
        <w:tc>
          <w:tcPr>
            <w:tcW w:w="3840" w:type="dxa"/>
            <w:tcBorders>
              <w:top w:val="nil"/>
              <w:left w:val="nil"/>
              <w:bottom w:val="nil"/>
              <w:right w:val="nil"/>
            </w:tcBorders>
            <w:shd w:val="clear" w:color="auto" w:fill="auto"/>
            <w:noWrap/>
            <w:vAlign w:val="center"/>
            <w:hideMark/>
          </w:tcPr>
          <w:p w14:paraId="651133A6"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5FF750F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[0.399]</w:t>
            </w:r>
          </w:p>
        </w:tc>
        <w:tc>
          <w:tcPr>
            <w:tcW w:w="1200" w:type="dxa"/>
            <w:tcBorders>
              <w:top w:val="nil"/>
              <w:left w:val="nil"/>
              <w:bottom w:val="nil"/>
              <w:right w:val="nil"/>
            </w:tcBorders>
            <w:shd w:val="clear" w:color="auto" w:fill="auto"/>
            <w:noWrap/>
            <w:vAlign w:val="bottom"/>
            <w:hideMark/>
          </w:tcPr>
          <w:p w14:paraId="2DE97ED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[0.371]</w:t>
            </w:r>
          </w:p>
        </w:tc>
      </w:tr>
      <w:tr w:rsidR="00EF1D3F" w:rsidRPr="004C530C" w14:paraId="24803F58" w14:textId="77777777" w:rsidTr="00DC65D6">
        <w:trPr>
          <w:trHeight w:val="20"/>
        </w:trPr>
        <w:tc>
          <w:tcPr>
            <w:tcW w:w="3840" w:type="dxa"/>
            <w:tcBorders>
              <w:top w:val="nil"/>
              <w:left w:val="nil"/>
              <w:bottom w:val="nil"/>
              <w:right w:val="nil"/>
            </w:tcBorders>
            <w:shd w:val="clear" w:color="auto" w:fill="auto"/>
            <w:noWrap/>
            <w:vAlign w:val="center"/>
            <w:hideMark/>
          </w:tcPr>
          <w:p w14:paraId="064B841C"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PAN-PRI-PRD</w:t>
            </w:r>
          </w:p>
        </w:tc>
        <w:tc>
          <w:tcPr>
            <w:tcW w:w="1200" w:type="dxa"/>
            <w:tcBorders>
              <w:top w:val="nil"/>
              <w:left w:val="nil"/>
              <w:bottom w:val="nil"/>
              <w:right w:val="nil"/>
            </w:tcBorders>
            <w:shd w:val="clear" w:color="auto" w:fill="auto"/>
            <w:noWrap/>
            <w:vAlign w:val="bottom"/>
            <w:hideMark/>
          </w:tcPr>
          <w:p w14:paraId="1A17E3D7"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0.481</w:t>
            </w:r>
          </w:p>
        </w:tc>
        <w:tc>
          <w:tcPr>
            <w:tcW w:w="1200" w:type="dxa"/>
            <w:tcBorders>
              <w:top w:val="nil"/>
              <w:left w:val="nil"/>
              <w:bottom w:val="nil"/>
              <w:right w:val="nil"/>
            </w:tcBorders>
            <w:shd w:val="clear" w:color="auto" w:fill="auto"/>
            <w:noWrap/>
            <w:vAlign w:val="bottom"/>
            <w:hideMark/>
          </w:tcPr>
          <w:p w14:paraId="218C756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0.431</w:t>
            </w:r>
          </w:p>
        </w:tc>
      </w:tr>
      <w:tr w:rsidR="00EF1D3F" w:rsidRPr="004C530C" w14:paraId="57423E76" w14:textId="77777777" w:rsidTr="00DC65D6">
        <w:trPr>
          <w:trHeight w:val="20"/>
        </w:trPr>
        <w:tc>
          <w:tcPr>
            <w:tcW w:w="3840" w:type="dxa"/>
            <w:tcBorders>
              <w:top w:val="nil"/>
              <w:left w:val="nil"/>
              <w:bottom w:val="nil"/>
              <w:right w:val="nil"/>
            </w:tcBorders>
            <w:shd w:val="clear" w:color="auto" w:fill="auto"/>
            <w:noWrap/>
            <w:vAlign w:val="center"/>
            <w:hideMark/>
          </w:tcPr>
          <w:p w14:paraId="670AC76B"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23913368"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[0.534]</w:t>
            </w:r>
          </w:p>
        </w:tc>
        <w:tc>
          <w:tcPr>
            <w:tcW w:w="1200" w:type="dxa"/>
            <w:tcBorders>
              <w:top w:val="nil"/>
              <w:left w:val="nil"/>
              <w:bottom w:val="nil"/>
              <w:right w:val="nil"/>
            </w:tcBorders>
            <w:shd w:val="clear" w:color="auto" w:fill="auto"/>
            <w:noWrap/>
            <w:vAlign w:val="bottom"/>
            <w:hideMark/>
          </w:tcPr>
          <w:p w14:paraId="146DE6F7"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[0.506]</w:t>
            </w:r>
          </w:p>
        </w:tc>
      </w:tr>
      <w:tr w:rsidR="00EF1D3F" w:rsidRPr="004C530C" w14:paraId="6BDB6AC1" w14:textId="77777777" w:rsidTr="00DC65D6">
        <w:trPr>
          <w:trHeight w:val="20"/>
        </w:trPr>
        <w:tc>
          <w:tcPr>
            <w:tcW w:w="3840" w:type="dxa"/>
            <w:tcBorders>
              <w:top w:val="nil"/>
              <w:left w:val="nil"/>
              <w:bottom w:val="nil"/>
              <w:right w:val="nil"/>
            </w:tcBorders>
            <w:shd w:val="clear" w:color="auto" w:fill="auto"/>
            <w:noWrap/>
            <w:vAlign w:val="center"/>
            <w:hideMark/>
          </w:tcPr>
          <w:p w14:paraId="23631F91"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PAN-PRD-PAN</w:t>
            </w:r>
          </w:p>
        </w:tc>
        <w:tc>
          <w:tcPr>
            <w:tcW w:w="1200" w:type="dxa"/>
            <w:tcBorders>
              <w:top w:val="nil"/>
              <w:left w:val="nil"/>
              <w:bottom w:val="nil"/>
              <w:right w:val="nil"/>
            </w:tcBorders>
            <w:shd w:val="clear" w:color="auto" w:fill="auto"/>
            <w:noWrap/>
            <w:vAlign w:val="bottom"/>
            <w:hideMark/>
          </w:tcPr>
          <w:p w14:paraId="2CBECA5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1.468***</w:t>
            </w:r>
          </w:p>
        </w:tc>
        <w:tc>
          <w:tcPr>
            <w:tcW w:w="1200" w:type="dxa"/>
            <w:tcBorders>
              <w:top w:val="nil"/>
              <w:left w:val="nil"/>
              <w:bottom w:val="nil"/>
              <w:right w:val="nil"/>
            </w:tcBorders>
            <w:shd w:val="clear" w:color="auto" w:fill="auto"/>
            <w:noWrap/>
            <w:vAlign w:val="bottom"/>
            <w:hideMark/>
          </w:tcPr>
          <w:p w14:paraId="2E64CB63"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1.450***</w:t>
            </w:r>
          </w:p>
        </w:tc>
      </w:tr>
      <w:tr w:rsidR="00EF1D3F" w:rsidRPr="004C530C" w14:paraId="22E1391B" w14:textId="77777777" w:rsidTr="00DC65D6">
        <w:trPr>
          <w:trHeight w:val="20"/>
        </w:trPr>
        <w:tc>
          <w:tcPr>
            <w:tcW w:w="3840" w:type="dxa"/>
            <w:tcBorders>
              <w:top w:val="nil"/>
              <w:left w:val="nil"/>
              <w:bottom w:val="nil"/>
              <w:right w:val="nil"/>
            </w:tcBorders>
            <w:shd w:val="clear" w:color="auto" w:fill="auto"/>
            <w:noWrap/>
            <w:vAlign w:val="center"/>
            <w:hideMark/>
          </w:tcPr>
          <w:p w14:paraId="5B9B6D7D"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74C44C8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[0.563]</w:t>
            </w:r>
          </w:p>
        </w:tc>
        <w:tc>
          <w:tcPr>
            <w:tcW w:w="1200" w:type="dxa"/>
            <w:tcBorders>
              <w:top w:val="nil"/>
              <w:left w:val="nil"/>
              <w:bottom w:val="nil"/>
              <w:right w:val="nil"/>
            </w:tcBorders>
            <w:shd w:val="clear" w:color="auto" w:fill="auto"/>
            <w:noWrap/>
            <w:vAlign w:val="bottom"/>
            <w:hideMark/>
          </w:tcPr>
          <w:p w14:paraId="29B86AAD"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[0.487]</w:t>
            </w:r>
          </w:p>
        </w:tc>
      </w:tr>
      <w:tr w:rsidR="00EF1D3F" w:rsidRPr="004C530C" w14:paraId="49D079A2" w14:textId="77777777" w:rsidTr="00DC65D6">
        <w:trPr>
          <w:trHeight w:val="20"/>
        </w:trPr>
        <w:tc>
          <w:tcPr>
            <w:tcW w:w="3840" w:type="dxa"/>
            <w:tcBorders>
              <w:top w:val="nil"/>
              <w:left w:val="nil"/>
              <w:bottom w:val="nil"/>
              <w:right w:val="nil"/>
            </w:tcBorders>
            <w:shd w:val="clear" w:color="auto" w:fill="auto"/>
            <w:noWrap/>
            <w:vAlign w:val="center"/>
            <w:hideMark/>
          </w:tcPr>
          <w:p w14:paraId="35587483"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PAN-PRD-PRI</w:t>
            </w:r>
          </w:p>
        </w:tc>
        <w:tc>
          <w:tcPr>
            <w:tcW w:w="1200" w:type="dxa"/>
            <w:tcBorders>
              <w:top w:val="nil"/>
              <w:left w:val="nil"/>
              <w:bottom w:val="nil"/>
              <w:right w:val="nil"/>
            </w:tcBorders>
            <w:shd w:val="clear" w:color="auto" w:fill="auto"/>
            <w:noWrap/>
            <w:vAlign w:val="bottom"/>
            <w:hideMark/>
          </w:tcPr>
          <w:p w14:paraId="1D7A85CE"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1.758***</w:t>
            </w:r>
          </w:p>
        </w:tc>
        <w:tc>
          <w:tcPr>
            <w:tcW w:w="1200" w:type="dxa"/>
            <w:tcBorders>
              <w:top w:val="nil"/>
              <w:left w:val="nil"/>
              <w:bottom w:val="nil"/>
              <w:right w:val="nil"/>
            </w:tcBorders>
            <w:shd w:val="clear" w:color="auto" w:fill="auto"/>
            <w:noWrap/>
            <w:vAlign w:val="bottom"/>
            <w:hideMark/>
          </w:tcPr>
          <w:p w14:paraId="006BFCDE"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1.687***</w:t>
            </w:r>
          </w:p>
        </w:tc>
      </w:tr>
      <w:tr w:rsidR="00EF1D3F" w:rsidRPr="004C530C" w14:paraId="24D88E70" w14:textId="77777777" w:rsidTr="00DC65D6">
        <w:trPr>
          <w:trHeight w:val="20"/>
        </w:trPr>
        <w:tc>
          <w:tcPr>
            <w:tcW w:w="3840" w:type="dxa"/>
            <w:tcBorders>
              <w:top w:val="nil"/>
              <w:left w:val="nil"/>
              <w:bottom w:val="nil"/>
              <w:right w:val="nil"/>
            </w:tcBorders>
            <w:shd w:val="clear" w:color="auto" w:fill="auto"/>
            <w:noWrap/>
            <w:vAlign w:val="center"/>
            <w:hideMark/>
          </w:tcPr>
          <w:p w14:paraId="5DD72367"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21760CC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[0.459]</w:t>
            </w:r>
          </w:p>
        </w:tc>
        <w:tc>
          <w:tcPr>
            <w:tcW w:w="1200" w:type="dxa"/>
            <w:tcBorders>
              <w:top w:val="nil"/>
              <w:left w:val="nil"/>
              <w:bottom w:val="nil"/>
              <w:right w:val="nil"/>
            </w:tcBorders>
            <w:shd w:val="clear" w:color="auto" w:fill="auto"/>
            <w:noWrap/>
            <w:vAlign w:val="bottom"/>
            <w:hideMark/>
          </w:tcPr>
          <w:p w14:paraId="48D4C00D"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[0.417]</w:t>
            </w:r>
          </w:p>
        </w:tc>
      </w:tr>
      <w:tr w:rsidR="00EF1D3F" w:rsidRPr="004C530C" w14:paraId="5562087C" w14:textId="77777777" w:rsidTr="00DC65D6">
        <w:trPr>
          <w:trHeight w:val="20"/>
        </w:trPr>
        <w:tc>
          <w:tcPr>
            <w:tcW w:w="3840" w:type="dxa"/>
            <w:tcBorders>
              <w:top w:val="nil"/>
              <w:left w:val="nil"/>
              <w:bottom w:val="nil"/>
              <w:right w:val="nil"/>
            </w:tcBorders>
            <w:shd w:val="clear" w:color="auto" w:fill="auto"/>
            <w:noWrap/>
            <w:vAlign w:val="center"/>
            <w:hideMark/>
          </w:tcPr>
          <w:p w14:paraId="22DD1EC1"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PAN-PRD-PRD</w:t>
            </w:r>
          </w:p>
        </w:tc>
        <w:tc>
          <w:tcPr>
            <w:tcW w:w="1200" w:type="dxa"/>
            <w:tcBorders>
              <w:top w:val="nil"/>
              <w:left w:val="nil"/>
              <w:bottom w:val="nil"/>
              <w:right w:val="nil"/>
            </w:tcBorders>
            <w:shd w:val="clear" w:color="auto" w:fill="auto"/>
            <w:noWrap/>
            <w:vAlign w:val="bottom"/>
            <w:hideMark/>
          </w:tcPr>
          <w:p w14:paraId="17F1913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1.763***</w:t>
            </w:r>
          </w:p>
        </w:tc>
        <w:tc>
          <w:tcPr>
            <w:tcW w:w="1200" w:type="dxa"/>
            <w:tcBorders>
              <w:top w:val="nil"/>
              <w:left w:val="nil"/>
              <w:bottom w:val="nil"/>
              <w:right w:val="nil"/>
            </w:tcBorders>
            <w:shd w:val="clear" w:color="auto" w:fill="auto"/>
            <w:noWrap/>
            <w:vAlign w:val="bottom"/>
            <w:hideMark/>
          </w:tcPr>
          <w:p w14:paraId="295C4F7C"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1.714***</w:t>
            </w:r>
          </w:p>
        </w:tc>
      </w:tr>
      <w:tr w:rsidR="00EF1D3F" w:rsidRPr="004C530C" w14:paraId="7FF71BEE" w14:textId="77777777" w:rsidTr="00DC65D6">
        <w:trPr>
          <w:trHeight w:val="20"/>
        </w:trPr>
        <w:tc>
          <w:tcPr>
            <w:tcW w:w="3840" w:type="dxa"/>
            <w:tcBorders>
              <w:top w:val="nil"/>
              <w:left w:val="nil"/>
              <w:bottom w:val="nil"/>
              <w:right w:val="nil"/>
            </w:tcBorders>
            <w:shd w:val="clear" w:color="auto" w:fill="auto"/>
            <w:noWrap/>
            <w:vAlign w:val="bottom"/>
            <w:hideMark/>
          </w:tcPr>
          <w:p w14:paraId="2CEC5EFB"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0304862C"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[0.457]</w:t>
            </w:r>
          </w:p>
        </w:tc>
        <w:tc>
          <w:tcPr>
            <w:tcW w:w="1200" w:type="dxa"/>
            <w:tcBorders>
              <w:top w:val="nil"/>
              <w:left w:val="nil"/>
              <w:bottom w:val="nil"/>
              <w:right w:val="nil"/>
            </w:tcBorders>
            <w:shd w:val="clear" w:color="auto" w:fill="auto"/>
            <w:noWrap/>
            <w:vAlign w:val="bottom"/>
            <w:hideMark/>
          </w:tcPr>
          <w:p w14:paraId="5F9C084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[0.413]</w:t>
            </w:r>
          </w:p>
        </w:tc>
      </w:tr>
      <w:tr w:rsidR="00EF1D3F" w:rsidRPr="004C530C" w14:paraId="405150C1" w14:textId="77777777" w:rsidTr="00DC65D6">
        <w:trPr>
          <w:trHeight w:val="20"/>
        </w:trPr>
        <w:tc>
          <w:tcPr>
            <w:tcW w:w="3840" w:type="dxa"/>
            <w:tcBorders>
              <w:top w:val="single" w:sz="4" w:space="0" w:color="auto"/>
              <w:left w:val="nil"/>
              <w:bottom w:val="single" w:sz="4" w:space="0" w:color="auto"/>
              <w:right w:val="nil"/>
            </w:tcBorders>
            <w:shd w:val="clear" w:color="000000" w:fill="FFFFFF"/>
            <w:noWrap/>
            <w:vAlign w:val="center"/>
            <w:hideMark/>
          </w:tcPr>
          <w:p w14:paraId="45F785E0" w14:textId="77777777" w:rsidR="00EF1D3F" w:rsidRPr="004C530C" w:rsidRDefault="00EF1D3F" w:rsidP="00DC65D6">
            <w:pPr>
              <w:spacing w:after="0" w:line="240" w:lineRule="auto"/>
              <w:rPr>
                <w:rFonts w:ascii="Garamond" w:eastAsia="Times New Roman" w:hAnsi="Garamond" w:cs="Calibri"/>
                <w:i/>
                <w:iCs/>
                <w:color w:val="000000"/>
              </w:rPr>
            </w:pPr>
            <w:r>
              <w:rPr>
                <w:rFonts w:ascii="Garamond" w:eastAsia="Times New Roman" w:hAnsi="Garamond" w:cs="Calibri"/>
                <w:i/>
                <w:iCs/>
                <w:color w:val="000000"/>
              </w:rPr>
              <w:t>Election c</w:t>
            </w:r>
            <w:r w:rsidRPr="004C530C">
              <w:rPr>
                <w:rFonts w:ascii="Garamond" w:eastAsia="Times New Roman" w:hAnsi="Garamond" w:cs="Calibri"/>
                <w:i/>
                <w:iCs/>
                <w:color w:val="000000"/>
              </w:rPr>
              <w:t>ycles</w:t>
            </w:r>
          </w:p>
        </w:tc>
        <w:tc>
          <w:tcPr>
            <w:tcW w:w="1200" w:type="dxa"/>
            <w:tcBorders>
              <w:top w:val="single" w:sz="4" w:space="0" w:color="auto"/>
              <w:left w:val="nil"/>
              <w:bottom w:val="single" w:sz="4" w:space="0" w:color="auto"/>
              <w:right w:val="nil"/>
            </w:tcBorders>
            <w:shd w:val="clear" w:color="auto" w:fill="auto"/>
            <w:noWrap/>
            <w:vAlign w:val="bottom"/>
            <w:hideMark/>
          </w:tcPr>
          <w:p w14:paraId="43D7CB80"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c>
          <w:tcPr>
            <w:tcW w:w="1200" w:type="dxa"/>
            <w:tcBorders>
              <w:top w:val="single" w:sz="4" w:space="0" w:color="auto"/>
              <w:left w:val="nil"/>
              <w:bottom w:val="single" w:sz="4" w:space="0" w:color="auto"/>
              <w:right w:val="nil"/>
            </w:tcBorders>
            <w:shd w:val="clear" w:color="auto" w:fill="auto"/>
            <w:noWrap/>
            <w:vAlign w:val="bottom"/>
            <w:hideMark/>
          </w:tcPr>
          <w:p w14:paraId="48A6C145"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r>
      <w:tr w:rsidR="00EF1D3F" w:rsidRPr="004C530C" w14:paraId="45ED3920" w14:textId="77777777" w:rsidTr="00DC65D6">
        <w:trPr>
          <w:trHeight w:val="20"/>
        </w:trPr>
        <w:tc>
          <w:tcPr>
            <w:tcW w:w="3840" w:type="dxa"/>
            <w:tcBorders>
              <w:top w:val="nil"/>
              <w:left w:val="nil"/>
              <w:bottom w:val="nil"/>
              <w:right w:val="nil"/>
            </w:tcBorders>
            <w:shd w:val="clear" w:color="auto" w:fill="auto"/>
            <w:noWrap/>
            <w:vAlign w:val="center"/>
            <w:hideMark/>
          </w:tcPr>
          <w:p w14:paraId="0A93CA0B"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Local election</w:t>
            </w:r>
          </w:p>
        </w:tc>
        <w:tc>
          <w:tcPr>
            <w:tcW w:w="1200" w:type="dxa"/>
            <w:tcBorders>
              <w:top w:val="nil"/>
              <w:left w:val="nil"/>
              <w:bottom w:val="nil"/>
              <w:right w:val="nil"/>
            </w:tcBorders>
            <w:shd w:val="clear" w:color="auto" w:fill="auto"/>
            <w:noWrap/>
            <w:vAlign w:val="bottom"/>
            <w:hideMark/>
          </w:tcPr>
          <w:p w14:paraId="62BAB7E0"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0.451***</w:t>
            </w:r>
          </w:p>
        </w:tc>
        <w:tc>
          <w:tcPr>
            <w:tcW w:w="1200" w:type="dxa"/>
            <w:tcBorders>
              <w:top w:val="nil"/>
              <w:left w:val="nil"/>
              <w:bottom w:val="nil"/>
              <w:right w:val="nil"/>
            </w:tcBorders>
            <w:shd w:val="clear" w:color="auto" w:fill="auto"/>
            <w:noWrap/>
            <w:vAlign w:val="bottom"/>
            <w:hideMark/>
          </w:tcPr>
          <w:p w14:paraId="302CE8D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0.421***</w:t>
            </w:r>
          </w:p>
        </w:tc>
      </w:tr>
      <w:tr w:rsidR="00EF1D3F" w:rsidRPr="004C530C" w14:paraId="465A9FA6" w14:textId="77777777" w:rsidTr="00DC65D6">
        <w:trPr>
          <w:trHeight w:val="20"/>
        </w:trPr>
        <w:tc>
          <w:tcPr>
            <w:tcW w:w="3840" w:type="dxa"/>
            <w:tcBorders>
              <w:top w:val="nil"/>
              <w:left w:val="nil"/>
              <w:bottom w:val="nil"/>
              <w:right w:val="nil"/>
            </w:tcBorders>
            <w:shd w:val="clear" w:color="auto" w:fill="auto"/>
            <w:noWrap/>
            <w:vAlign w:val="bottom"/>
            <w:hideMark/>
          </w:tcPr>
          <w:p w14:paraId="38B5633B"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21ACA9C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[0.155]</w:t>
            </w:r>
          </w:p>
        </w:tc>
        <w:tc>
          <w:tcPr>
            <w:tcW w:w="1200" w:type="dxa"/>
            <w:tcBorders>
              <w:top w:val="nil"/>
              <w:left w:val="nil"/>
              <w:bottom w:val="nil"/>
              <w:right w:val="nil"/>
            </w:tcBorders>
            <w:shd w:val="clear" w:color="auto" w:fill="auto"/>
            <w:noWrap/>
            <w:vAlign w:val="bottom"/>
            <w:hideMark/>
          </w:tcPr>
          <w:p w14:paraId="77F9D483"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[0.137]</w:t>
            </w:r>
          </w:p>
        </w:tc>
      </w:tr>
      <w:tr w:rsidR="00EF1D3F" w:rsidRPr="004C530C" w14:paraId="13B1AA60" w14:textId="77777777" w:rsidTr="00DC65D6">
        <w:trPr>
          <w:trHeight w:val="20"/>
        </w:trPr>
        <w:tc>
          <w:tcPr>
            <w:tcW w:w="3840" w:type="dxa"/>
            <w:tcBorders>
              <w:top w:val="nil"/>
              <w:left w:val="nil"/>
              <w:bottom w:val="nil"/>
              <w:right w:val="nil"/>
            </w:tcBorders>
            <w:shd w:val="clear" w:color="auto" w:fill="auto"/>
            <w:noWrap/>
            <w:vAlign w:val="center"/>
            <w:hideMark/>
          </w:tcPr>
          <w:p w14:paraId="1DAB791A"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Federal election</w:t>
            </w:r>
          </w:p>
        </w:tc>
        <w:tc>
          <w:tcPr>
            <w:tcW w:w="1200" w:type="dxa"/>
            <w:tcBorders>
              <w:top w:val="nil"/>
              <w:left w:val="nil"/>
              <w:bottom w:val="nil"/>
              <w:right w:val="nil"/>
            </w:tcBorders>
            <w:shd w:val="clear" w:color="auto" w:fill="auto"/>
            <w:noWrap/>
            <w:vAlign w:val="bottom"/>
            <w:hideMark/>
          </w:tcPr>
          <w:p w14:paraId="56518D19"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-0.500**</w:t>
            </w:r>
          </w:p>
        </w:tc>
        <w:tc>
          <w:tcPr>
            <w:tcW w:w="1200" w:type="dxa"/>
            <w:tcBorders>
              <w:top w:val="nil"/>
              <w:left w:val="nil"/>
              <w:bottom w:val="nil"/>
              <w:right w:val="nil"/>
            </w:tcBorders>
            <w:shd w:val="clear" w:color="auto" w:fill="auto"/>
            <w:noWrap/>
            <w:vAlign w:val="bottom"/>
            <w:hideMark/>
          </w:tcPr>
          <w:p w14:paraId="119EC9D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-0.490**</w:t>
            </w:r>
          </w:p>
        </w:tc>
      </w:tr>
      <w:tr w:rsidR="00EF1D3F" w:rsidRPr="004C530C" w14:paraId="5ED162AB" w14:textId="77777777" w:rsidTr="00DC65D6">
        <w:trPr>
          <w:trHeight w:val="20"/>
        </w:trPr>
        <w:tc>
          <w:tcPr>
            <w:tcW w:w="3840" w:type="dxa"/>
            <w:tcBorders>
              <w:top w:val="nil"/>
              <w:left w:val="nil"/>
              <w:bottom w:val="nil"/>
              <w:right w:val="nil"/>
            </w:tcBorders>
            <w:shd w:val="clear" w:color="auto" w:fill="auto"/>
            <w:noWrap/>
            <w:vAlign w:val="bottom"/>
            <w:hideMark/>
          </w:tcPr>
          <w:p w14:paraId="21E1EEFB"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7399DF4F"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[0.254]</w:t>
            </w:r>
          </w:p>
        </w:tc>
        <w:tc>
          <w:tcPr>
            <w:tcW w:w="1200" w:type="dxa"/>
            <w:tcBorders>
              <w:top w:val="nil"/>
              <w:left w:val="nil"/>
              <w:bottom w:val="nil"/>
              <w:right w:val="nil"/>
            </w:tcBorders>
            <w:shd w:val="clear" w:color="auto" w:fill="auto"/>
            <w:noWrap/>
            <w:vAlign w:val="bottom"/>
            <w:hideMark/>
          </w:tcPr>
          <w:p w14:paraId="7118C884"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[0.238]</w:t>
            </w:r>
          </w:p>
        </w:tc>
      </w:tr>
      <w:tr w:rsidR="00EF1D3F" w:rsidRPr="004C530C" w14:paraId="00A5D924" w14:textId="77777777" w:rsidTr="00DC65D6">
        <w:trPr>
          <w:trHeight w:val="20"/>
        </w:trPr>
        <w:tc>
          <w:tcPr>
            <w:tcW w:w="3840" w:type="dxa"/>
            <w:tcBorders>
              <w:top w:val="single" w:sz="4" w:space="0" w:color="auto"/>
              <w:left w:val="nil"/>
              <w:bottom w:val="single" w:sz="4" w:space="0" w:color="auto"/>
              <w:right w:val="nil"/>
            </w:tcBorders>
            <w:shd w:val="clear" w:color="000000" w:fill="FFFFFF"/>
            <w:noWrap/>
            <w:vAlign w:val="center"/>
            <w:hideMark/>
          </w:tcPr>
          <w:p w14:paraId="21C3178F" w14:textId="77777777" w:rsidR="00EF1D3F" w:rsidRPr="004C530C" w:rsidRDefault="00EF1D3F" w:rsidP="00DC65D6">
            <w:pPr>
              <w:spacing w:after="0" w:line="240" w:lineRule="auto"/>
              <w:rPr>
                <w:rFonts w:ascii="Garamond" w:eastAsia="Times New Roman" w:hAnsi="Garamond" w:cs="Calibri"/>
                <w:i/>
                <w:iCs/>
                <w:color w:val="000000"/>
              </w:rPr>
            </w:pPr>
            <w:r w:rsidRPr="004C530C">
              <w:rPr>
                <w:rFonts w:ascii="Garamond" w:eastAsia="Times New Roman" w:hAnsi="Garamond" w:cs="Calibri"/>
                <w:i/>
                <w:iCs/>
                <w:color w:val="000000"/>
              </w:rPr>
              <w:t>Territorial ambition</w:t>
            </w:r>
          </w:p>
        </w:tc>
        <w:tc>
          <w:tcPr>
            <w:tcW w:w="1200" w:type="dxa"/>
            <w:tcBorders>
              <w:top w:val="single" w:sz="4" w:space="0" w:color="auto"/>
              <w:left w:val="nil"/>
              <w:bottom w:val="single" w:sz="4" w:space="0" w:color="auto"/>
              <w:right w:val="nil"/>
            </w:tcBorders>
            <w:shd w:val="clear" w:color="auto" w:fill="auto"/>
            <w:noWrap/>
            <w:vAlign w:val="bottom"/>
            <w:hideMark/>
          </w:tcPr>
          <w:p w14:paraId="546B8FD5"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c>
          <w:tcPr>
            <w:tcW w:w="1200" w:type="dxa"/>
            <w:tcBorders>
              <w:top w:val="single" w:sz="4" w:space="0" w:color="auto"/>
              <w:left w:val="nil"/>
              <w:bottom w:val="single" w:sz="4" w:space="0" w:color="auto"/>
              <w:right w:val="nil"/>
            </w:tcBorders>
            <w:shd w:val="clear" w:color="auto" w:fill="auto"/>
            <w:noWrap/>
            <w:vAlign w:val="bottom"/>
            <w:hideMark/>
          </w:tcPr>
          <w:p w14:paraId="3D79B1C6"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r>
      <w:tr w:rsidR="00EF1D3F" w:rsidRPr="004C530C" w14:paraId="47C4D30E" w14:textId="77777777" w:rsidTr="00DC65D6">
        <w:trPr>
          <w:trHeight w:val="20"/>
        </w:trPr>
        <w:tc>
          <w:tcPr>
            <w:tcW w:w="3840" w:type="dxa"/>
            <w:tcBorders>
              <w:top w:val="nil"/>
              <w:left w:val="nil"/>
              <w:bottom w:val="nil"/>
              <w:right w:val="nil"/>
            </w:tcBorders>
            <w:shd w:val="clear" w:color="auto" w:fill="auto"/>
            <w:noWrap/>
            <w:vAlign w:val="center"/>
            <w:hideMark/>
          </w:tcPr>
          <w:p w14:paraId="7587F63E"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Attacks among adjacent neighbors (t-1)</w:t>
            </w:r>
          </w:p>
        </w:tc>
        <w:tc>
          <w:tcPr>
            <w:tcW w:w="1200" w:type="dxa"/>
            <w:tcBorders>
              <w:top w:val="nil"/>
              <w:left w:val="nil"/>
              <w:bottom w:val="nil"/>
              <w:right w:val="nil"/>
            </w:tcBorders>
            <w:shd w:val="clear" w:color="auto" w:fill="auto"/>
            <w:noWrap/>
            <w:vAlign w:val="bottom"/>
            <w:hideMark/>
          </w:tcPr>
          <w:p w14:paraId="7BFEA341"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0.394***</w:t>
            </w:r>
          </w:p>
        </w:tc>
        <w:tc>
          <w:tcPr>
            <w:tcW w:w="1200" w:type="dxa"/>
            <w:tcBorders>
              <w:top w:val="nil"/>
              <w:left w:val="nil"/>
              <w:bottom w:val="nil"/>
              <w:right w:val="nil"/>
            </w:tcBorders>
            <w:shd w:val="clear" w:color="auto" w:fill="auto"/>
            <w:noWrap/>
            <w:vAlign w:val="bottom"/>
            <w:hideMark/>
          </w:tcPr>
          <w:p w14:paraId="72C9EE38"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0.431***</w:t>
            </w:r>
          </w:p>
        </w:tc>
      </w:tr>
      <w:tr w:rsidR="00EF1D3F" w:rsidRPr="004C530C" w14:paraId="0FF13E4D" w14:textId="77777777" w:rsidTr="00DC65D6">
        <w:trPr>
          <w:trHeight w:val="20"/>
        </w:trPr>
        <w:tc>
          <w:tcPr>
            <w:tcW w:w="3840" w:type="dxa"/>
            <w:tcBorders>
              <w:top w:val="nil"/>
              <w:left w:val="nil"/>
              <w:bottom w:val="nil"/>
              <w:right w:val="nil"/>
            </w:tcBorders>
            <w:shd w:val="clear" w:color="auto" w:fill="auto"/>
            <w:noWrap/>
            <w:vAlign w:val="bottom"/>
            <w:hideMark/>
          </w:tcPr>
          <w:p w14:paraId="64E18B89"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3BB3039A"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[0.083]</w:t>
            </w:r>
          </w:p>
        </w:tc>
        <w:tc>
          <w:tcPr>
            <w:tcW w:w="1200" w:type="dxa"/>
            <w:tcBorders>
              <w:top w:val="nil"/>
              <w:left w:val="nil"/>
              <w:bottom w:val="nil"/>
              <w:right w:val="nil"/>
            </w:tcBorders>
            <w:shd w:val="clear" w:color="auto" w:fill="auto"/>
            <w:noWrap/>
            <w:vAlign w:val="bottom"/>
            <w:hideMark/>
          </w:tcPr>
          <w:p w14:paraId="5D9DF5F2"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[0.074]</w:t>
            </w:r>
          </w:p>
        </w:tc>
      </w:tr>
      <w:tr w:rsidR="00EF1D3F" w:rsidRPr="004C530C" w14:paraId="5EB03FAF" w14:textId="77777777" w:rsidTr="00DC65D6">
        <w:trPr>
          <w:trHeight w:val="20"/>
        </w:trPr>
        <w:tc>
          <w:tcPr>
            <w:tcW w:w="3840" w:type="dxa"/>
            <w:tcBorders>
              <w:top w:val="single" w:sz="4" w:space="0" w:color="auto"/>
              <w:left w:val="nil"/>
              <w:bottom w:val="single" w:sz="4" w:space="0" w:color="auto"/>
              <w:right w:val="nil"/>
            </w:tcBorders>
            <w:shd w:val="clear" w:color="auto" w:fill="auto"/>
            <w:vAlign w:val="center"/>
            <w:hideMark/>
          </w:tcPr>
          <w:p w14:paraId="34EFCD57" w14:textId="77777777" w:rsidR="00EF1D3F" w:rsidRPr="004C530C" w:rsidRDefault="00EF1D3F" w:rsidP="00DC65D6">
            <w:pPr>
              <w:spacing w:after="0" w:line="240" w:lineRule="auto"/>
              <w:rPr>
                <w:rFonts w:ascii="Garamond" w:eastAsia="Times New Roman" w:hAnsi="Garamond" w:cs="Calibri"/>
                <w:i/>
                <w:iCs/>
                <w:color w:val="000000"/>
              </w:rPr>
            </w:pPr>
            <w:r w:rsidRPr="004C530C">
              <w:rPr>
                <w:rFonts w:ascii="Garamond" w:eastAsia="Times New Roman" w:hAnsi="Garamond" w:cs="Calibri"/>
                <w:i/>
                <w:iCs/>
                <w:color w:val="000000"/>
              </w:rPr>
              <w:t>Controls</w:t>
            </w:r>
          </w:p>
        </w:tc>
        <w:tc>
          <w:tcPr>
            <w:tcW w:w="1200" w:type="dxa"/>
            <w:tcBorders>
              <w:top w:val="single" w:sz="4" w:space="0" w:color="auto"/>
              <w:left w:val="nil"/>
              <w:bottom w:val="single" w:sz="4" w:space="0" w:color="auto"/>
              <w:right w:val="nil"/>
            </w:tcBorders>
            <w:shd w:val="clear" w:color="auto" w:fill="auto"/>
            <w:noWrap/>
            <w:vAlign w:val="bottom"/>
            <w:hideMark/>
          </w:tcPr>
          <w:p w14:paraId="6EA55360"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c>
          <w:tcPr>
            <w:tcW w:w="1200" w:type="dxa"/>
            <w:tcBorders>
              <w:top w:val="single" w:sz="4" w:space="0" w:color="auto"/>
              <w:left w:val="nil"/>
              <w:bottom w:val="single" w:sz="4" w:space="0" w:color="auto"/>
              <w:right w:val="nil"/>
            </w:tcBorders>
            <w:shd w:val="clear" w:color="auto" w:fill="auto"/>
            <w:noWrap/>
            <w:vAlign w:val="bottom"/>
            <w:hideMark/>
          </w:tcPr>
          <w:p w14:paraId="577C82BC"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 </w:t>
            </w:r>
          </w:p>
        </w:tc>
      </w:tr>
      <w:tr w:rsidR="00EF1D3F" w:rsidRPr="004C530C" w14:paraId="0E21B410" w14:textId="77777777" w:rsidTr="00DC65D6">
        <w:trPr>
          <w:trHeight w:val="20"/>
        </w:trPr>
        <w:tc>
          <w:tcPr>
            <w:tcW w:w="3840" w:type="dxa"/>
            <w:tcBorders>
              <w:top w:val="nil"/>
              <w:left w:val="nil"/>
              <w:bottom w:val="nil"/>
              <w:right w:val="nil"/>
            </w:tcBorders>
            <w:shd w:val="clear" w:color="auto" w:fill="auto"/>
            <w:noWrap/>
            <w:vAlign w:val="center"/>
            <w:hideMark/>
          </w:tcPr>
          <w:p w14:paraId="2A88112A"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Fiscal revenue</w:t>
            </w:r>
          </w:p>
        </w:tc>
        <w:tc>
          <w:tcPr>
            <w:tcW w:w="1200" w:type="dxa"/>
            <w:tcBorders>
              <w:top w:val="nil"/>
              <w:left w:val="nil"/>
              <w:bottom w:val="nil"/>
              <w:right w:val="nil"/>
            </w:tcBorders>
            <w:shd w:val="clear" w:color="auto" w:fill="auto"/>
            <w:noWrap/>
            <w:vAlign w:val="bottom"/>
            <w:hideMark/>
          </w:tcPr>
          <w:p w14:paraId="41074403"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0.052***</w:t>
            </w:r>
          </w:p>
        </w:tc>
        <w:tc>
          <w:tcPr>
            <w:tcW w:w="1200" w:type="dxa"/>
            <w:tcBorders>
              <w:top w:val="nil"/>
              <w:left w:val="nil"/>
              <w:bottom w:val="nil"/>
              <w:right w:val="nil"/>
            </w:tcBorders>
            <w:shd w:val="clear" w:color="auto" w:fill="auto"/>
            <w:noWrap/>
            <w:vAlign w:val="bottom"/>
            <w:hideMark/>
          </w:tcPr>
          <w:p w14:paraId="4EC8F311"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0.049***</w:t>
            </w:r>
          </w:p>
        </w:tc>
      </w:tr>
      <w:tr w:rsidR="00EF1D3F" w:rsidRPr="004C530C" w14:paraId="27FE3FCD" w14:textId="77777777" w:rsidTr="00DC65D6">
        <w:trPr>
          <w:trHeight w:val="20"/>
        </w:trPr>
        <w:tc>
          <w:tcPr>
            <w:tcW w:w="3840" w:type="dxa"/>
            <w:tcBorders>
              <w:top w:val="nil"/>
              <w:left w:val="nil"/>
              <w:bottom w:val="nil"/>
              <w:right w:val="nil"/>
            </w:tcBorders>
            <w:shd w:val="clear" w:color="auto" w:fill="auto"/>
            <w:noWrap/>
            <w:vAlign w:val="bottom"/>
            <w:hideMark/>
          </w:tcPr>
          <w:p w14:paraId="3E0577F8"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72D83ABC"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[0.013]</w:t>
            </w:r>
          </w:p>
        </w:tc>
        <w:tc>
          <w:tcPr>
            <w:tcW w:w="1200" w:type="dxa"/>
            <w:tcBorders>
              <w:top w:val="nil"/>
              <w:left w:val="nil"/>
              <w:bottom w:val="nil"/>
              <w:right w:val="nil"/>
            </w:tcBorders>
            <w:shd w:val="clear" w:color="auto" w:fill="auto"/>
            <w:noWrap/>
            <w:vAlign w:val="bottom"/>
            <w:hideMark/>
          </w:tcPr>
          <w:p w14:paraId="6C522FBC"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[0.013]</w:t>
            </w:r>
          </w:p>
        </w:tc>
      </w:tr>
      <w:tr w:rsidR="00EF1D3F" w:rsidRPr="004C530C" w14:paraId="604253E0" w14:textId="77777777" w:rsidTr="00DC65D6">
        <w:trPr>
          <w:trHeight w:val="20"/>
        </w:trPr>
        <w:tc>
          <w:tcPr>
            <w:tcW w:w="3840" w:type="dxa"/>
            <w:tcBorders>
              <w:top w:val="nil"/>
              <w:left w:val="nil"/>
              <w:bottom w:val="nil"/>
              <w:right w:val="nil"/>
            </w:tcBorders>
            <w:shd w:val="clear" w:color="auto" w:fill="auto"/>
            <w:noWrap/>
            <w:vAlign w:val="center"/>
            <w:hideMark/>
          </w:tcPr>
          <w:p w14:paraId="5FE262BA"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Prosecutor offices^</w:t>
            </w:r>
          </w:p>
        </w:tc>
        <w:tc>
          <w:tcPr>
            <w:tcW w:w="1200" w:type="dxa"/>
            <w:tcBorders>
              <w:top w:val="nil"/>
              <w:left w:val="nil"/>
              <w:bottom w:val="nil"/>
              <w:right w:val="nil"/>
            </w:tcBorders>
            <w:shd w:val="clear" w:color="auto" w:fill="auto"/>
            <w:noWrap/>
            <w:vAlign w:val="bottom"/>
            <w:hideMark/>
          </w:tcPr>
          <w:p w14:paraId="0AF26FD0"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1.103</w:t>
            </w:r>
          </w:p>
        </w:tc>
        <w:tc>
          <w:tcPr>
            <w:tcW w:w="1200" w:type="dxa"/>
            <w:tcBorders>
              <w:top w:val="nil"/>
              <w:left w:val="nil"/>
              <w:bottom w:val="nil"/>
              <w:right w:val="nil"/>
            </w:tcBorders>
            <w:shd w:val="clear" w:color="auto" w:fill="auto"/>
            <w:noWrap/>
            <w:vAlign w:val="bottom"/>
            <w:hideMark/>
          </w:tcPr>
          <w:p w14:paraId="11B823CE"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1.109</w:t>
            </w:r>
          </w:p>
        </w:tc>
      </w:tr>
      <w:tr w:rsidR="00EF1D3F" w:rsidRPr="004C530C" w14:paraId="5A8DB7C7" w14:textId="77777777" w:rsidTr="00DC65D6">
        <w:trPr>
          <w:trHeight w:val="20"/>
        </w:trPr>
        <w:tc>
          <w:tcPr>
            <w:tcW w:w="3840" w:type="dxa"/>
            <w:tcBorders>
              <w:top w:val="nil"/>
              <w:left w:val="nil"/>
              <w:bottom w:val="nil"/>
              <w:right w:val="nil"/>
            </w:tcBorders>
            <w:shd w:val="clear" w:color="auto" w:fill="auto"/>
            <w:noWrap/>
            <w:vAlign w:val="bottom"/>
            <w:hideMark/>
          </w:tcPr>
          <w:p w14:paraId="6B98A17F"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59787F4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[1.331]</w:t>
            </w:r>
          </w:p>
        </w:tc>
        <w:tc>
          <w:tcPr>
            <w:tcW w:w="1200" w:type="dxa"/>
            <w:tcBorders>
              <w:top w:val="nil"/>
              <w:left w:val="nil"/>
              <w:bottom w:val="nil"/>
              <w:right w:val="nil"/>
            </w:tcBorders>
            <w:shd w:val="clear" w:color="auto" w:fill="auto"/>
            <w:noWrap/>
            <w:vAlign w:val="bottom"/>
            <w:hideMark/>
          </w:tcPr>
          <w:p w14:paraId="7EB756E6"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[0.925]</w:t>
            </w:r>
          </w:p>
        </w:tc>
      </w:tr>
      <w:tr w:rsidR="00EF1D3F" w:rsidRPr="004C530C" w14:paraId="14F61774" w14:textId="77777777" w:rsidTr="00DC65D6">
        <w:trPr>
          <w:trHeight w:val="20"/>
        </w:trPr>
        <w:tc>
          <w:tcPr>
            <w:tcW w:w="3840" w:type="dxa"/>
            <w:tcBorders>
              <w:top w:val="nil"/>
              <w:left w:val="nil"/>
              <w:bottom w:val="single" w:sz="4" w:space="0" w:color="auto"/>
              <w:right w:val="nil"/>
            </w:tcBorders>
            <w:shd w:val="clear" w:color="auto" w:fill="auto"/>
            <w:noWrap/>
            <w:vAlign w:val="center"/>
            <w:hideMark/>
          </w:tcPr>
          <w:p w14:paraId="09D041CF"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Political and geographic controls</w:t>
            </w:r>
          </w:p>
        </w:tc>
        <w:tc>
          <w:tcPr>
            <w:tcW w:w="1200" w:type="dxa"/>
            <w:tcBorders>
              <w:top w:val="nil"/>
              <w:left w:val="nil"/>
              <w:bottom w:val="single" w:sz="4" w:space="0" w:color="auto"/>
              <w:right w:val="nil"/>
            </w:tcBorders>
            <w:shd w:val="clear" w:color="auto" w:fill="auto"/>
            <w:noWrap/>
            <w:vAlign w:val="center"/>
            <w:hideMark/>
          </w:tcPr>
          <w:p w14:paraId="157966FC" w14:textId="77777777" w:rsidR="00EF1D3F" w:rsidRPr="004C530C" w:rsidRDefault="00EF1D3F" w:rsidP="00DC65D6">
            <w:pPr>
              <w:spacing w:after="0" w:line="240" w:lineRule="auto"/>
              <w:jc w:val="center"/>
              <w:rPr>
                <w:rFonts w:ascii="Garamond" w:eastAsia="Times New Roman" w:hAnsi="Garamond" w:cs="Calibri"/>
                <w:color w:val="000000"/>
              </w:rPr>
            </w:pPr>
            <w:r>
              <w:rPr>
                <w:rFonts w:ascii="Garamond" w:hAnsi="Garamond" w:cs="Calibri"/>
                <w:color w:val="000000"/>
              </w:rPr>
              <w:t>YES</w:t>
            </w:r>
          </w:p>
        </w:tc>
        <w:tc>
          <w:tcPr>
            <w:tcW w:w="1200" w:type="dxa"/>
            <w:tcBorders>
              <w:top w:val="nil"/>
              <w:left w:val="nil"/>
              <w:bottom w:val="single" w:sz="4" w:space="0" w:color="auto"/>
              <w:right w:val="nil"/>
            </w:tcBorders>
            <w:shd w:val="clear" w:color="auto" w:fill="auto"/>
            <w:noWrap/>
            <w:vAlign w:val="center"/>
            <w:hideMark/>
          </w:tcPr>
          <w:p w14:paraId="6D70A1A5" w14:textId="77777777" w:rsidR="00EF1D3F" w:rsidRPr="004C530C" w:rsidRDefault="00EF1D3F" w:rsidP="00DC65D6">
            <w:pPr>
              <w:spacing w:after="0" w:line="240" w:lineRule="auto"/>
              <w:jc w:val="center"/>
              <w:rPr>
                <w:rFonts w:ascii="Garamond" w:eastAsia="Times New Roman" w:hAnsi="Garamond" w:cs="Calibri"/>
                <w:color w:val="000000"/>
              </w:rPr>
            </w:pPr>
            <w:r>
              <w:rPr>
                <w:rFonts w:ascii="Garamond" w:hAnsi="Garamond" w:cs="Calibri"/>
                <w:color w:val="000000"/>
              </w:rPr>
              <w:t>YES</w:t>
            </w:r>
          </w:p>
        </w:tc>
      </w:tr>
      <w:tr w:rsidR="00EF1D3F" w:rsidRPr="004C530C" w14:paraId="48E359D2" w14:textId="77777777" w:rsidTr="00DC65D6">
        <w:trPr>
          <w:trHeight w:val="20"/>
        </w:trPr>
        <w:tc>
          <w:tcPr>
            <w:tcW w:w="3840" w:type="dxa"/>
            <w:tcBorders>
              <w:top w:val="single" w:sz="4" w:space="0" w:color="auto"/>
              <w:left w:val="nil"/>
              <w:bottom w:val="nil"/>
              <w:right w:val="nil"/>
            </w:tcBorders>
            <w:shd w:val="clear" w:color="auto" w:fill="auto"/>
            <w:noWrap/>
            <w:vAlign w:val="center"/>
            <w:hideMark/>
          </w:tcPr>
          <w:p w14:paraId="3FEE6ED2"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Constant</w:t>
            </w:r>
          </w:p>
        </w:tc>
        <w:tc>
          <w:tcPr>
            <w:tcW w:w="1200" w:type="dxa"/>
            <w:tcBorders>
              <w:top w:val="single" w:sz="4" w:space="0" w:color="auto"/>
              <w:left w:val="nil"/>
              <w:bottom w:val="nil"/>
              <w:right w:val="nil"/>
            </w:tcBorders>
            <w:shd w:val="clear" w:color="auto" w:fill="auto"/>
            <w:noWrap/>
            <w:vAlign w:val="bottom"/>
            <w:hideMark/>
          </w:tcPr>
          <w:p w14:paraId="391E322D"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-7.546***</w:t>
            </w:r>
          </w:p>
        </w:tc>
        <w:tc>
          <w:tcPr>
            <w:tcW w:w="1200" w:type="dxa"/>
            <w:tcBorders>
              <w:top w:val="single" w:sz="4" w:space="0" w:color="auto"/>
              <w:left w:val="nil"/>
              <w:bottom w:val="nil"/>
              <w:right w:val="nil"/>
            </w:tcBorders>
            <w:shd w:val="clear" w:color="auto" w:fill="auto"/>
            <w:noWrap/>
            <w:vAlign w:val="bottom"/>
            <w:hideMark/>
          </w:tcPr>
          <w:p w14:paraId="5677B18D"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-5.711***</w:t>
            </w:r>
          </w:p>
        </w:tc>
      </w:tr>
      <w:tr w:rsidR="00EF1D3F" w:rsidRPr="004C530C" w14:paraId="40C7F636" w14:textId="77777777" w:rsidTr="00DC65D6">
        <w:trPr>
          <w:trHeight w:val="20"/>
        </w:trPr>
        <w:tc>
          <w:tcPr>
            <w:tcW w:w="3840" w:type="dxa"/>
            <w:tcBorders>
              <w:top w:val="nil"/>
              <w:left w:val="nil"/>
              <w:bottom w:val="nil"/>
              <w:right w:val="nil"/>
            </w:tcBorders>
            <w:shd w:val="clear" w:color="auto" w:fill="auto"/>
            <w:noWrap/>
            <w:vAlign w:val="center"/>
            <w:hideMark/>
          </w:tcPr>
          <w:p w14:paraId="54F9A0D5" w14:textId="77777777" w:rsidR="00EF1D3F" w:rsidRPr="004C530C" w:rsidRDefault="00EF1D3F" w:rsidP="00DC65D6">
            <w:pPr>
              <w:spacing w:after="0" w:line="240" w:lineRule="auto"/>
              <w:jc w:val="center"/>
              <w:rPr>
                <w:rFonts w:ascii="Garamond" w:eastAsia="Times New Roman" w:hAnsi="Garamond" w:cs="Calibri"/>
                <w:color w:val="000000"/>
              </w:rPr>
            </w:pPr>
          </w:p>
        </w:tc>
        <w:tc>
          <w:tcPr>
            <w:tcW w:w="1200" w:type="dxa"/>
            <w:tcBorders>
              <w:top w:val="nil"/>
              <w:left w:val="nil"/>
              <w:bottom w:val="nil"/>
              <w:right w:val="nil"/>
            </w:tcBorders>
            <w:shd w:val="clear" w:color="auto" w:fill="auto"/>
            <w:noWrap/>
            <w:vAlign w:val="bottom"/>
            <w:hideMark/>
          </w:tcPr>
          <w:p w14:paraId="079BF987"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[1.417]</w:t>
            </w:r>
          </w:p>
        </w:tc>
        <w:tc>
          <w:tcPr>
            <w:tcW w:w="1200" w:type="dxa"/>
            <w:tcBorders>
              <w:top w:val="nil"/>
              <w:left w:val="nil"/>
              <w:bottom w:val="nil"/>
              <w:right w:val="nil"/>
            </w:tcBorders>
            <w:shd w:val="clear" w:color="auto" w:fill="auto"/>
            <w:noWrap/>
            <w:vAlign w:val="bottom"/>
            <w:hideMark/>
          </w:tcPr>
          <w:p w14:paraId="05C063F9"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[1.406]</w:t>
            </w:r>
          </w:p>
        </w:tc>
      </w:tr>
      <w:tr w:rsidR="00EF1D3F" w:rsidRPr="004C530C" w14:paraId="15595493" w14:textId="77777777" w:rsidTr="00DC65D6">
        <w:trPr>
          <w:trHeight w:val="20"/>
        </w:trPr>
        <w:tc>
          <w:tcPr>
            <w:tcW w:w="3840" w:type="dxa"/>
            <w:tcBorders>
              <w:top w:val="nil"/>
              <w:left w:val="nil"/>
              <w:bottom w:val="nil"/>
              <w:right w:val="nil"/>
            </w:tcBorders>
            <w:shd w:val="clear" w:color="auto" w:fill="auto"/>
            <w:noWrap/>
            <w:vAlign w:val="center"/>
            <w:hideMark/>
          </w:tcPr>
          <w:p w14:paraId="523D5CA5"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Observations</w:t>
            </w:r>
          </w:p>
        </w:tc>
        <w:tc>
          <w:tcPr>
            <w:tcW w:w="1200" w:type="dxa"/>
            <w:tcBorders>
              <w:top w:val="nil"/>
              <w:left w:val="nil"/>
              <w:bottom w:val="nil"/>
              <w:right w:val="nil"/>
            </w:tcBorders>
            <w:shd w:val="clear" w:color="auto" w:fill="auto"/>
            <w:noWrap/>
            <w:vAlign w:val="bottom"/>
            <w:hideMark/>
          </w:tcPr>
          <w:p w14:paraId="1717F66B"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9,853</w:t>
            </w:r>
          </w:p>
        </w:tc>
        <w:tc>
          <w:tcPr>
            <w:tcW w:w="1200" w:type="dxa"/>
            <w:tcBorders>
              <w:top w:val="nil"/>
              <w:left w:val="nil"/>
              <w:bottom w:val="nil"/>
              <w:right w:val="nil"/>
            </w:tcBorders>
            <w:shd w:val="clear" w:color="auto" w:fill="auto"/>
            <w:noWrap/>
            <w:vAlign w:val="bottom"/>
            <w:hideMark/>
          </w:tcPr>
          <w:p w14:paraId="0D551D7F"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9,853</w:t>
            </w:r>
          </w:p>
        </w:tc>
      </w:tr>
      <w:tr w:rsidR="00EF1D3F" w:rsidRPr="004C530C" w14:paraId="16C3AF7A" w14:textId="77777777" w:rsidTr="00DC65D6">
        <w:trPr>
          <w:trHeight w:val="20"/>
        </w:trPr>
        <w:tc>
          <w:tcPr>
            <w:tcW w:w="3840" w:type="dxa"/>
            <w:tcBorders>
              <w:top w:val="nil"/>
              <w:left w:val="nil"/>
              <w:bottom w:val="nil"/>
              <w:right w:val="nil"/>
            </w:tcBorders>
            <w:shd w:val="clear" w:color="auto" w:fill="auto"/>
            <w:noWrap/>
            <w:vAlign w:val="center"/>
            <w:hideMark/>
          </w:tcPr>
          <w:p w14:paraId="1F0E512A"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Number of municipalities</w:t>
            </w:r>
          </w:p>
        </w:tc>
        <w:tc>
          <w:tcPr>
            <w:tcW w:w="1200" w:type="dxa"/>
            <w:tcBorders>
              <w:top w:val="nil"/>
              <w:left w:val="nil"/>
              <w:bottom w:val="nil"/>
              <w:right w:val="nil"/>
            </w:tcBorders>
            <w:shd w:val="clear" w:color="auto" w:fill="auto"/>
            <w:noWrap/>
            <w:vAlign w:val="bottom"/>
            <w:hideMark/>
          </w:tcPr>
          <w:p w14:paraId="034C6FDC"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1,995</w:t>
            </w:r>
          </w:p>
        </w:tc>
        <w:tc>
          <w:tcPr>
            <w:tcW w:w="1200" w:type="dxa"/>
            <w:tcBorders>
              <w:top w:val="nil"/>
              <w:left w:val="nil"/>
              <w:bottom w:val="nil"/>
              <w:right w:val="nil"/>
            </w:tcBorders>
            <w:shd w:val="clear" w:color="auto" w:fill="auto"/>
            <w:noWrap/>
            <w:vAlign w:val="bottom"/>
            <w:hideMark/>
          </w:tcPr>
          <w:p w14:paraId="266BF5DC" w14:textId="77777777" w:rsidR="00EF1D3F" w:rsidRPr="004C530C" w:rsidRDefault="00EF1D3F" w:rsidP="00DC65D6">
            <w:pPr>
              <w:spacing w:after="0" w:line="240" w:lineRule="auto"/>
              <w:jc w:val="center"/>
              <w:rPr>
                <w:rFonts w:ascii="Garamond" w:eastAsia="Times New Roman" w:hAnsi="Garamond" w:cs="Calibri"/>
                <w:color w:val="000000"/>
              </w:rPr>
            </w:pPr>
          </w:p>
        </w:tc>
      </w:tr>
      <w:tr w:rsidR="00EF1D3F" w:rsidRPr="004C530C" w14:paraId="447AA44C" w14:textId="77777777" w:rsidTr="00DC65D6">
        <w:trPr>
          <w:trHeight w:val="20"/>
        </w:trPr>
        <w:tc>
          <w:tcPr>
            <w:tcW w:w="3840" w:type="dxa"/>
            <w:tcBorders>
              <w:top w:val="nil"/>
              <w:left w:val="nil"/>
              <w:bottom w:val="single" w:sz="4" w:space="0" w:color="auto"/>
              <w:right w:val="nil"/>
            </w:tcBorders>
            <w:shd w:val="clear" w:color="auto" w:fill="auto"/>
            <w:noWrap/>
            <w:vAlign w:val="center"/>
            <w:hideMark/>
          </w:tcPr>
          <w:p w14:paraId="6C2F886D" w14:textId="77777777" w:rsidR="00EF1D3F" w:rsidRPr="004C530C" w:rsidRDefault="00EF1D3F" w:rsidP="00DC65D6">
            <w:pPr>
              <w:spacing w:after="0" w:line="240" w:lineRule="auto"/>
              <w:rPr>
                <w:rFonts w:ascii="Garamond" w:eastAsia="Times New Roman" w:hAnsi="Garamond" w:cs="Calibri"/>
                <w:color w:val="000000"/>
              </w:rPr>
            </w:pPr>
            <w:r w:rsidRPr="004C530C">
              <w:rPr>
                <w:rFonts w:ascii="Garamond" w:eastAsia="Times New Roman" w:hAnsi="Garamond" w:cs="Calibri"/>
                <w:color w:val="000000"/>
              </w:rPr>
              <w:t>Log-likelihood</w:t>
            </w:r>
          </w:p>
        </w:tc>
        <w:tc>
          <w:tcPr>
            <w:tcW w:w="1200" w:type="dxa"/>
            <w:tcBorders>
              <w:top w:val="nil"/>
              <w:left w:val="nil"/>
              <w:bottom w:val="single" w:sz="4" w:space="0" w:color="auto"/>
              <w:right w:val="nil"/>
            </w:tcBorders>
            <w:shd w:val="clear" w:color="auto" w:fill="auto"/>
            <w:noWrap/>
            <w:vAlign w:val="bottom"/>
            <w:hideMark/>
          </w:tcPr>
          <w:p w14:paraId="7691A4C5"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-928.6</w:t>
            </w:r>
          </w:p>
        </w:tc>
        <w:tc>
          <w:tcPr>
            <w:tcW w:w="1200" w:type="dxa"/>
            <w:tcBorders>
              <w:top w:val="nil"/>
              <w:left w:val="nil"/>
              <w:bottom w:val="single" w:sz="4" w:space="0" w:color="auto"/>
              <w:right w:val="nil"/>
            </w:tcBorders>
            <w:shd w:val="clear" w:color="auto" w:fill="auto"/>
            <w:noWrap/>
            <w:vAlign w:val="bottom"/>
            <w:hideMark/>
          </w:tcPr>
          <w:p w14:paraId="4C6B1E6A" w14:textId="77777777" w:rsidR="00EF1D3F" w:rsidRPr="004C530C" w:rsidRDefault="00EF1D3F" w:rsidP="00DC65D6">
            <w:pPr>
              <w:spacing w:after="0" w:line="240" w:lineRule="auto"/>
              <w:jc w:val="center"/>
              <w:rPr>
                <w:rFonts w:ascii="Garamond" w:eastAsia="Times New Roman" w:hAnsi="Garamond" w:cs="Calibri"/>
                <w:color w:val="000000"/>
              </w:rPr>
            </w:pPr>
            <w:r w:rsidRPr="004C530C">
              <w:rPr>
                <w:rFonts w:ascii="Garamond" w:eastAsia="Times New Roman" w:hAnsi="Garamond" w:cs="Calibri"/>
                <w:color w:val="000000"/>
              </w:rPr>
              <w:t> </w:t>
            </w:r>
          </w:p>
        </w:tc>
      </w:tr>
      <w:tr w:rsidR="00EF1D3F" w:rsidRPr="004C530C" w14:paraId="34877AE9" w14:textId="77777777" w:rsidTr="00DC65D6">
        <w:trPr>
          <w:trHeight w:val="20"/>
        </w:trPr>
        <w:tc>
          <w:tcPr>
            <w:tcW w:w="6240" w:type="dxa"/>
            <w:gridSpan w:val="3"/>
            <w:tcBorders>
              <w:top w:val="nil"/>
              <w:left w:val="nil"/>
              <w:bottom w:val="nil"/>
              <w:right w:val="nil"/>
            </w:tcBorders>
            <w:shd w:val="clear" w:color="auto" w:fill="auto"/>
            <w:vAlign w:val="center"/>
            <w:hideMark/>
          </w:tcPr>
          <w:p w14:paraId="2FFDBEA5" w14:textId="77777777" w:rsidR="00EF1D3F" w:rsidRPr="004C530C" w:rsidRDefault="00EF1D3F" w:rsidP="00DC65D6">
            <w:pPr>
              <w:spacing w:after="0" w:line="240" w:lineRule="auto"/>
              <w:rPr>
                <w:rFonts w:ascii="Garamond" w:eastAsia="Times New Roman" w:hAnsi="Garamond" w:cs="Calibri"/>
                <w:color w:val="000000"/>
                <w:sz w:val="20"/>
                <w:szCs w:val="20"/>
              </w:rPr>
            </w:pPr>
            <w:r w:rsidRPr="004C530C">
              <w:rPr>
                <w:rFonts w:ascii="Garamond" w:eastAsia="Times New Roman" w:hAnsi="Garamond" w:cs="Calibri"/>
                <w:color w:val="000000"/>
                <w:sz w:val="20"/>
                <w:szCs w:val="20"/>
              </w:rPr>
              <w:t>*** p&lt;0.01, ** p&lt;0.05, * p&lt;0.10.</w:t>
            </w:r>
          </w:p>
        </w:tc>
      </w:tr>
      <w:tr w:rsidR="00EF1D3F" w:rsidRPr="004C530C" w14:paraId="5BBA87F3" w14:textId="77777777" w:rsidTr="00DC65D6">
        <w:trPr>
          <w:trHeight w:val="20"/>
        </w:trPr>
        <w:tc>
          <w:tcPr>
            <w:tcW w:w="6240" w:type="dxa"/>
            <w:gridSpan w:val="3"/>
            <w:tcBorders>
              <w:top w:val="nil"/>
              <w:left w:val="nil"/>
              <w:bottom w:val="nil"/>
              <w:right w:val="nil"/>
            </w:tcBorders>
            <w:shd w:val="clear" w:color="auto" w:fill="auto"/>
            <w:vAlign w:val="center"/>
            <w:hideMark/>
          </w:tcPr>
          <w:p w14:paraId="4C83149C" w14:textId="77777777" w:rsidR="00EF1D3F" w:rsidRPr="004C530C" w:rsidRDefault="00EF1D3F" w:rsidP="00DC65D6">
            <w:pPr>
              <w:spacing w:after="0" w:line="240" w:lineRule="auto"/>
              <w:rPr>
                <w:rFonts w:ascii="Garamond" w:eastAsia="Times New Roman" w:hAnsi="Garamond" w:cs="Calibri"/>
                <w:color w:val="000000"/>
                <w:sz w:val="20"/>
                <w:szCs w:val="20"/>
              </w:rPr>
            </w:pPr>
            <w:r w:rsidRPr="004C530C">
              <w:rPr>
                <w:rFonts w:ascii="Garamond" w:eastAsia="Times New Roman" w:hAnsi="Garamond" w:cs="Calibri"/>
                <w:color w:val="000000"/>
                <w:sz w:val="20"/>
                <w:szCs w:val="20"/>
              </w:rPr>
              <w:t xml:space="preserve"> ^per 1,000 inhabitants. </w:t>
            </w:r>
          </w:p>
        </w:tc>
      </w:tr>
      <w:tr w:rsidR="00EF1D3F" w:rsidRPr="004C530C" w14:paraId="204A367F" w14:textId="77777777" w:rsidTr="00DC65D6">
        <w:trPr>
          <w:trHeight w:val="20"/>
        </w:trPr>
        <w:tc>
          <w:tcPr>
            <w:tcW w:w="6240" w:type="dxa"/>
            <w:gridSpan w:val="3"/>
            <w:tcBorders>
              <w:top w:val="nil"/>
              <w:left w:val="nil"/>
              <w:bottom w:val="nil"/>
              <w:right w:val="nil"/>
            </w:tcBorders>
            <w:shd w:val="clear" w:color="auto" w:fill="auto"/>
            <w:vAlign w:val="center"/>
            <w:hideMark/>
          </w:tcPr>
          <w:p w14:paraId="1DFE68F8" w14:textId="77777777" w:rsidR="00EF1D3F" w:rsidRDefault="00EF1D3F" w:rsidP="00DC65D6">
            <w:pPr>
              <w:spacing w:after="0" w:line="240" w:lineRule="auto"/>
              <w:rPr>
                <w:rFonts w:ascii="Garamond" w:eastAsia="Times New Roman" w:hAnsi="Garamond" w:cs="Calibri"/>
                <w:color w:val="000000"/>
                <w:sz w:val="20"/>
                <w:szCs w:val="20"/>
              </w:rPr>
            </w:pPr>
            <w:r w:rsidRPr="004C530C">
              <w:rPr>
                <w:rFonts w:ascii="Garamond" w:eastAsia="Times New Roman" w:hAnsi="Garamond" w:cs="Calibri"/>
                <w:color w:val="000000"/>
                <w:sz w:val="20"/>
                <w:szCs w:val="20"/>
              </w:rPr>
              <w:t xml:space="preserve">Clustered standard errors in brackets. </w:t>
            </w:r>
          </w:p>
          <w:p w14:paraId="440DB6F4" w14:textId="77777777" w:rsidR="00EF1D3F" w:rsidRDefault="00EF1D3F" w:rsidP="00DC65D6">
            <w:pPr>
              <w:spacing w:after="0" w:line="240" w:lineRule="auto"/>
              <w:rPr>
                <w:rFonts w:ascii="Garamond" w:eastAsia="Times New Roman" w:hAnsi="Garamond" w:cs="Calibri"/>
                <w:color w:val="000000"/>
                <w:sz w:val="20"/>
                <w:szCs w:val="20"/>
              </w:rPr>
            </w:pPr>
          </w:p>
          <w:p w14:paraId="5D3085B5" w14:textId="77777777" w:rsidR="00EF1D3F" w:rsidRDefault="00EF1D3F" w:rsidP="00DC65D6">
            <w:pPr>
              <w:spacing w:after="0" w:line="240" w:lineRule="auto"/>
              <w:rPr>
                <w:rFonts w:ascii="Garamond" w:eastAsia="Times New Roman" w:hAnsi="Garamond" w:cs="Calibri"/>
                <w:color w:val="000000"/>
                <w:sz w:val="20"/>
                <w:szCs w:val="20"/>
              </w:rPr>
            </w:pPr>
          </w:p>
          <w:p w14:paraId="29864D24" w14:textId="77777777" w:rsidR="00EF1D3F" w:rsidRPr="004C530C" w:rsidRDefault="00EF1D3F" w:rsidP="00DC65D6">
            <w:pPr>
              <w:spacing w:after="0" w:line="240" w:lineRule="auto"/>
              <w:rPr>
                <w:rFonts w:ascii="Garamond" w:eastAsia="Times New Roman" w:hAnsi="Garamond" w:cs="Calibri"/>
                <w:color w:val="000000"/>
                <w:sz w:val="20"/>
                <w:szCs w:val="20"/>
              </w:rPr>
            </w:pPr>
          </w:p>
        </w:tc>
      </w:tr>
    </w:tbl>
    <w:p w14:paraId="289A075A" w14:textId="77777777" w:rsidR="00EF1D3F" w:rsidRPr="004376B2" w:rsidRDefault="00EF1D3F" w:rsidP="00EF1D3F">
      <w:pPr>
        <w:pStyle w:val="NoSpacing"/>
        <w:ind w:firstLine="0"/>
        <w:rPr>
          <w:rFonts w:eastAsia="Times New Roman" w:cs="Calibri"/>
          <w:i/>
          <w:color w:val="000000"/>
          <w:sz w:val="28"/>
          <w:szCs w:val="28"/>
        </w:rPr>
      </w:pPr>
      <w:r w:rsidRPr="004376B2">
        <w:rPr>
          <w:rFonts w:eastAsia="Times New Roman" w:cs="Calibri"/>
          <w:i/>
          <w:color w:val="000000"/>
          <w:sz w:val="28"/>
          <w:szCs w:val="28"/>
        </w:rPr>
        <w:lastRenderedPageBreak/>
        <w:t>Additional Information for Endogeneity Section</w:t>
      </w:r>
    </w:p>
    <w:p w14:paraId="3818DAA4" w14:textId="77777777" w:rsidR="00EF1D3F" w:rsidRDefault="00EF1D3F" w:rsidP="00EF1D3F">
      <w:pPr>
        <w:pStyle w:val="NoSpacing"/>
        <w:rPr>
          <w:rFonts w:eastAsia="Times New Roman" w:cs="Calibri"/>
          <w:b/>
          <w:color w:val="000000"/>
        </w:rPr>
      </w:pPr>
    </w:p>
    <w:p w14:paraId="2C88A257" w14:textId="77777777" w:rsidR="00EF1D3F" w:rsidRPr="0061760E" w:rsidRDefault="00EF1D3F" w:rsidP="00EF1D3F">
      <w:pPr>
        <w:pStyle w:val="NoSpacing"/>
        <w:ind w:firstLine="0"/>
        <w:rPr>
          <w:rFonts w:eastAsia="Times New Roman" w:cs="Calibri"/>
          <w:b/>
          <w:color w:val="000000"/>
        </w:rPr>
      </w:pPr>
      <w:r w:rsidRPr="0061760E">
        <w:rPr>
          <w:rFonts w:eastAsia="Times New Roman" w:cs="Calibri"/>
          <w:b/>
          <w:color w:val="000000"/>
        </w:rPr>
        <w:t>Michoacán and Guerrero</w:t>
      </w:r>
    </w:p>
    <w:p w14:paraId="10C8B881" w14:textId="3BB87F43" w:rsidR="00EF1D3F" w:rsidRDefault="00EF1D3F" w:rsidP="00EF1D3F">
      <w:pPr>
        <w:pStyle w:val="NoSpacing"/>
        <w:ind w:firstLine="0"/>
      </w:pPr>
      <w:r w:rsidRPr="0061760E">
        <w:rPr>
          <w:rFonts w:eastAsia="Times New Roman" w:cs="Calibri"/>
          <w:color w:val="000000"/>
        </w:rPr>
        <w:t>As shown in Map 2</w:t>
      </w:r>
      <w:r>
        <w:rPr>
          <w:rFonts w:eastAsia="Times New Roman" w:cs="Calibri"/>
          <w:color w:val="000000"/>
        </w:rPr>
        <w:t xml:space="preserve"> in the main </w:t>
      </w:r>
      <w:r w:rsidR="00D55FCD">
        <w:rPr>
          <w:rFonts w:eastAsia="Times New Roman" w:cs="Calibri"/>
          <w:color w:val="000000"/>
        </w:rPr>
        <w:t>article</w:t>
      </w:r>
      <w:r>
        <w:rPr>
          <w:rFonts w:eastAsia="Times New Roman" w:cs="Calibri"/>
          <w:color w:val="000000"/>
        </w:rPr>
        <w:t>,</w:t>
      </w:r>
      <w:r w:rsidRPr="0061760E">
        <w:rPr>
          <w:rFonts w:eastAsia="Times New Roman" w:cs="Calibri"/>
          <w:color w:val="000000"/>
        </w:rPr>
        <w:t xml:space="preserve"> we use municipalities from the Tierra Caliente region </w:t>
      </w:r>
      <w:r>
        <w:rPr>
          <w:rFonts w:eastAsia="Times New Roman" w:cs="Calibri"/>
          <w:color w:val="000000"/>
        </w:rPr>
        <w:t xml:space="preserve">located across the state borders of Michoacán and Guerrero </w:t>
      </w:r>
      <w:r w:rsidRPr="00E8043A">
        <w:t xml:space="preserve">to </w:t>
      </w:r>
      <w:r>
        <w:t xml:space="preserve">isolate the potential </w:t>
      </w:r>
      <w:r w:rsidRPr="00E8043A">
        <w:t>impact of</w:t>
      </w:r>
      <w:r>
        <w:t xml:space="preserve"> subnational</w:t>
      </w:r>
      <w:r w:rsidRPr="00E8043A">
        <w:t xml:space="preserve"> </w:t>
      </w:r>
      <w:r>
        <w:t>election cycles on criminal attacks against local authorities, party candidates</w:t>
      </w:r>
      <w:r w:rsidR="00945B18">
        <w:t>,</w:t>
      </w:r>
      <w:r>
        <w:t xml:space="preserve"> and party activists. Table A.III reports </w:t>
      </w:r>
      <w:r w:rsidR="00D55FCD">
        <w:t xml:space="preserve">detailed </w:t>
      </w:r>
      <w:r>
        <w:t>information about these two regi</w:t>
      </w:r>
      <w:r w:rsidR="00041978">
        <w:t>ons. The</w:t>
      </w:r>
      <w:r>
        <w:t xml:space="preserve"> comparison reveals that this is a </w:t>
      </w:r>
      <w:r w:rsidR="00D55FCD">
        <w:t xml:space="preserve">set of </w:t>
      </w:r>
      <w:r>
        <w:t xml:space="preserve">remarkably similar municipalities that happen to be separated by state borders. Note that the table </w:t>
      </w:r>
      <w:r w:rsidR="00D55FCD">
        <w:t xml:space="preserve">includes </w:t>
      </w:r>
      <w:r>
        <w:t>information that may not be directly relevant for the study of criminal attacks</w:t>
      </w:r>
      <w:r w:rsidR="00041978">
        <w:t xml:space="preserve"> (e.g., % Catholics per municipality)</w:t>
      </w:r>
      <w:r>
        <w:t xml:space="preserve"> but that nonetheless helps us </w:t>
      </w:r>
      <w:r w:rsidR="00041978">
        <w:t xml:space="preserve">substantiate </w:t>
      </w:r>
      <w:r>
        <w:t>that on average the sample of Tierra Caliente municipalities from Michoacán share</w:t>
      </w:r>
      <w:r w:rsidR="00D55FCD">
        <w:t>s</w:t>
      </w:r>
      <w:r>
        <w:t xml:space="preserve"> multiple characteristics with the sample of Tierra Caliente municipalities from Guerrero –</w:t>
      </w:r>
      <w:r w:rsidR="002C3151">
        <w:t xml:space="preserve"> in other words, </w:t>
      </w:r>
      <w:r w:rsidR="00041978">
        <w:t xml:space="preserve">that </w:t>
      </w:r>
      <w:r w:rsidR="002C3151">
        <w:t xml:space="preserve">in </w:t>
      </w:r>
      <w:r w:rsidR="00041978">
        <w:t>terms of geography and key</w:t>
      </w:r>
      <w:r w:rsidR="002C3151">
        <w:t xml:space="preserve"> sociodemographic, cultura</w:t>
      </w:r>
      <w:r w:rsidR="00041978">
        <w:t>l, economic and political features</w:t>
      </w:r>
      <w:r w:rsidR="002C3151">
        <w:t xml:space="preserve"> this is a self-contained region split by a state border.</w:t>
      </w:r>
      <w:r w:rsidR="002C3151">
        <w:rPr>
          <w:rStyle w:val="FootnoteReference"/>
        </w:rPr>
        <w:footnoteReference w:id="1"/>
      </w:r>
      <w:r>
        <w:t xml:space="preserve"> </w:t>
      </w:r>
    </w:p>
    <w:p w14:paraId="7F5AD89E" w14:textId="3E8C9211" w:rsidR="00EF1D3F" w:rsidRDefault="00EF1D3F" w:rsidP="00EF1D3F">
      <w:pPr>
        <w:pStyle w:val="NoSpacing"/>
      </w:pPr>
      <w:r>
        <w:t xml:space="preserve">Situated in the basin of the Balsas River, the Tierra Caliente municipalities comprise a low-level region that is </w:t>
      </w:r>
      <w:r w:rsidR="00D95312">
        <w:t xml:space="preserve">fairly </w:t>
      </w:r>
      <w:r>
        <w:t>distant from the Michoacán and Guerrero state capitals. Pred</w:t>
      </w:r>
      <w:r w:rsidR="00041978">
        <w:t>ominantly rural and Catholic, this</w:t>
      </w:r>
      <w:r>
        <w:t xml:space="preserve"> is a region where </w:t>
      </w:r>
      <w:r w:rsidR="00AF746A">
        <w:t>over one-third to a half</w:t>
      </w:r>
      <w:r>
        <w:t xml:space="preserve"> of the population </w:t>
      </w:r>
      <w:r w:rsidR="00D95312">
        <w:t xml:space="preserve">are </w:t>
      </w:r>
      <w:r>
        <w:t>empl</w:t>
      </w:r>
      <w:r w:rsidR="00041978">
        <w:t>oyed in agricultural activities</w:t>
      </w:r>
      <w:r w:rsidR="008B4F74">
        <w:t>, and the rest participate in mining and service-related activities.</w:t>
      </w:r>
      <w:r>
        <w:t xml:space="preserve"> Municipalities on both sides of the border have the same level of poverty (</w:t>
      </w:r>
      <w:r w:rsidR="00BC141E">
        <w:t xml:space="preserve">almost </w:t>
      </w:r>
      <w:r>
        <w:t>half the population living in conditions of destitution)</w:t>
      </w:r>
      <w:r w:rsidR="00BC141E">
        <w:t>,</w:t>
      </w:r>
      <w:r>
        <w:t xml:space="preserve"> and levels of income inequality are practically identical. </w:t>
      </w:r>
      <w:r w:rsidR="00BC141E">
        <w:t>M</w:t>
      </w:r>
      <w:r>
        <w:t xml:space="preserve">unicipalities on both sides of the border </w:t>
      </w:r>
      <w:r w:rsidR="00525296">
        <w:t xml:space="preserve">have very weak taxing capacities and </w:t>
      </w:r>
      <w:r>
        <w:t xml:space="preserve">are </w:t>
      </w:r>
      <w:r w:rsidR="00525296">
        <w:t xml:space="preserve">by default </w:t>
      </w:r>
      <w:r>
        <w:t xml:space="preserve">equally dependent on fiscal transfers from the federal government. Politically, </w:t>
      </w:r>
      <w:r w:rsidR="00284CA6">
        <w:t xml:space="preserve">both states have a long </w:t>
      </w:r>
      <w:r w:rsidR="00BC141E">
        <w:t xml:space="preserve">leftist </w:t>
      </w:r>
      <w:r w:rsidR="00284CA6">
        <w:t>tradition</w:t>
      </w:r>
      <w:r w:rsidR="00BC141E">
        <w:t>,</w:t>
      </w:r>
      <w:r w:rsidR="00284CA6">
        <w:t xml:space="preserve"> and </w:t>
      </w:r>
      <w:r>
        <w:t>in 2011 both were ruled by governors from the leftist PRD</w:t>
      </w:r>
      <w:r w:rsidR="00DA2B61">
        <w:t>. At a more local level</w:t>
      </w:r>
      <w:r>
        <w:t xml:space="preserve">, Tierra Caliente municipalities on both sides of the border have been ruled by elected officials from the PRI and the </w:t>
      </w:r>
      <w:r w:rsidR="00284CA6">
        <w:t>PRD</w:t>
      </w:r>
      <w:r w:rsidR="00BC141E">
        <w:t>,</w:t>
      </w:r>
      <w:r w:rsidR="00284CA6">
        <w:t xml:space="preserve"> and</w:t>
      </w:r>
      <w:r>
        <w:t xml:space="preserve"> the conservative PAN has had a very limited presence.</w:t>
      </w:r>
    </w:p>
    <w:p w14:paraId="5B352899" w14:textId="06A04935" w:rsidR="00EF1D3F" w:rsidRPr="00E8043A" w:rsidRDefault="00EF1D3F" w:rsidP="00EF1D3F">
      <w:pPr>
        <w:pStyle w:val="NoSpacing"/>
      </w:pPr>
      <w:r>
        <w:t>Tierra Caliente is known as a violent region that has become a focal point for drug production (marijuana and poppy), drug trafficking (marijuana and poppy), and deadly inter-cartel wars</w:t>
      </w:r>
      <w:r w:rsidR="00284CA6">
        <w:t xml:space="preserve"> in the 2000s</w:t>
      </w:r>
      <w:r w:rsidR="00A20E44">
        <w:t xml:space="preserve"> (Zepeda 2018)</w:t>
      </w:r>
      <w:r>
        <w:t xml:space="preserve">. La Familia Michoacana had been the dominant cartel on the </w:t>
      </w:r>
      <w:r>
        <w:lastRenderedPageBreak/>
        <w:t>Michoacán side</w:t>
      </w:r>
      <w:r w:rsidR="00284CA6">
        <w:t xml:space="preserve"> of the border</w:t>
      </w:r>
      <w:r w:rsidR="00BC141E">
        <w:t>,</w:t>
      </w:r>
      <w:r>
        <w:t xml:space="preserve"> and the S</w:t>
      </w:r>
      <w:r w:rsidR="00284CA6">
        <w:t>inaloa Cartel first and later</w:t>
      </w:r>
      <w:r>
        <w:t xml:space="preserve"> breakaways from the Sinaloans dominated the Guerrero side</w:t>
      </w:r>
      <w:r w:rsidR="00284CA6">
        <w:t xml:space="preserve"> of the border</w:t>
      </w:r>
      <w:r w:rsidR="00A20E44">
        <w:t xml:space="preserve"> (Grillo 2011)</w:t>
      </w:r>
      <w:r>
        <w:t xml:space="preserve">. By 2010, however, </w:t>
      </w:r>
      <w:r w:rsidR="00284CA6">
        <w:t xml:space="preserve">municipalities from </w:t>
      </w:r>
      <w:r>
        <w:t>both sides</w:t>
      </w:r>
      <w:r w:rsidR="00284CA6">
        <w:t xml:space="preserve"> of the state border</w:t>
      </w:r>
      <w:r>
        <w:t xml:space="preserve"> were immersed in major turf wars: La Familia</w:t>
      </w:r>
      <w:r w:rsidR="00284CA6">
        <w:t xml:space="preserve"> Michoacana against the Sinaloa Cartel</w:t>
      </w:r>
      <w:r>
        <w:t xml:space="preserve"> on the M</w:t>
      </w:r>
      <w:r w:rsidR="00284CA6">
        <w:t>ichoacán side and La Familia against</w:t>
      </w:r>
      <w:r>
        <w:t xml:space="preserve"> breakaways from the Sinaloans on the Guerrero side</w:t>
      </w:r>
      <w:r w:rsidR="00A20E44">
        <w:t xml:space="preserve"> (Kyle 2015)</w:t>
      </w:r>
      <w:r>
        <w:t xml:space="preserve">. </w:t>
      </w:r>
      <w:r w:rsidR="00284CA6">
        <w:t xml:space="preserve">As the evidence from CVM reported </w:t>
      </w:r>
      <w:r w:rsidR="00F53DEE">
        <w:t>i</w:t>
      </w:r>
      <w:r w:rsidR="00284CA6">
        <w:t>n Table A.III reveals, i</w:t>
      </w:r>
      <w:r>
        <w:t>nter-cart</w:t>
      </w:r>
      <w:r w:rsidR="00284CA6">
        <w:t xml:space="preserve">el violence </w:t>
      </w:r>
      <w:r w:rsidR="00F53DEE">
        <w:t xml:space="preserve">has been </w:t>
      </w:r>
      <w:r w:rsidR="00284CA6">
        <w:t>more intense</w:t>
      </w:r>
      <w:r>
        <w:t xml:space="preserve"> among the Tierra Caliente municipalities of Guerrero</w:t>
      </w:r>
      <w:r w:rsidR="00F53DEE">
        <w:t>, but evidence from CAPAM shows that</w:t>
      </w:r>
      <w:r>
        <w:t xml:space="preserve"> </w:t>
      </w:r>
      <w:r w:rsidR="00F53DEE">
        <w:t>p</w:t>
      </w:r>
      <w:r>
        <w:t>rior to 2011</w:t>
      </w:r>
      <w:r w:rsidR="00284CA6">
        <w:t xml:space="preserve"> municipalities from both sides of the state borders</w:t>
      </w:r>
      <w:r>
        <w:t xml:space="preserve"> had similar histories of </w:t>
      </w:r>
      <w:r w:rsidR="00284CA6">
        <w:t xml:space="preserve">criminal </w:t>
      </w:r>
      <w:r>
        <w:t xml:space="preserve">attacks against local government </w:t>
      </w:r>
      <w:r w:rsidR="007B7831">
        <w:t>officials</w:t>
      </w:r>
      <w:r>
        <w:t xml:space="preserve"> and </w:t>
      </w:r>
      <w:r w:rsidR="00284CA6">
        <w:t>party candidates. Taking a national view,</w:t>
      </w:r>
      <w:r>
        <w:t xml:space="preserve"> </w:t>
      </w:r>
      <w:r w:rsidR="00284CA6">
        <w:t xml:space="preserve">this was </w:t>
      </w:r>
      <w:r>
        <w:t xml:space="preserve">one of Mexico’s deadliest regions for mayors and local party candidates.      </w:t>
      </w:r>
    </w:p>
    <w:p w14:paraId="21635185" w14:textId="605D9F64" w:rsidR="00EF1D3F" w:rsidRDefault="00EF1D3F" w:rsidP="00EF1D3F">
      <w:pPr>
        <w:pStyle w:val="NoSpacing"/>
        <w:rPr>
          <w:rFonts w:eastAsia="Times New Roman" w:cs="Calibri"/>
          <w:color w:val="000000"/>
        </w:rPr>
      </w:pPr>
      <w:r>
        <w:rPr>
          <w:rFonts w:eastAsia="Times New Roman" w:cs="Calibri"/>
          <w:color w:val="000000"/>
        </w:rPr>
        <w:t>Despite multiple simila</w:t>
      </w:r>
      <w:r w:rsidR="00284CA6">
        <w:rPr>
          <w:rFonts w:eastAsia="Times New Roman" w:cs="Calibri"/>
          <w:color w:val="000000"/>
        </w:rPr>
        <w:t xml:space="preserve">rities, Tierra Caliente municipalities from the </w:t>
      </w:r>
      <w:r w:rsidR="00F53DEE">
        <w:rPr>
          <w:rFonts w:eastAsia="Times New Roman" w:cs="Calibri"/>
          <w:color w:val="000000"/>
        </w:rPr>
        <w:t xml:space="preserve">two </w:t>
      </w:r>
      <w:r w:rsidR="00284CA6">
        <w:rPr>
          <w:rFonts w:eastAsia="Times New Roman" w:cs="Calibri"/>
          <w:color w:val="000000"/>
        </w:rPr>
        <w:t>state</w:t>
      </w:r>
      <w:r w:rsidR="00F53DEE">
        <w:rPr>
          <w:rFonts w:eastAsia="Times New Roman" w:cs="Calibri"/>
          <w:color w:val="000000"/>
        </w:rPr>
        <w:t>s</w:t>
      </w:r>
      <w:r w:rsidR="00284CA6">
        <w:rPr>
          <w:rFonts w:eastAsia="Times New Roman" w:cs="Calibri"/>
          <w:color w:val="000000"/>
        </w:rPr>
        <w:t xml:space="preserve"> </w:t>
      </w:r>
      <w:r>
        <w:rPr>
          <w:rFonts w:eastAsia="Times New Roman" w:cs="Calibri"/>
          <w:color w:val="000000"/>
        </w:rPr>
        <w:t>had one signifi</w:t>
      </w:r>
      <w:r w:rsidR="00A20E44">
        <w:rPr>
          <w:rFonts w:eastAsia="Times New Roman" w:cs="Calibri"/>
          <w:color w:val="000000"/>
        </w:rPr>
        <w:t xml:space="preserve">cant difference: </w:t>
      </w:r>
      <w:r w:rsidR="00284CA6">
        <w:rPr>
          <w:rFonts w:eastAsia="Times New Roman" w:cs="Calibri"/>
          <w:color w:val="000000"/>
        </w:rPr>
        <w:t xml:space="preserve">in 2011 </w:t>
      </w:r>
      <w:r>
        <w:rPr>
          <w:rFonts w:eastAsia="Times New Roman" w:cs="Calibri"/>
          <w:color w:val="000000"/>
        </w:rPr>
        <w:t>Michoacán had a full subnational election cycle (governor, state legislature</w:t>
      </w:r>
      <w:r w:rsidR="00F53DEE">
        <w:rPr>
          <w:rFonts w:eastAsia="Times New Roman" w:cs="Calibri"/>
          <w:color w:val="000000"/>
        </w:rPr>
        <w:t>,</w:t>
      </w:r>
      <w:r>
        <w:rPr>
          <w:rFonts w:eastAsia="Times New Roman" w:cs="Calibri"/>
          <w:color w:val="000000"/>
        </w:rPr>
        <w:t xml:space="preserve"> and mayors)</w:t>
      </w:r>
      <w:r w:rsidR="00F53DEE">
        <w:rPr>
          <w:rFonts w:eastAsia="Times New Roman" w:cs="Calibri"/>
          <w:color w:val="000000"/>
        </w:rPr>
        <w:t>,</w:t>
      </w:r>
      <w:r>
        <w:rPr>
          <w:rFonts w:eastAsia="Times New Roman" w:cs="Calibri"/>
          <w:color w:val="000000"/>
        </w:rPr>
        <w:t xml:space="preserve"> while Guerrero had a partial cycle (governor). </w:t>
      </w:r>
      <w:r w:rsidR="00F53DEE">
        <w:rPr>
          <w:rFonts w:eastAsia="Times New Roman" w:cs="Calibri"/>
          <w:color w:val="000000"/>
        </w:rPr>
        <w:t>Although there was</w:t>
      </w:r>
      <w:r>
        <w:rPr>
          <w:rFonts w:eastAsia="Times New Roman" w:cs="Calibri"/>
          <w:color w:val="000000"/>
        </w:rPr>
        <w:t xml:space="preserve"> a long history of criminal attacks against municipal authorities and local party candidates</w:t>
      </w:r>
      <w:r w:rsidR="00284CA6">
        <w:rPr>
          <w:rFonts w:eastAsia="Times New Roman" w:cs="Calibri"/>
          <w:color w:val="000000"/>
        </w:rPr>
        <w:t xml:space="preserve"> in both regions</w:t>
      </w:r>
      <w:r>
        <w:rPr>
          <w:rFonts w:eastAsia="Times New Roman" w:cs="Calibri"/>
          <w:color w:val="000000"/>
        </w:rPr>
        <w:t xml:space="preserve">, in 2011 </w:t>
      </w:r>
      <w:r w:rsidR="00284CA6">
        <w:rPr>
          <w:rFonts w:eastAsia="Times New Roman" w:cs="Calibri"/>
          <w:color w:val="000000"/>
        </w:rPr>
        <w:t>the Michoacán municipalities experienced</w:t>
      </w:r>
      <w:r>
        <w:rPr>
          <w:rFonts w:eastAsia="Times New Roman" w:cs="Calibri"/>
          <w:color w:val="000000"/>
        </w:rPr>
        <w:t xml:space="preserve"> eight</w:t>
      </w:r>
      <w:r w:rsidR="00F53DEE">
        <w:rPr>
          <w:rFonts w:eastAsia="Times New Roman" w:cs="Calibri"/>
          <w:color w:val="000000"/>
        </w:rPr>
        <w:t xml:space="preserve"> </w:t>
      </w:r>
      <w:r w:rsidR="00284CA6">
        <w:rPr>
          <w:rFonts w:eastAsia="Times New Roman" w:cs="Calibri"/>
          <w:color w:val="000000"/>
        </w:rPr>
        <w:t>times</w:t>
      </w:r>
      <w:r>
        <w:rPr>
          <w:rFonts w:eastAsia="Times New Roman" w:cs="Calibri"/>
          <w:color w:val="000000"/>
        </w:rPr>
        <w:t xml:space="preserve"> more attacks than their Guerrero counterparts. As Table A.III shows, this ga</w:t>
      </w:r>
      <w:r w:rsidR="00284CA6">
        <w:rPr>
          <w:rFonts w:eastAsia="Times New Roman" w:cs="Calibri"/>
          <w:color w:val="000000"/>
        </w:rPr>
        <w:t>p remains significantly large even if we weight the number of attacks by population size.</w:t>
      </w:r>
      <w:r w:rsidR="00DC65D6">
        <w:rPr>
          <w:rFonts w:eastAsia="Times New Roman" w:cs="Calibri"/>
          <w:color w:val="000000"/>
        </w:rPr>
        <w:t xml:space="preserve"> As we argue in the </w:t>
      </w:r>
      <w:r w:rsidR="001240BE">
        <w:rPr>
          <w:rFonts w:eastAsia="Times New Roman" w:cs="Calibri"/>
          <w:color w:val="000000"/>
        </w:rPr>
        <w:t>article</w:t>
      </w:r>
      <w:r w:rsidR="00DC65D6">
        <w:rPr>
          <w:rFonts w:eastAsia="Times New Roman" w:cs="Calibri"/>
          <w:color w:val="000000"/>
        </w:rPr>
        <w:t>, we attribute this gap in attacks t</w:t>
      </w:r>
      <w:r w:rsidR="00284CA6">
        <w:rPr>
          <w:rFonts w:eastAsia="Times New Roman" w:cs="Calibri"/>
          <w:color w:val="000000"/>
        </w:rPr>
        <w:t>o the opportunities that a full</w:t>
      </w:r>
      <w:r w:rsidR="00DC65D6">
        <w:rPr>
          <w:rFonts w:eastAsia="Times New Roman" w:cs="Calibri"/>
          <w:color w:val="000000"/>
        </w:rPr>
        <w:t xml:space="preserve"> subnational election cycle opened in Michoacán in 2011</w:t>
      </w:r>
      <w:r w:rsidR="00284CA6">
        <w:rPr>
          <w:rFonts w:eastAsia="Times New Roman" w:cs="Calibri"/>
          <w:color w:val="000000"/>
        </w:rPr>
        <w:t xml:space="preserve"> – including the election of </w:t>
      </w:r>
      <w:r w:rsidR="002248DD" w:rsidRPr="00A66659">
        <w:rPr>
          <w:rFonts w:eastAsia="Times New Roman" w:cs="Calibri"/>
          <w:color w:val="000000"/>
        </w:rPr>
        <w:t>113</w:t>
      </w:r>
      <w:r w:rsidR="00284CA6">
        <w:rPr>
          <w:rFonts w:eastAsia="Times New Roman" w:cs="Calibri"/>
          <w:color w:val="000000"/>
        </w:rPr>
        <w:t xml:space="preserve"> </w:t>
      </w:r>
      <w:r w:rsidR="002248DD">
        <w:rPr>
          <w:rFonts w:eastAsia="Times New Roman" w:cs="Calibri"/>
          <w:color w:val="000000"/>
        </w:rPr>
        <w:t xml:space="preserve">new </w:t>
      </w:r>
      <w:r w:rsidR="00284CA6">
        <w:rPr>
          <w:rFonts w:eastAsia="Times New Roman" w:cs="Calibri"/>
          <w:color w:val="000000"/>
        </w:rPr>
        <w:t>mayors – but not in Guerrero</w:t>
      </w:r>
      <w:r w:rsidR="00DC65D6">
        <w:rPr>
          <w:rFonts w:eastAsia="Times New Roman" w:cs="Calibri"/>
          <w:color w:val="000000"/>
        </w:rPr>
        <w:t>.</w:t>
      </w:r>
    </w:p>
    <w:p w14:paraId="57BFB085" w14:textId="3DD55132" w:rsidR="004834D8" w:rsidRDefault="00663143" w:rsidP="00EF1D3F">
      <w:pPr>
        <w:pStyle w:val="NoSpacing"/>
        <w:rPr>
          <w:rFonts w:eastAsia="Times New Roman" w:cs="Calibri"/>
          <w:color w:val="000000"/>
        </w:rPr>
      </w:pPr>
      <w:r>
        <w:rPr>
          <w:rFonts w:eastAsia="Times New Roman" w:cs="Calibri"/>
          <w:color w:val="000000"/>
        </w:rPr>
        <w:t xml:space="preserve">Note that although peasants and OCGs on both sides of the </w:t>
      </w:r>
      <w:r w:rsidR="00284CA6">
        <w:rPr>
          <w:rFonts w:eastAsia="Times New Roman" w:cs="Calibri"/>
          <w:color w:val="000000"/>
        </w:rPr>
        <w:t xml:space="preserve">state </w:t>
      </w:r>
      <w:r>
        <w:rPr>
          <w:rFonts w:eastAsia="Times New Roman" w:cs="Calibri"/>
          <w:color w:val="000000"/>
        </w:rPr>
        <w:t>border</w:t>
      </w:r>
      <w:r w:rsidR="00284CA6">
        <w:rPr>
          <w:rFonts w:eastAsia="Times New Roman" w:cs="Calibri"/>
          <w:color w:val="000000"/>
        </w:rPr>
        <w:t>s</w:t>
      </w:r>
      <w:r>
        <w:rPr>
          <w:rFonts w:eastAsia="Times New Roman" w:cs="Calibri"/>
          <w:color w:val="000000"/>
        </w:rPr>
        <w:t xml:space="preserve"> are engaged in marijuana and poppy cultivation, the evidence from crop eradication </w:t>
      </w:r>
      <w:r w:rsidR="002A00E1">
        <w:rPr>
          <w:rFonts w:eastAsia="Times New Roman" w:cs="Calibri"/>
          <w:color w:val="000000"/>
        </w:rPr>
        <w:t xml:space="preserve">reported in Table A.III </w:t>
      </w:r>
      <w:r w:rsidR="00C62E1D">
        <w:rPr>
          <w:rFonts w:eastAsia="Times New Roman" w:cs="Calibri"/>
          <w:color w:val="000000"/>
        </w:rPr>
        <w:t>c</w:t>
      </w:r>
      <w:r w:rsidR="002248DD">
        <w:rPr>
          <w:rFonts w:eastAsia="Times New Roman" w:cs="Calibri"/>
          <w:color w:val="000000"/>
        </w:rPr>
        <w:t>ould</w:t>
      </w:r>
      <w:r w:rsidR="00C62E1D">
        <w:rPr>
          <w:rFonts w:eastAsia="Times New Roman" w:cs="Calibri"/>
          <w:color w:val="000000"/>
        </w:rPr>
        <w:t xml:space="preserve"> </w:t>
      </w:r>
      <w:r w:rsidR="002A00E1">
        <w:rPr>
          <w:rFonts w:eastAsia="Times New Roman" w:cs="Calibri"/>
          <w:color w:val="000000"/>
        </w:rPr>
        <w:t xml:space="preserve">be considered as </w:t>
      </w:r>
      <w:r w:rsidR="00F30A0E">
        <w:rPr>
          <w:rFonts w:eastAsia="Times New Roman" w:cs="Calibri"/>
          <w:color w:val="000000"/>
        </w:rPr>
        <w:t xml:space="preserve">a </w:t>
      </w:r>
      <w:r w:rsidR="002A00E1">
        <w:rPr>
          <w:rFonts w:eastAsia="Times New Roman" w:cs="Calibri"/>
          <w:color w:val="000000"/>
        </w:rPr>
        <w:t>partial indication</w:t>
      </w:r>
      <w:r>
        <w:rPr>
          <w:rFonts w:eastAsia="Times New Roman" w:cs="Calibri"/>
          <w:color w:val="000000"/>
        </w:rPr>
        <w:t xml:space="preserve"> that poppy cultiv</w:t>
      </w:r>
      <w:r w:rsidR="002248DD">
        <w:rPr>
          <w:rFonts w:eastAsia="Times New Roman" w:cs="Calibri"/>
          <w:color w:val="000000"/>
        </w:rPr>
        <w:t xml:space="preserve">ation is </w:t>
      </w:r>
      <w:r w:rsidR="00975F9D">
        <w:rPr>
          <w:rFonts w:eastAsia="Times New Roman" w:cs="Calibri"/>
          <w:color w:val="000000"/>
        </w:rPr>
        <w:t xml:space="preserve">significantly </w:t>
      </w:r>
      <w:r w:rsidR="002248DD">
        <w:rPr>
          <w:rFonts w:eastAsia="Times New Roman" w:cs="Calibri"/>
          <w:color w:val="000000"/>
        </w:rPr>
        <w:t>greater i</w:t>
      </w:r>
      <w:r>
        <w:rPr>
          <w:rFonts w:eastAsia="Times New Roman" w:cs="Calibri"/>
          <w:color w:val="000000"/>
        </w:rPr>
        <w:t>n the Guerrero municipalities</w:t>
      </w:r>
      <w:r w:rsidR="002248DD">
        <w:rPr>
          <w:rFonts w:eastAsia="Times New Roman" w:cs="Calibri"/>
          <w:color w:val="000000"/>
        </w:rPr>
        <w:t xml:space="preserve"> than in Michoacán</w:t>
      </w:r>
      <w:r>
        <w:rPr>
          <w:rFonts w:eastAsia="Times New Roman" w:cs="Calibri"/>
          <w:color w:val="000000"/>
        </w:rPr>
        <w:t>. To be sure, only</w:t>
      </w:r>
      <w:r w:rsidR="002248DD">
        <w:rPr>
          <w:rFonts w:eastAsia="Times New Roman" w:cs="Calibri"/>
          <w:color w:val="000000"/>
        </w:rPr>
        <w:t xml:space="preserve"> some parts of </w:t>
      </w:r>
      <w:r w:rsidR="00C62E1D">
        <w:rPr>
          <w:rFonts w:eastAsia="Times New Roman" w:cs="Calibri"/>
          <w:color w:val="000000"/>
        </w:rPr>
        <w:t xml:space="preserve">the territory of </w:t>
      </w:r>
      <w:r w:rsidR="007D21B3">
        <w:rPr>
          <w:rFonts w:eastAsia="Times New Roman" w:cs="Calibri"/>
          <w:color w:val="000000"/>
        </w:rPr>
        <w:t>three</w:t>
      </w:r>
      <w:r>
        <w:rPr>
          <w:rFonts w:eastAsia="Times New Roman" w:cs="Calibri"/>
          <w:color w:val="000000"/>
        </w:rPr>
        <w:t xml:space="preserve"> of the</w:t>
      </w:r>
      <w:r w:rsidR="00C62E1D">
        <w:rPr>
          <w:rFonts w:eastAsia="Times New Roman" w:cs="Calibri"/>
          <w:color w:val="000000"/>
        </w:rPr>
        <w:t xml:space="preserve"> </w:t>
      </w:r>
      <w:r>
        <w:rPr>
          <w:rFonts w:eastAsia="Times New Roman" w:cs="Calibri"/>
          <w:color w:val="000000"/>
        </w:rPr>
        <w:t>municipal</w:t>
      </w:r>
      <w:r w:rsidR="002C3151">
        <w:rPr>
          <w:rFonts w:eastAsia="Times New Roman" w:cs="Calibri"/>
          <w:color w:val="000000"/>
        </w:rPr>
        <w:t>ities</w:t>
      </w:r>
      <w:r w:rsidR="002248DD">
        <w:rPr>
          <w:rFonts w:eastAsia="Times New Roman" w:cs="Calibri"/>
          <w:color w:val="000000"/>
        </w:rPr>
        <w:t xml:space="preserve"> in our sample (Coyuca de Catalán, Pungarabato</w:t>
      </w:r>
      <w:r w:rsidR="00F30A0E">
        <w:rPr>
          <w:rFonts w:eastAsia="Times New Roman" w:cs="Calibri"/>
          <w:color w:val="000000"/>
        </w:rPr>
        <w:t>,</w:t>
      </w:r>
      <w:r w:rsidR="002248DD">
        <w:rPr>
          <w:rFonts w:eastAsia="Times New Roman" w:cs="Calibri"/>
          <w:color w:val="000000"/>
        </w:rPr>
        <w:t xml:space="preserve"> and Ajuchitlán)</w:t>
      </w:r>
      <w:r w:rsidR="002C3151">
        <w:rPr>
          <w:rFonts w:eastAsia="Times New Roman" w:cs="Calibri"/>
          <w:color w:val="000000"/>
        </w:rPr>
        <w:t xml:space="preserve"> </w:t>
      </w:r>
      <w:r>
        <w:rPr>
          <w:rFonts w:eastAsia="Times New Roman" w:cs="Calibri"/>
          <w:color w:val="000000"/>
        </w:rPr>
        <w:t>are part of the “opium pentagon” – a majo</w:t>
      </w:r>
      <w:r w:rsidR="002C3151">
        <w:rPr>
          <w:rFonts w:eastAsia="Times New Roman" w:cs="Calibri"/>
          <w:color w:val="000000"/>
        </w:rPr>
        <w:t xml:space="preserve">r </w:t>
      </w:r>
      <w:r w:rsidR="00F7737F">
        <w:rPr>
          <w:rFonts w:eastAsia="Times New Roman" w:cs="Calibri"/>
          <w:color w:val="000000"/>
        </w:rPr>
        <w:t xml:space="preserve">mountainous </w:t>
      </w:r>
      <w:r w:rsidR="002C3151">
        <w:rPr>
          <w:rFonts w:eastAsia="Times New Roman" w:cs="Calibri"/>
          <w:color w:val="000000"/>
        </w:rPr>
        <w:t>area of poppy cultivation in</w:t>
      </w:r>
      <w:r>
        <w:rPr>
          <w:rFonts w:eastAsia="Times New Roman" w:cs="Calibri"/>
          <w:color w:val="000000"/>
        </w:rPr>
        <w:t xml:space="preserve"> the </w:t>
      </w:r>
      <w:r w:rsidR="00C62E1D">
        <w:rPr>
          <w:rFonts w:eastAsia="Times New Roman" w:cs="Calibri"/>
          <w:color w:val="000000"/>
        </w:rPr>
        <w:t xml:space="preserve">western and </w:t>
      </w:r>
      <w:r>
        <w:rPr>
          <w:rFonts w:eastAsia="Times New Roman" w:cs="Calibri"/>
          <w:color w:val="000000"/>
        </w:rPr>
        <w:t>central</w:t>
      </w:r>
      <w:r w:rsidR="002248DD">
        <w:rPr>
          <w:rFonts w:eastAsia="Times New Roman" w:cs="Calibri"/>
          <w:color w:val="000000"/>
        </w:rPr>
        <w:t xml:space="preserve"> part</w:t>
      </w:r>
      <w:r w:rsidR="002C3151">
        <w:rPr>
          <w:rFonts w:eastAsia="Times New Roman" w:cs="Calibri"/>
          <w:color w:val="000000"/>
        </w:rPr>
        <w:t xml:space="preserve"> of </w:t>
      </w:r>
      <w:r>
        <w:rPr>
          <w:rFonts w:eastAsia="Times New Roman" w:cs="Calibri"/>
          <w:color w:val="000000"/>
        </w:rPr>
        <w:t>Guerrero</w:t>
      </w:r>
      <w:r w:rsidR="007F3437">
        <w:rPr>
          <w:rFonts w:eastAsia="Times New Roman" w:cs="Calibri"/>
          <w:color w:val="000000"/>
        </w:rPr>
        <w:t xml:space="preserve"> (</w:t>
      </w:r>
      <w:r w:rsidR="003D7BEC">
        <w:rPr>
          <w:rFonts w:eastAsia="Times New Roman" w:cs="Calibri"/>
          <w:color w:val="000000"/>
        </w:rPr>
        <w:t xml:space="preserve">Greco </w:t>
      </w:r>
      <w:r w:rsidR="007F3437">
        <w:rPr>
          <w:rFonts w:eastAsia="Times New Roman" w:cs="Calibri"/>
          <w:color w:val="000000"/>
        </w:rPr>
        <w:t>and Espino 2015)</w:t>
      </w:r>
      <w:r>
        <w:rPr>
          <w:rFonts w:eastAsia="Times New Roman" w:cs="Calibri"/>
          <w:color w:val="000000"/>
        </w:rPr>
        <w:t xml:space="preserve">. This </w:t>
      </w:r>
      <w:r w:rsidR="004834D8">
        <w:rPr>
          <w:rFonts w:eastAsia="Times New Roman" w:cs="Calibri"/>
          <w:color w:val="000000"/>
        </w:rPr>
        <w:t xml:space="preserve">difference in poppy cultivation across regions </w:t>
      </w:r>
      <w:r>
        <w:rPr>
          <w:rFonts w:eastAsia="Times New Roman" w:cs="Calibri"/>
          <w:color w:val="000000"/>
        </w:rPr>
        <w:t>should not be a major concern for two re</w:t>
      </w:r>
      <w:r w:rsidR="002248DD">
        <w:rPr>
          <w:rFonts w:eastAsia="Times New Roman" w:cs="Calibri"/>
          <w:color w:val="000000"/>
        </w:rPr>
        <w:t>asons. First, a significant share</w:t>
      </w:r>
      <w:r>
        <w:rPr>
          <w:rFonts w:eastAsia="Times New Roman" w:cs="Calibri"/>
          <w:color w:val="000000"/>
        </w:rPr>
        <w:t xml:space="preserve"> of the poppy produced in the</w:t>
      </w:r>
      <w:r w:rsidR="00F7737F">
        <w:rPr>
          <w:rFonts w:eastAsia="Times New Roman" w:cs="Calibri"/>
          <w:color w:val="000000"/>
        </w:rPr>
        <w:t xml:space="preserve"> Guerrero </w:t>
      </w:r>
      <w:r>
        <w:rPr>
          <w:rFonts w:eastAsia="Times New Roman" w:cs="Calibri"/>
          <w:color w:val="000000"/>
        </w:rPr>
        <w:t xml:space="preserve">municipalities is </w:t>
      </w:r>
      <w:r w:rsidR="007F3437">
        <w:rPr>
          <w:rFonts w:eastAsia="Times New Roman" w:cs="Calibri"/>
          <w:color w:val="000000"/>
        </w:rPr>
        <w:t>processed into heroin in</w:t>
      </w:r>
      <w:r>
        <w:rPr>
          <w:rFonts w:eastAsia="Times New Roman" w:cs="Calibri"/>
          <w:color w:val="000000"/>
        </w:rPr>
        <w:t xml:space="preserve"> the Tierra Caliente region of Michoacán </w:t>
      </w:r>
      <w:r w:rsidR="007F3437">
        <w:rPr>
          <w:rFonts w:eastAsia="Times New Roman" w:cs="Calibri"/>
          <w:color w:val="000000"/>
        </w:rPr>
        <w:t>and subsequently shipped</w:t>
      </w:r>
      <w:r w:rsidR="00175F12">
        <w:rPr>
          <w:rFonts w:eastAsia="Times New Roman" w:cs="Calibri"/>
          <w:color w:val="000000"/>
        </w:rPr>
        <w:t xml:space="preserve"> into the U</w:t>
      </w:r>
      <w:r w:rsidR="00F30A0E">
        <w:rPr>
          <w:rFonts w:eastAsia="Times New Roman" w:cs="Calibri"/>
          <w:color w:val="000000"/>
        </w:rPr>
        <w:t xml:space="preserve">nited </w:t>
      </w:r>
      <w:r w:rsidR="00175F12">
        <w:rPr>
          <w:rFonts w:eastAsia="Times New Roman" w:cs="Calibri"/>
          <w:color w:val="000000"/>
        </w:rPr>
        <w:t>S</w:t>
      </w:r>
      <w:r w:rsidR="00F30A0E">
        <w:rPr>
          <w:rFonts w:eastAsia="Times New Roman" w:cs="Calibri"/>
          <w:color w:val="000000"/>
        </w:rPr>
        <w:t>tates</w:t>
      </w:r>
      <w:r w:rsidR="00175F12">
        <w:rPr>
          <w:rFonts w:eastAsia="Times New Roman" w:cs="Calibri"/>
          <w:color w:val="000000"/>
        </w:rPr>
        <w:t xml:space="preserve">. </w:t>
      </w:r>
      <w:r w:rsidR="004834D8">
        <w:rPr>
          <w:rFonts w:eastAsia="Times New Roman" w:cs="Calibri"/>
          <w:color w:val="000000"/>
        </w:rPr>
        <w:t xml:space="preserve">Since both regions are involved in the production of heroin – one cultivating the plant and the other processing </w:t>
      </w:r>
      <w:r w:rsidR="00F7737F">
        <w:rPr>
          <w:rFonts w:eastAsia="Times New Roman" w:cs="Calibri"/>
          <w:color w:val="000000"/>
        </w:rPr>
        <w:t xml:space="preserve">it </w:t>
      </w:r>
      <w:r w:rsidR="004834D8">
        <w:rPr>
          <w:rFonts w:eastAsia="Times New Roman" w:cs="Calibri"/>
          <w:color w:val="000000"/>
        </w:rPr>
        <w:t xml:space="preserve">into an illegal drug – differences between both regions become less salient. </w:t>
      </w:r>
      <w:r w:rsidR="00175F12">
        <w:rPr>
          <w:rFonts w:eastAsia="Times New Roman" w:cs="Calibri"/>
          <w:color w:val="000000"/>
        </w:rPr>
        <w:t>Second,</w:t>
      </w:r>
      <w:r w:rsidR="002248DD">
        <w:rPr>
          <w:rFonts w:eastAsia="Times New Roman" w:cs="Calibri"/>
          <w:color w:val="000000"/>
        </w:rPr>
        <w:t xml:space="preserve"> due to the</w:t>
      </w:r>
      <w:r w:rsidR="00175F12">
        <w:rPr>
          <w:rFonts w:eastAsia="Times New Roman" w:cs="Calibri"/>
          <w:color w:val="000000"/>
        </w:rPr>
        <w:t xml:space="preserve"> </w:t>
      </w:r>
      <w:r w:rsidR="004834D8">
        <w:rPr>
          <w:rFonts w:eastAsia="Times New Roman" w:cs="Calibri"/>
          <w:color w:val="000000"/>
        </w:rPr>
        <w:t xml:space="preserve">heavy </w:t>
      </w:r>
      <w:r w:rsidR="00175F12">
        <w:rPr>
          <w:rFonts w:eastAsia="Times New Roman" w:cs="Calibri"/>
          <w:color w:val="000000"/>
        </w:rPr>
        <w:t xml:space="preserve">involvement of </w:t>
      </w:r>
      <w:r w:rsidR="004834D8">
        <w:rPr>
          <w:rFonts w:eastAsia="Times New Roman" w:cs="Calibri"/>
          <w:color w:val="000000"/>
        </w:rPr>
        <w:t>the three Guerrero municipalities in the cultivation of poppy</w:t>
      </w:r>
      <w:r w:rsidR="00175F12">
        <w:rPr>
          <w:rFonts w:eastAsia="Times New Roman" w:cs="Calibri"/>
          <w:color w:val="000000"/>
        </w:rPr>
        <w:t xml:space="preserve"> – a much more profitable illicit crop than marijuana – we would expect to see more</w:t>
      </w:r>
      <w:r w:rsidR="002248DD">
        <w:rPr>
          <w:rFonts w:eastAsia="Times New Roman" w:cs="Calibri"/>
          <w:color w:val="000000"/>
        </w:rPr>
        <w:t xml:space="preserve">, not </w:t>
      </w:r>
      <w:r w:rsidR="00F30A0E">
        <w:rPr>
          <w:rFonts w:eastAsia="Times New Roman" w:cs="Calibri"/>
          <w:color w:val="000000"/>
        </w:rPr>
        <w:t>fewer</w:t>
      </w:r>
      <w:r w:rsidR="002248DD">
        <w:rPr>
          <w:rFonts w:eastAsia="Times New Roman" w:cs="Calibri"/>
          <w:color w:val="000000"/>
        </w:rPr>
        <w:t>,</w:t>
      </w:r>
      <w:r w:rsidR="00175F12">
        <w:rPr>
          <w:rFonts w:eastAsia="Times New Roman" w:cs="Calibri"/>
          <w:color w:val="000000"/>
        </w:rPr>
        <w:t xml:space="preserve"> attacks at any time on the Guerrero side than </w:t>
      </w:r>
      <w:r w:rsidR="00175F12">
        <w:rPr>
          <w:rFonts w:eastAsia="Times New Roman" w:cs="Calibri"/>
          <w:color w:val="000000"/>
        </w:rPr>
        <w:lastRenderedPageBreak/>
        <w:t xml:space="preserve">on the Michoacán side. And </w:t>
      </w:r>
      <w:r w:rsidR="002248DD">
        <w:rPr>
          <w:rFonts w:eastAsia="Times New Roman" w:cs="Calibri"/>
          <w:color w:val="000000"/>
        </w:rPr>
        <w:t>yet, in 2011</w:t>
      </w:r>
      <w:r w:rsidR="00175F12">
        <w:rPr>
          <w:rFonts w:eastAsia="Times New Roman" w:cs="Calibri"/>
          <w:color w:val="000000"/>
        </w:rPr>
        <w:t xml:space="preserve"> due to differences in the </w:t>
      </w:r>
      <w:r w:rsidR="002248DD">
        <w:rPr>
          <w:rFonts w:eastAsia="Times New Roman" w:cs="Calibri"/>
          <w:color w:val="000000"/>
        </w:rPr>
        <w:t>subnational</w:t>
      </w:r>
      <w:r w:rsidR="007F3437">
        <w:rPr>
          <w:rFonts w:eastAsia="Times New Roman" w:cs="Calibri"/>
          <w:color w:val="000000"/>
        </w:rPr>
        <w:t xml:space="preserve"> </w:t>
      </w:r>
      <w:r w:rsidR="00175F12">
        <w:rPr>
          <w:rFonts w:eastAsia="Times New Roman" w:cs="Calibri"/>
          <w:color w:val="000000"/>
        </w:rPr>
        <w:t xml:space="preserve">election cycles, we saw exactly the opposite: a significantly higher number of </w:t>
      </w:r>
      <w:r w:rsidR="007B7831">
        <w:rPr>
          <w:rFonts w:eastAsia="Times New Roman" w:cs="Calibri"/>
          <w:color w:val="000000"/>
        </w:rPr>
        <w:t xml:space="preserve">high-profile </w:t>
      </w:r>
      <w:r w:rsidR="00175F12">
        <w:rPr>
          <w:rFonts w:eastAsia="Times New Roman" w:cs="Calibri"/>
          <w:color w:val="000000"/>
        </w:rPr>
        <w:t>attacks in Michoacán.</w:t>
      </w:r>
    </w:p>
    <w:p w14:paraId="0BB0B84C" w14:textId="77777777" w:rsidR="009D7A42" w:rsidRDefault="009D7A42" w:rsidP="00EF1D3F">
      <w:pPr>
        <w:pStyle w:val="NoSpacing"/>
        <w:rPr>
          <w:rFonts w:eastAsia="Times New Roman" w:cs="Calibri"/>
          <w:color w:val="000000"/>
        </w:rPr>
      </w:pPr>
    </w:p>
    <w:p w14:paraId="7C17ACDE" w14:textId="2961DC1B" w:rsidR="009D7A42" w:rsidRDefault="00EF1D3F" w:rsidP="00EF1D3F">
      <w:pPr>
        <w:pStyle w:val="NoSpacing"/>
        <w:spacing w:line="240" w:lineRule="auto"/>
        <w:ind w:firstLine="0"/>
        <w:jc w:val="both"/>
        <w:rPr>
          <w:b/>
        </w:rPr>
      </w:pPr>
      <w:r w:rsidRPr="00E8043A">
        <w:rPr>
          <w:b/>
        </w:rPr>
        <w:t>Table</w:t>
      </w:r>
      <w:r>
        <w:rPr>
          <w:b/>
        </w:rPr>
        <w:t xml:space="preserve"> A.III</w:t>
      </w:r>
      <w:r w:rsidRPr="00E8043A">
        <w:rPr>
          <w:b/>
        </w:rPr>
        <w:t>. Comparison of Border Municipalities of Michoacán &amp; Guerrero</w:t>
      </w:r>
      <w:r w:rsidR="003D7BEC">
        <w:rPr>
          <w:b/>
        </w:rPr>
        <w:t xml:space="preserve"> </w:t>
      </w:r>
    </w:p>
    <w:tbl>
      <w:tblPr>
        <w:tblStyle w:val="TableGrid"/>
        <w:tblW w:w="0" w:type="auto"/>
        <w:tblLook w:val="04A0" w:firstRow="1" w:lastRow="0" w:firstColumn="1" w:lastColumn="0" w:noHBand="0" w:noVBand="1"/>
      </w:tblPr>
      <w:tblGrid>
        <w:gridCol w:w="3539"/>
        <w:gridCol w:w="2694"/>
        <w:gridCol w:w="3117"/>
      </w:tblGrid>
      <w:tr w:rsidR="00EF1D3F" w:rsidRPr="007F2C7C" w14:paraId="3122FB14" w14:textId="77777777" w:rsidTr="00DC65D6">
        <w:tc>
          <w:tcPr>
            <w:tcW w:w="3539" w:type="dxa"/>
          </w:tcPr>
          <w:p w14:paraId="17C00F5F" w14:textId="77777777" w:rsidR="00EF1D3F" w:rsidRPr="00E8043A" w:rsidRDefault="00EF1D3F" w:rsidP="00EF1D3F">
            <w:pPr>
              <w:pStyle w:val="NoSpacing"/>
              <w:spacing w:line="240" w:lineRule="auto"/>
            </w:pPr>
          </w:p>
        </w:tc>
        <w:tc>
          <w:tcPr>
            <w:tcW w:w="2694" w:type="dxa"/>
          </w:tcPr>
          <w:p w14:paraId="3E1A5F2B" w14:textId="77777777" w:rsidR="00EF1D3F" w:rsidRDefault="00EF1D3F" w:rsidP="00663143">
            <w:pPr>
              <w:pStyle w:val="NoSpacing"/>
              <w:spacing w:line="240" w:lineRule="auto"/>
              <w:rPr>
                <w:b/>
                <w:lang w:val="es-MX"/>
              </w:rPr>
            </w:pPr>
            <w:r w:rsidRPr="00BF033C">
              <w:rPr>
                <w:b/>
                <w:lang w:val="es-MX"/>
              </w:rPr>
              <w:t>Michoacán</w:t>
            </w:r>
          </w:p>
          <w:p w14:paraId="14C1BC2E" w14:textId="1C916928" w:rsidR="00EF1D3F" w:rsidRDefault="00663143" w:rsidP="00663143">
            <w:pPr>
              <w:pStyle w:val="NoSpacing"/>
              <w:spacing w:line="240" w:lineRule="auto"/>
              <w:ind w:firstLine="0"/>
              <w:rPr>
                <w:b/>
                <w:lang w:val="es-MX"/>
              </w:rPr>
            </w:pPr>
            <w:r>
              <w:rPr>
                <w:b/>
                <w:lang w:val="es-MX"/>
              </w:rPr>
              <w:t xml:space="preserve">        </w:t>
            </w:r>
            <w:r w:rsidR="00EF1D3F">
              <w:rPr>
                <w:b/>
                <w:lang w:val="es-MX"/>
              </w:rPr>
              <w:t>Tierra Caliente</w:t>
            </w:r>
          </w:p>
          <w:p w14:paraId="675CF618" w14:textId="117BEAB7" w:rsidR="00EF1D3F" w:rsidRPr="00F721FD" w:rsidRDefault="00663143" w:rsidP="00663143">
            <w:pPr>
              <w:pStyle w:val="NoSpacing"/>
              <w:spacing w:line="240" w:lineRule="auto"/>
              <w:ind w:firstLine="0"/>
              <w:rPr>
                <w:lang w:val="es-MX"/>
              </w:rPr>
            </w:pPr>
            <w:r>
              <w:rPr>
                <w:lang w:val="es-MX"/>
              </w:rPr>
              <w:t xml:space="preserve">   </w:t>
            </w:r>
            <w:r w:rsidR="00EF1D3F">
              <w:rPr>
                <w:lang w:val="es-MX"/>
              </w:rPr>
              <w:t>(border</w:t>
            </w:r>
            <w:r w:rsidR="00EF1D3F" w:rsidRPr="00F721FD">
              <w:rPr>
                <w:lang w:val="es-MX"/>
              </w:rPr>
              <w:t xml:space="preserve"> municipalities)</w:t>
            </w:r>
          </w:p>
        </w:tc>
        <w:tc>
          <w:tcPr>
            <w:tcW w:w="3117" w:type="dxa"/>
          </w:tcPr>
          <w:p w14:paraId="7459D833" w14:textId="77777777" w:rsidR="00EF1D3F" w:rsidRDefault="00EF1D3F" w:rsidP="00EF1D3F">
            <w:pPr>
              <w:pStyle w:val="NoSpacing"/>
              <w:spacing w:line="240" w:lineRule="auto"/>
              <w:jc w:val="center"/>
              <w:rPr>
                <w:b/>
                <w:lang w:val="es-MX"/>
              </w:rPr>
            </w:pPr>
            <w:r w:rsidRPr="00BF033C">
              <w:rPr>
                <w:b/>
                <w:lang w:val="es-MX"/>
              </w:rPr>
              <w:t>Guerrero</w:t>
            </w:r>
          </w:p>
          <w:p w14:paraId="35C8026E" w14:textId="77777777" w:rsidR="00EF1D3F" w:rsidRDefault="00EF1D3F" w:rsidP="00EF1D3F">
            <w:pPr>
              <w:pStyle w:val="NoSpacing"/>
              <w:spacing w:line="240" w:lineRule="auto"/>
              <w:jc w:val="center"/>
              <w:rPr>
                <w:b/>
                <w:lang w:val="es-MX"/>
              </w:rPr>
            </w:pPr>
            <w:r>
              <w:rPr>
                <w:b/>
                <w:lang w:val="es-MX"/>
              </w:rPr>
              <w:t>Tierra Caliente</w:t>
            </w:r>
          </w:p>
          <w:p w14:paraId="551210FF" w14:textId="77777777" w:rsidR="00EF1D3F" w:rsidRPr="00F721FD" w:rsidRDefault="00EF1D3F" w:rsidP="00EF1D3F">
            <w:pPr>
              <w:pStyle w:val="NoSpacing"/>
              <w:spacing w:line="240" w:lineRule="auto"/>
              <w:jc w:val="center"/>
              <w:rPr>
                <w:lang w:val="es-MX"/>
              </w:rPr>
            </w:pPr>
            <w:r>
              <w:rPr>
                <w:lang w:val="es-MX"/>
              </w:rPr>
              <w:t>(border</w:t>
            </w:r>
            <w:r w:rsidRPr="00F721FD">
              <w:rPr>
                <w:lang w:val="es-MX"/>
              </w:rPr>
              <w:t xml:space="preserve"> municipalities)</w:t>
            </w:r>
          </w:p>
        </w:tc>
      </w:tr>
      <w:tr w:rsidR="00EF1D3F" w14:paraId="729BB5D8" w14:textId="77777777" w:rsidTr="00DC65D6">
        <w:tc>
          <w:tcPr>
            <w:tcW w:w="9350" w:type="dxa"/>
            <w:gridSpan w:val="3"/>
          </w:tcPr>
          <w:p w14:paraId="2606EC15" w14:textId="77777777" w:rsidR="00EF1D3F" w:rsidRDefault="00EF1D3F" w:rsidP="009D7A42">
            <w:pPr>
              <w:pStyle w:val="NoSpacing"/>
              <w:spacing w:line="240" w:lineRule="auto"/>
              <w:ind w:firstLine="0"/>
              <w:rPr>
                <w:lang w:val="es-MX"/>
              </w:rPr>
            </w:pPr>
            <w:r w:rsidRPr="00FF7F2A">
              <w:rPr>
                <w:i/>
                <w:lang w:val="es-MX"/>
              </w:rPr>
              <w:t>Geographic</w:t>
            </w:r>
          </w:p>
        </w:tc>
      </w:tr>
      <w:tr w:rsidR="00EF1D3F" w14:paraId="623E62BF" w14:textId="77777777" w:rsidTr="00DC65D6">
        <w:tc>
          <w:tcPr>
            <w:tcW w:w="3539" w:type="dxa"/>
          </w:tcPr>
          <w:p w14:paraId="5A9C25F7" w14:textId="77777777" w:rsidR="00EF1D3F" w:rsidRDefault="00EF1D3F" w:rsidP="00EF1D3F">
            <w:pPr>
              <w:pStyle w:val="NoSpacing"/>
              <w:spacing w:line="240" w:lineRule="auto"/>
              <w:ind w:firstLine="0"/>
            </w:pPr>
            <w:r w:rsidRPr="00D12AA7">
              <w:t>Altitude*</w:t>
            </w:r>
          </w:p>
          <w:p w14:paraId="3369505E" w14:textId="77777777" w:rsidR="00EF1D3F" w:rsidRDefault="00EF1D3F" w:rsidP="00EF1D3F">
            <w:pPr>
              <w:pStyle w:val="NoSpacing"/>
              <w:spacing w:line="240" w:lineRule="auto"/>
              <w:ind w:firstLine="0"/>
              <w:rPr>
                <w:sz w:val="20"/>
                <w:szCs w:val="20"/>
              </w:rPr>
            </w:pPr>
            <w:r w:rsidRPr="00CB3EAA">
              <w:rPr>
                <w:sz w:val="20"/>
                <w:szCs w:val="20"/>
              </w:rPr>
              <w:t>Measured in meters above sea level (masl)</w:t>
            </w:r>
          </w:p>
          <w:p w14:paraId="6A3D059B" w14:textId="77777777" w:rsidR="00EF1D3F" w:rsidRPr="00CB3EAA" w:rsidRDefault="00EF1D3F" w:rsidP="00EF1D3F">
            <w:pPr>
              <w:pStyle w:val="NoSpacing"/>
              <w:spacing w:line="240" w:lineRule="auto"/>
              <w:ind w:firstLine="0"/>
              <w:rPr>
                <w:sz w:val="20"/>
                <w:szCs w:val="20"/>
              </w:rPr>
            </w:pPr>
            <w:r>
              <w:rPr>
                <w:sz w:val="20"/>
                <w:szCs w:val="20"/>
              </w:rPr>
              <w:t>Source: INEGI</w:t>
            </w:r>
          </w:p>
        </w:tc>
        <w:tc>
          <w:tcPr>
            <w:tcW w:w="2694" w:type="dxa"/>
          </w:tcPr>
          <w:p w14:paraId="420CF4E2" w14:textId="77777777" w:rsidR="00EF1D3F" w:rsidRDefault="00EF1D3F" w:rsidP="00EF1D3F">
            <w:pPr>
              <w:pStyle w:val="NoSpacing"/>
              <w:spacing w:line="240" w:lineRule="auto"/>
              <w:jc w:val="center"/>
              <w:rPr>
                <w:lang w:val="es-MX"/>
              </w:rPr>
            </w:pPr>
            <w:r>
              <w:rPr>
                <w:lang w:val="es-MX"/>
              </w:rPr>
              <w:t>435</w:t>
            </w:r>
          </w:p>
        </w:tc>
        <w:tc>
          <w:tcPr>
            <w:tcW w:w="3117" w:type="dxa"/>
          </w:tcPr>
          <w:p w14:paraId="061B5952" w14:textId="77777777" w:rsidR="00EF1D3F" w:rsidRDefault="00EF1D3F" w:rsidP="00EF1D3F">
            <w:pPr>
              <w:pStyle w:val="NoSpacing"/>
              <w:spacing w:line="240" w:lineRule="auto"/>
              <w:jc w:val="center"/>
              <w:rPr>
                <w:lang w:val="es-MX"/>
              </w:rPr>
            </w:pPr>
            <w:r>
              <w:rPr>
                <w:lang w:val="es-MX"/>
              </w:rPr>
              <w:t>265.71</w:t>
            </w:r>
          </w:p>
        </w:tc>
      </w:tr>
      <w:tr w:rsidR="00EF1D3F" w:rsidRPr="00E8043A" w14:paraId="7B918D5F" w14:textId="77777777" w:rsidTr="00DC65D6">
        <w:tc>
          <w:tcPr>
            <w:tcW w:w="3539" w:type="dxa"/>
          </w:tcPr>
          <w:p w14:paraId="0E5F2FED" w14:textId="77777777" w:rsidR="00EF1D3F" w:rsidRDefault="00EF1D3F" w:rsidP="00EF1D3F">
            <w:pPr>
              <w:pStyle w:val="NoSpacing"/>
              <w:spacing w:line="240" w:lineRule="auto"/>
              <w:ind w:firstLine="0"/>
            </w:pPr>
            <w:r w:rsidRPr="00E8043A">
              <w:t>Distance from state capital</w:t>
            </w:r>
            <w:r>
              <w:t>*</w:t>
            </w:r>
          </w:p>
          <w:p w14:paraId="74BE5835" w14:textId="77777777" w:rsidR="00EF1D3F" w:rsidRPr="00E8043A" w:rsidRDefault="00EF1D3F" w:rsidP="00EF1D3F">
            <w:pPr>
              <w:pStyle w:val="NoSpacing"/>
              <w:spacing w:line="240" w:lineRule="auto"/>
              <w:ind w:firstLine="0"/>
            </w:pPr>
            <w:r w:rsidRPr="00CB3EAA">
              <w:rPr>
                <w:sz w:val="20"/>
              </w:rPr>
              <w:t>Linear distance (km)</w:t>
            </w:r>
          </w:p>
        </w:tc>
        <w:tc>
          <w:tcPr>
            <w:tcW w:w="2694" w:type="dxa"/>
          </w:tcPr>
          <w:p w14:paraId="454AE389" w14:textId="26D8C82E" w:rsidR="00EF1D3F" w:rsidRPr="00E8043A" w:rsidRDefault="00EF1D3F" w:rsidP="00EF1D3F">
            <w:pPr>
              <w:pStyle w:val="NoSpacing"/>
              <w:spacing w:line="240" w:lineRule="auto"/>
              <w:jc w:val="center"/>
            </w:pPr>
            <w:r>
              <w:t>103.2</w:t>
            </w:r>
            <w:r w:rsidR="004834D8">
              <w:t>0</w:t>
            </w:r>
          </w:p>
        </w:tc>
        <w:tc>
          <w:tcPr>
            <w:tcW w:w="3117" w:type="dxa"/>
          </w:tcPr>
          <w:p w14:paraId="6507E964" w14:textId="77777777" w:rsidR="00EF1D3F" w:rsidRPr="00E8043A" w:rsidRDefault="00EF1D3F" w:rsidP="00EF1D3F">
            <w:pPr>
              <w:pStyle w:val="NoSpacing"/>
              <w:spacing w:line="240" w:lineRule="auto"/>
              <w:jc w:val="center"/>
            </w:pPr>
            <w:r>
              <w:t>149.41</w:t>
            </w:r>
          </w:p>
        </w:tc>
      </w:tr>
      <w:tr w:rsidR="00EF1D3F" w:rsidRPr="00E8043A" w14:paraId="78166247" w14:textId="77777777" w:rsidTr="00DC65D6">
        <w:tc>
          <w:tcPr>
            <w:tcW w:w="3539" w:type="dxa"/>
          </w:tcPr>
          <w:p w14:paraId="19E972DF" w14:textId="77777777" w:rsidR="00EF1D3F" w:rsidRDefault="00EF1D3F" w:rsidP="00EF1D3F">
            <w:pPr>
              <w:pStyle w:val="NoSpacing"/>
              <w:spacing w:line="240" w:lineRule="auto"/>
              <w:ind w:firstLine="0"/>
            </w:pPr>
            <w:r w:rsidRPr="00E8043A">
              <w:t>Distance from state capital</w:t>
            </w:r>
            <w:r>
              <w:t>*</w:t>
            </w:r>
          </w:p>
          <w:p w14:paraId="2BE88425" w14:textId="77777777" w:rsidR="00EF1D3F" w:rsidRPr="00CB3EAA" w:rsidRDefault="00EF1D3F" w:rsidP="00EF1D3F">
            <w:pPr>
              <w:pStyle w:val="NoSpacing"/>
              <w:spacing w:line="240" w:lineRule="auto"/>
              <w:ind w:firstLine="0"/>
              <w:rPr>
                <w:sz w:val="20"/>
                <w:szCs w:val="20"/>
              </w:rPr>
            </w:pPr>
            <w:r w:rsidRPr="00CB3EAA">
              <w:rPr>
                <w:sz w:val="20"/>
                <w:szCs w:val="20"/>
              </w:rPr>
              <w:t>Driving distance (km)</w:t>
            </w:r>
          </w:p>
        </w:tc>
        <w:tc>
          <w:tcPr>
            <w:tcW w:w="2694" w:type="dxa"/>
          </w:tcPr>
          <w:p w14:paraId="12223C96" w14:textId="77777777" w:rsidR="00EF1D3F" w:rsidRPr="00E8043A" w:rsidRDefault="00EF1D3F" w:rsidP="00EF1D3F">
            <w:pPr>
              <w:pStyle w:val="NoSpacing"/>
              <w:spacing w:line="240" w:lineRule="auto"/>
              <w:jc w:val="center"/>
            </w:pPr>
            <w:r>
              <w:t>177.48</w:t>
            </w:r>
          </w:p>
        </w:tc>
        <w:tc>
          <w:tcPr>
            <w:tcW w:w="3117" w:type="dxa"/>
          </w:tcPr>
          <w:p w14:paraId="467B025C" w14:textId="77777777" w:rsidR="00EF1D3F" w:rsidRPr="00E8043A" w:rsidRDefault="00EF1D3F" w:rsidP="00EF1D3F">
            <w:pPr>
              <w:pStyle w:val="NoSpacing"/>
              <w:spacing w:line="240" w:lineRule="auto"/>
              <w:jc w:val="center"/>
            </w:pPr>
            <w:r>
              <w:t>218.45</w:t>
            </w:r>
          </w:p>
        </w:tc>
      </w:tr>
      <w:tr w:rsidR="00EF1D3F" w:rsidRPr="00E8043A" w14:paraId="62A8F43A" w14:textId="77777777" w:rsidTr="00DC65D6">
        <w:tc>
          <w:tcPr>
            <w:tcW w:w="9350" w:type="dxa"/>
            <w:gridSpan w:val="3"/>
          </w:tcPr>
          <w:p w14:paraId="0DC53C5A" w14:textId="77777777" w:rsidR="00EF1D3F" w:rsidRPr="00E8043A" w:rsidRDefault="00EF1D3F" w:rsidP="00EF1D3F">
            <w:pPr>
              <w:pStyle w:val="NoSpacing"/>
              <w:spacing w:line="240" w:lineRule="auto"/>
              <w:jc w:val="center"/>
            </w:pPr>
          </w:p>
        </w:tc>
      </w:tr>
      <w:tr w:rsidR="00EF1D3F" w14:paraId="26A6B582" w14:textId="77777777" w:rsidTr="00DC65D6">
        <w:tc>
          <w:tcPr>
            <w:tcW w:w="3539" w:type="dxa"/>
          </w:tcPr>
          <w:p w14:paraId="06AE435E" w14:textId="77777777" w:rsidR="00EF1D3F" w:rsidRPr="00FF7F2A" w:rsidRDefault="00EF1D3F" w:rsidP="00EF1D3F">
            <w:pPr>
              <w:pStyle w:val="NoSpacing"/>
              <w:spacing w:line="240" w:lineRule="auto"/>
              <w:ind w:firstLine="0"/>
              <w:rPr>
                <w:i/>
                <w:lang w:val="es-MX"/>
              </w:rPr>
            </w:pPr>
            <w:r w:rsidRPr="00FF7F2A">
              <w:rPr>
                <w:i/>
                <w:lang w:val="es-MX"/>
              </w:rPr>
              <w:t>Sociodemographic</w:t>
            </w:r>
          </w:p>
        </w:tc>
        <w:tc>
          <w:tcPr>
            <w:tcW w:w="2694" w:type="dxa"/>
          </w:tcPr>
          <w:p w14:paraId="665B2F02" w14:textId="77777777" w:rsidR="00EF1D3F" w:rsidRDefault="00EF1D3F" w:rsidP="00EF1D3F">
            <w:pPr>
              <w:pStyle w:val="NoSpacing"/>
              <w:spacing w:line="240" w:lineRule="auto"/>
              <w:jc w:val="center"/>
              <w:rPr>
                <w:lang w:val="es-MX"/>
              </w:rPr>
            </w:pPr>
          </w:p>
        </w:tc>
        <w:tc>
          <w:tcPr>
            <w:tcW w:w="3117" w:type="dxa"/>
          </w:tcPr>
          <w:p w14:paraId="532752F7" w14:textId="77777777" w:rsidR="00EF1D3F" w:rsidRDefault="00EF1D3F" w:rsidP="00EF1D3F">
            <w:pPr>
              <w:pStyle w:val="NoSpacing"/>
              <w:spacing w:line="240" w:lineRule="auto"/>
              <w:jc w:val="center"/>
              <w:rPr>
                <w:lang w:val="es-MX"/>
              </w:rPr>
            </w:pPr>
          </w:p>
        </w:tc>
      </w:tr>
      <w:tr w:rsidR="00EF1D3F" w14:paraId="1A3CEBC5" w14:textId="77777777" w:rsidTr="00DC65D6">
        <w:tc>
          <w:tcPr>
            <w:tcW w:w="3539" w:type="dxa"/>
          </w:tcPr>
          <w:p w14:paraId="648E05A8" w14:textId="77777777" w:rsidR="00EF1D3F" w:rsidRPr="00113AC0" w:rsidRDefault="00EF1D3F" w:rsidP="00EF1D3F">
            <w:pPr>
              <w:pStyle w:val="NoSpacing"/>
              <w:spacing w:line="240" w:lineRule="auto"/>
              <w:ind w:firstLine="0"/>
            </w:pPr>
            <w:r w:rsidRPr="00113AC0">
              <w:t>Municipal population, 2010*</w:t>
            </w:r>
          </w:p>
          <w:p w14:paraId="377BD82C" w14:textId="77777777" w:rsidR="00EF1D3F" w:rsidRPr="00113AC0" w:rsidRDefault="00EF1D3F" w:rsidP="00EF1D3F">
            <w:pPr>
              <w:pStyle w:val="NoSpacing"/>
              <w:spacing w:line="240" w:lineRule="auto"/>
              <w:ind w:firstLine="0"/>
            </w:pPr>
            <w:r>
              <w:rPr>
                <w:sz w:val="20"/>
                <w:szCs w:val="20"/>
              </w:rPr>
              <w:t>Source: INEGI, 2010 Population Census</w:t>
            </w:r>
          </w:p>
        </w:tc>
        <w:tc>
          <w:tcPr>
            <w:tcW w:w="2694" w:type="dxa"/>
          </w:tcPr>
          <w:p w14:paraId="2520D72B" w14:textId="77777777" w:rsidR="00EF1D3F" w:rsidRDefault="00EF1D3F" w:rsidP="00EF1D3F">
            <w:pPr>
              <w:pStyle w:val="NoSpacing"/>
              <w:spacing w:line="240" w:lineRule="auto"/>
              <w:jc w:val="center"/>
              <w:rPr>
                <w:lang w:val="es-MX"/>
              </w:rPr>
            </w:pPr>
            <w:r>
              <w:rPr>
                <w:lang w:val="es-MX"/>
              </w:rPr>
              <w:t>22,398</w:t>
            </w:r>
          </w:p>
        </w:tc>
        <w:tc>
          <w:tcPr>
            <w:tcW w:w="3117" w:type="dxa"/>
          </w:tcPr>
          <w:p w14:paraId="77EB5586" w14:textId="77777777" w:rsidR="00EF1D3F" w:rsidRDefault="00EF1D3F" w:rsidP="00EF1D3F">
            <w:pPr>
              <w:pStyle w:val="NoSpacing"/>
              <w:spacing w:line="240" w:lineRule="auto"/>
              <w:jc w:val="center"/>
              <w:rPr>
                <w:lang w:val="es-MX"/>
              </w:rPr>
            </w:pPr>
            <w:r>
              <w:rPr>
                <w:lang w:val="es-MX"/>
              </w:rPr>
              <w:t>27,260</w:t>
            </w:r>
          </w:p>
        </w:tc>
      </w:tr>
      <w:tr w:rsidR="00EF1D3F" w14:paraId="400C46DD" w14:textId="77777777" w:rsidTr="00DC65D6">
        <w:tc>
          <w:tcPr>
            <w:tcW w:w="3539" w:type="dxa"/>
          </w:tcPr>
          <w:p w14:paraId="2E2DA23C" w14:textId="77777777" w:rsidR="00EF1D3F" w:rsidRPr="00871611" w:rsidRDefault="00EF1D3F" w:rsidP="00EF1D3F">
            <w:pPr>
              <w:pStyle w:val="NoSpacing"/>
              <w:spacing w:line="240" w:lineRule="auto"/>
              <w:ind w:firstLine="0"/>
            </w:pPr>
            <w:r w:rsidRPr="00871611">
              <w:t>% indigenous population, 2010*</w:t>
            </w:r>
          </w:p>
          <w:p w14:paraId="27B59E15" w14:textId="77777777" w:rsidR="00EF1D3F" w:rsidRPr="00871611" w:rsidRDefault="00EF1D3F" w:rsidP="00EF1D3F">
            <w:pPr>
              <w:pStyle w:val="NoSpacing"/>
              <w:spacing w:line="240" w:lineRule="auto"/>
              <w:ind w:firstLine="0"/>
            </w:pPr>
            <w:r>
              <w:rPr>
                <w:sz w:val="20"/>
                <w:szCs w:val="20"/>
              </w:rPr>
              <w:t>Source: INEGI, 2010 Population Census</w:t>
            </w:r>
          </w:p>
        </w:tc>
        <w:tc>
          <w:tcPr>
            <w:tcW w:w="2694" w:type="dxa"/>
          </w:tcPr>
          <w:p w14:paraId="7D7E4DA3" w14:textId="77777777" w:rsidR="00EF1D3F" w:rsidRDefault="00EF1D3F" w:rsidP="00EF1D3F">
            <w:pPr>
              <w:pStyle w:val="NoSpacing"/>
              <w:spacing w:line="240" w:lineRule="auto"/>
              <w:jc w:val="center"/>
              <w:rPr>
                <w:lang w:val="es-MX"/>
              </w:rPr>
            </w:pPr>
            <w:r>
              <w:rPr>
                <w:lang w:val="es-MX"/>
              </w:rPr>
              <w:t>0.36</w:t>
            </w:r>
          </w:p>
        </w:tc>
        <w:tc>
          <w:tcPr>
            <w:tcW w:w="3117" w:type="dxa"/>
          </w:tcPr>
          <w:p w14:paraId="71756763" w14:textId="77777777" w:rsidR="00EF1D3F" w:rsidRDefault="00EF1D3F" w:rsidP="00EF1D3F">
            <w:pPr>
              <w:pStyle w:val="NoSpacing"/>
              <w:spacing w:line="240" w:lineRule="auto"/>
              <w:jc w:val="center"/>
              <w:rPr>
                <w:lang w:val="es-MX"/>
              </w:rPr>
            </w:pPr>
            <w:r>
              <w:rPr>
                <w:lang w:val="es-MX"/>
              </w:rPr>
              <w:t>0.16</w:t>
            </w:r>
          </w:p>
        </w:tc>
      </w:tr>
      <w:tr w:rsidR="00EF1D3F" w14:paraId="63C69212" w14:textId="77777777" w:rsidTr="00DC65D6">
        <w:tc>
          <w:tcPr>
            <w:tcW w:w="3539" w:type="dxa"/>
          </w:tcPr>
          <w:p w14:paraId="3207568A" w14:textId="63EA51C8" w:rsidR="00EF1D3F" w:rsidRPr="00871611" w:rsidRDefault="00EF1D3F" w:rsidP="00EF1D3F">
            <w:pPr>
              <w:pStyle w:val="NoSpacing"/>
              <w:spacing w:line="240" w:lineRule="auto"/>
              <w:ind w:firstLine="0"/>
            </w:pPr>
            <w:r w:rsidRPr="00871611">
              <w:t>% youth, ages 15</w:t>
            </w:r>
            <w:r w:rsidR="009B49D6">
              <w:t>–</w:t>
            </w:r>
            <w:r w:rsidRPr="00871611">
              <w:t>39, 2010*</w:t>
            </w:r>
          </w:p>
          <w:p w14:paraId="5E8FC632" w14:textId="77777777" w:rsidR="00EF1D3F" w:rsidRPr="00871611" w:rsidRDefault="00EF1D3F" w:rsidP="00EF1D3F">
            <w:pPr>
              <w:pStyle w:val="NoSpacing"/>
              <w:spacing w:line="240" w:lineRule="auto"/>
              <w:ind w:firstLine="0"/>
            </w:pPr>
            <w:r>
              <w:rPr>
                <w:sz w:val="20"/>
                <w:szCs w:val="20"/>
              </w:rPr>
              <w:t>Source: INEGI, 2010 Population Census</w:t>
            </w:r>
          </w:p>
        </w:tc>
        <w:tc>
          <w:tcPr>
            <w:tcW w:w="2694" w:type="dxa"/>
          </w:tcPr>
          <w:p w14:paraId="4CB352BE" w14:textId="77777777" w:rsidR="00EF1D3F" w:rsidRDefault="00EF1D3F" w:rsidP="00EF1D3F">
            <w:pPr>
              <w:pStyle w:val="NoSpacing"/>
              <w:spacing w:line="240" w:lineRule="auto"/>
              <w:jc w:val="center"/>
              <w:rPr>
                <w:lang w:val="es-MX"/>
              </w:rPr>
            </w:pPr>
            <w:r>
              <w:rPr>
                <w:lang w:val="es-MX"/>
              </w:rPr>
              <w:t>17.99</w:t>
            </w:r>
          </w:p>
        </w:tc>
        <w:tc>
          <w:tcPr>
            <w:tcW w:w="3117" w:type="dxa"/>
          </w:tcPr>
          <w:p w14:paraId="167A100D" w14:textId="77777777" w:rsidR="00EF1D3F" w:rsidRDefault="00EF1D3F" w:rsidP="00EF1D3F">
            <w:pPr>
              <w:pStyle w:val="NoSpacing"/>
              <w:spacing w:line="240" w:lineRule="auto"/>
              <w:jc w:val="center"/>
              <w:rPr>
                <w:lang w:val="es-MX"/>
              </w:rPr>
            </w:pPr>
            <w:r>
              <w:rPr>
                <w:lang w:val="es-MX"/>
              </w:rPr>
              <w:t>17.71</w:t>
            </w:r>
          </w:p>
        </w:tc>
      </w:tr>
      <w:tr w:rsidR="00EF1D3F" w14:paraId="10E71C8F" w14:textId="77777777" w:rsidTr="00DC65D6">
        <w:tc>
          <w:tcPr>
            <w:tcW w:w="3539" w:type="dxa"/>
          </w:tcPr>
          <w:p w14:paraId="53DEA417" w14:textId="77777777" w:rsidR="00EF1D3F" w:rsidRPr="00871611" w:rsidRDefault="00EF1D3F" w:rsidP="00EF1D3F">
            <w:pPr>
              <w:pStyle w:val="NoSpacing"/>
              <w:spacing w:line="240" w:lineRule="auto"/>
              <w:ind w:firstLine="0"/>
            </w:pPr>
            <w:r w:rsidRPr="00871611">
              <w:t>% international migrant, 2010*</w:t>
            </w:r>
          </w:p>
          <w:p w14:paraId="1F49E13F" w14:textId="2F504557" w:rsidR="00EF1D3F" w:rsidRDefault="00EF1D3F" w:rsidP="00EF1D3F">
            <w:pPr>
              <w:pStyle w:val="NoSpacing"/>
              <w:spacing w:line="240" w:lineRule="auto"/>
              <w:ind w:firstLine="0"/>
              <w:rPr>
                <w:sz w:val="20"/>
                <w:szCs w:val="20"/>
              </w:rPr>
            </w:pPr>
            <w:r>
              <w:rPr>
                <w:sz w:val="20"/>
                <w:szCs w:val="20"/>
              </w:rPr>
              <w:t>Mexicans who were international migrants in 2005 but counted in 2010 Census</w:t>
            </w:r>
          </w:p>
          <w:p w14:paraId="7052EE06" w14:textId="77777777" w:rsidR="00EF1D3F" w:rsidRPr="00CB3EAA" w:rsidRDefault="00EF1D3F" w:rsidP="00EF1D3F">
            <w:pPr>
              <w:pStyle w:val="NoSpacing"/>
              <w:spacing w:line="240" w:lineRule="auto"/>
              <w:ind w:firstLine="0"/>
              <w:rPr>
                <w:sz w:val="20"/>
                <w:szCs w:val="20"/>
              </w:rPr>
            </w:pPr>
            <w:r>
              <w:rPr>
                <w:sz w:val="20"/>
                <w:szCs w:val="20"/>
              </w:rPr>
              <w:t>Source: INEGI, 2010 Population Census</w:t>
            </w:r>
          </w:p>
        </w:tc>
        <w:tc>
          <w:tcPr>
            <w:tcW w:w="2694" w:type="dxa"/>
          </w:tcPr>
          <w:p w14:paraId="3882489A" w14:textId="77777777" w:rsidR="00EF1D3F" w:rsidRDefault="00EF1D3F" w:rsidP="00EF1D3F">
            <w:pPr>
              <w:pStyle w:val="NoSpacing"/>
              <w:spacing w:line="240" w:lineRule="auto"/>
              <w:jc w:val="center"/>
              <w:rPr>
                <w:lang w:val="es-MX"/>
              </w:rPr>
            </w:pPr>
            <w:r>
              <w:rPr>
                <w:lang w:val="es-MX"/>
              </w:rPr>
              <w:t>0.01</w:t>
            </w:r>
          </w:p>
        </w:tc>
        <w:tc>
          <w:tcPr>
            <w:tcW w:w="3117" w:type="dxa"/>
          </w:tcPr>
          <w:p w14:paraId="79280F7D" w14:textId="77777777" w:rsidR="00EF1D3F" w:rsidRDefault="00EF1D3F" w:rsidP="00EF1D3F">
            <w:pPr>
              <w:pStyle w:val="NoSpacing"/>
              <w:spacing w:line="240" w:lineRule="auto"/>
              <w:jc w:val="center"/>
              <w:rPr>
                <w:lang w:val="es-MX"/>
              </w:rPr>
            </w:pPr>
            <w:r>
              <w:rPr>
                <w:lang w:val="es-MX"/>
              </w:rPr>
              <w:t>0.01</w:t>
            </w:r>
          </w:p>
        </w:tc>
      </w:tr>
      <w:tr w:rsidR="00EF1D3F" w14:paraId="54312920" w14:textId="77777777" w:rsidTr="00DC65D6">
        <w:tc>
          <w:tcPr>
            <w:tcW w:w="3539" w:type="dxa"/>
          </w:tcPr>
          <w:p w14:paraId="0D3F4E07" w14:textId="77777777" w:rsidR="00EF1D3F" w:rsidRDefault="00EF1D3F" w:rsidP="00EF1D3F">
            <w:pPr>
              <w:pStyle w:val="NoSpacing"/>
              <w:spacing w:line="240" w:lineRule="auto"/>
              <w:ind w:firstLine="0"/>
            </w:pPr>
            <w:r w:rsidRPr="00CB3EAA">
              <w:t>% population living in rural localities</w:t>
            </w:r>
            <w:r>
              <w:t>, 2010*</w:t>
            </w:r>
          </w:p>
          <w:p w14:paraId="50A11F3C" w14:textId="77777777" w:rsidR="00EF1D3F" w:rsidRPr="00113AC0" w:rsidRDefault="00EF1D3F" w:rsidP="00EF1D3F">
            <w:pPr>
              <w:pStyle w:val="NoSpacing"/>
              <w:spacing w:line="240" w:lineRule="auto"/>
              <w:rPr>
                <w:sz w:val="16"/>
                <w:szCs w:val="16"/>
              </w:rPr>
            </w:pPr>
          </w:p>
          <w:p w14:paraId="50381F95" w14:textId="3580F2B9" w:rsidR="00EF1D3F" w:rsidRDefault="00EF1D3F" w:rsidP="00EF1D3F">
            <w:pPr>
              <w:pStyle w:val="NoSpacing"/>
              <w:spacing w:line="240" w:lineRule="auto"/>
              <w:ind w:firstLine="0"/>
              <w:rPr>
                <w:sz w:val="20"/>
                <w:szCs w:val="20"/>
              </w:rPr>
            </w:pPr>
            <w:r>
              <w:rPr>
                <w:sz w:val="20"/>
                <w:szCs w:val="20"/>
              </w:rPr>
              <w:t xml:space="preserve">Localities with 2,500 inhabitants or </w:t>
            </w:r>
            <w:r w:rsidR="009B49D6">
              <w:rPr>
                <w:sz w:val="20"/>
                <w:szCs w:val="20"/>
              </w:rPr>
              <w:t>fewer</w:t>
            </w:r>
          </w:p>
          <w:p w14:paraId="1420685B" w14:textId="77777777" w:rsidR="00EF1D3F" w:rsidRPr="00CB3EAA" w:rsidRDefault="00EF1D3F" w:rsidP="00EF1D3F">
            <w:pPr>
              <w:pStyle w:val="NoSpacing"/>
              <w:spacing w:line="240" w:lineRule="auto"/>
              <w:ind w:firstLine="0"/>
              <w:rPr>
                <w:sz w:val="20"/>
                <w:szCs w:val="20"/>
              </w:rPr>
            </w:pPr>
            <w:r>
              <w:rPr>
                <w:sz w:val="20"/>
                <w:szCs w:val="20"/>
              </w:rPr>
              <w:t>Source: INEGI, 2010 Population Census</w:t>
            </w:r>
          </w:p>
        </w:tc>
        <w:tc>
          <w:tcPr>
            <w:tcW w:w="2694" w:type="dxa"/>
          </w:tcPr>
          <w:p w14:paraId="3A501AA4" w14:textId="77777777" w:rsidR="00EF1D3F" w:rsidRPr="00CB3EAA" w:rsidRDefault="00EF1D3F" w:rsidP="00EF1D3F">
            <w:pPr>
              <w:pStyle w:val="NoSpacing"/>
              <w:spacing w:line="240" w:lineRule="auto"/>
              <w:jc w:val="center"/>
            </w:pPr>
            <w:r>
              <w:t>65.79</w:t>
            </w:r>
          </w:p>
        </w:tc>
        <w:tc>
          <w:tcPr>
            <w:tcW w:w="3117" w:type="dxa"/>
          </w:tcPr>
          <w:p w14:paraId="2E1AC62B" w14:textId="77777777" w:rsidR="00EF1D3F" w:rsidRPr="00CB3EAA" w:rsidRDefault="00EF1D3F" w:rsidP="00EF1D3F">
            <w:pPr>
              <w:pStyle w:val="NoSpacing"/>
              <w:spacing w:line="240" w:lineRule="auto"/>
              <w:jc w:val="center"/>
            </w:pPr>
            <w:r>
              <w:t>61.19</w:t>
            </w:r>
          </w:p>
        </w:tc>
      </w:tr>
      <w:tr w:rsidR="00EF1D3F" w14:paraId="40863F89" w14:textId="77777777" w:rsidTr="00DC65D6">
        <w:tc>
          <w:tcPr>
            <w:tcW w:w="3539" w:type="dxa"/>
          </w:tcPr>
          <w:p w14:paraId="7D0391BB" w14:textId="77777777" w:rsidR="00EF1D3F" w:rsidRDefault="00EF1D3F" w:rsidP="00EF1D3F">
            <w:pPr>
              <w:pStyle w:val="NoSpacing"/>
              <w:spacing w:line="240" w:lineRule="auto"/>
              <w:ind w:firstLine="0"/>
            </w:pPr>
            <w:r>
              <w:t>% Catholic, 2010</w:t>
            </w:r>
          </w:p>
          <w:p w14:paraId="0CFA9C5C" w14:textId="77777777" w:rsidR="00EF1D3F" w:rsidRPr="00CB3EAA" w:rsidRDefault="00EF1D3F" w:rsidP="00EF1D3F">
            <w:pPr>
              <w:pStyle w:val="NoSpacing"/>
              <w:spacing w:line="240" w:lineRule="auto"/>
              <w:ind w:firstLine="0"/>
            </w:pPr>
            <w:r>
              <w:rPr>
                <w:sz w:val="20"/>
                <w:szCs w:val="20"/>
              </w:rPr>
              <w:t>Source: INEGI, 2010 Population Census</w:t>
            </w:r>
          </w:p>
        </w:tc>
        <w:tc>
          <w:tcPr>
            <w:tcW w:w="2694" w:type="dxa"/>
          </w:tcPr>
          <w:p w14:paraId="054D3EC8" w14:textId="77777777" w:rsidR="00EF1D3F" w:rsidRPr="00CB3EAA" w:rsidRDefault="00EF1D3F" w:rsidP="00EF1D3F">
            <w:pPr>
              <w:pStyle w:val="NoSpacing"/>
              <w:spacing w:line="240" w:lineRule="auto"/>
              <w:jc w:val="center"/>
            </w:pPr>
            <w:r>
              <w:t>92.24</w:t>
            </w:r>
          </w:p>
        </w:tc>
        <w:tc>
          <w:tcPr>
            <w:tcW w:w="3117" w:type="dxa"/>
          </w:tcPr>
          <w:p w14:paraId="7F6E2B76" w14:textId="77777777" w:rsidR="00EF1D3F" w:rsidRPr="00CB3EAA" w:rsidRDefault="00EF1D3F" w:rsidP="00EF1D3F">
            <w:pPr>
              <w:pStyle w:val="NoSpacing"/>
              <w:spacing w:line="240" w:lineRule="auto"/>
              <w:jc w:val="center"/>
            </w:pPr>
            <w:r>
              <w:t>87.45</w:t>
            </w:r>
          </w:p>
        </w:tc>
      </w:tr>
      <w:tr w:rsidR="00EF1D3F" w14:paraId="2EFFC417" w14:textId="77777777" w:rsidTr="00DC65D6">
        <w:tc>
          <w:tcPr>
            <w:tcW w:w="9350" w:type="dxa"/>
            <w:gridSpan w:val="3"/>
          </w:tcPr>
          <w:p w14:paraId="7940335F" w14:textId="77777777" w:rsidR="00EF1D3F" w:rsidRPr="00CB3EAA" w:rsidRDefault="00EF1D3F" w:rsidP="00EF1D3F">
            <w:pPr>
              <w:pStyle w:val="NoSpacing"/>
              <w:spacing w:line="240" w:lineRule="auto"/>
              <w:jc w:val="center"/>
            </w:pPr>
          </w:p>
        </w:tc>
      </w:tr>
      <w:tr w:rsidR="00EF1D3F" w14:paraId="0265ECF3" w14:textId="77777777" w:rsidTr="00DC65D6">
        <w:tc>
          <w:tcPr>
            <w:tcW w:w="3539" w:type="dxa"/>
          </w:tcPr>
          <w:p w14:paraId="25127482" w14:textId="77777777" w:rsidR="00EF1D3F" w:rsidRPr="00FF7F2A" w:rsidRDefault="00EF1D3F" w:rsidP="00663143">
            <w:pPr>
              <w:pStyle w:val="NoSpacing"/>
              <w:spacing w:line="240" w:lineRule="auto"/>
              <w:ind w:firstLine="0"/>
              <w:rPr>
                <w:i/>
                <w:lang w:val="es-MX"/>
              </w:rPr>
            </w:pPr>
            <w:r w:rsidRPr="00FF7F2A">
              <w:rPr>
                <w:i/>
                <w:lang w:val="es-MX"/>
              </w:rPr>
              <w:t>Economic</w:t>
            </w:r>
          </w:p>
        </w:tc>
        <w:tc>
          <w:tcPr>
            <w:tcW w:w="2694" w:type="dxa"/>
          </w:tcPr>
          <w:p w14:paraId="500C6403" w14:textId="77777777" w:rsidR="00EF1D3F" w:rsidRDefault="00EF1D3F" w:rsidP="00EF1D3F">
            <w:pPr>
              <w:pStyle w:val="NoSpacing"/>
              <w:spacing w:line="240" w:lineRule="auto"/>
              <w:jc w:val="center"/>
              <w:rPr>
                <w:lang w:val="es-MX"/>
              </w:rPr>
            </w:pPr>
          </w:p>
        </w:tc>
        <w:tc>
          <w:tcPr>
            <w:tcW w:w="3117" w:type="dxa"/>
          </w:tcPr>
          <w:p w14:paraId="06659731" w14:textId="77777777" w:rsidR="00EF1D3F" w:rsidRDefault="00EF1D3F" w:rsidP="00EF1D3F">
            <w:pPr>
              <w:pStyle w:val="NoSpacing"/>
              <w:spacing w:line="240" w:lineRule="auto"/>
              <w:jc w:val="center"/>
              <w:rPr>
                <w:lang w:val="es-MX"/>
              </w:rPr>
            </w:pPr>
          </w:p>
        </w:tc>
      </w:tr>
      <w:tr w:rsidR="00EF1D3F" w14:paraId="600E87D7" w14:textId="77777777" w:rsidTr="00DC65D6">
        <w:tc>
          <w:tcPr>
            <w:tcW w:w="3539" w:type="dxa"/>
          </w:tcPr>
          <w:p w14:paraId="1B3FD7F5" w14:textId="77777777" w:rsidR="00EF1D3F" w:rsidRPr="00A11749" w:rsidRDefault="00EF1D3F" w:rsidP="00EF1D3F">
            <w:pPr>
              <w:pStyle w:val="NoSpacing"/>
              <w:spacing w:line="240" w:lineRule="auto"/>
              <w:ind w:firstLine="0"/>
            </w:pPr>
            <w:r w:rsidRPr="00A11749">
              <w:t>Poverty</w:t>
            </w:r>
            <w:r>
              <w:t>, 2010</w:t>
            </w:r>
            <w:r w:rsidRPr="00A11749">
              <w:t>*</w:t>
            </w:r>
          </w:p>
          <w:p w14:paraId="7B4C95E3" w14:textId="2EEC6E10" w:rsidR="00EF1D3F" w:rsidRPr="00A11749" w:rsidRDefault="00EF1D3F" w:rsidP="00EF1D3F">
            <w:pPr>
              <w:pStyle w:val="NoSpacing"/>
              <w:spacing w:line="240" w:lineRule="auto"/>
              <w:ind w:firstLine="0"/>
              <w:rPr>
                <w:sz w:val="20"/>
                <w:szCs w:val="20"/>
              </w:rPr>
            </w:pPr>
            <w:r>
              <w:rPr>
                <w:sz w:val="20"/>
                <w:szCs w:val="20"/>
              </w:rPr>
              <w:t xml:space="preserve">Source: Conapo, 2010 Marginality Index, </w:t>
            </w:r>
            <w:r w:rsidRPr="00A11749">
              <w:rPr>
                <w:sz w:val="20"/>
                <w:szCs w:val="20"/>
              </w:rPr>
              <w:t>Rescaled 0</w:t>
            </w:r>
            <w:r w:rsidR="009B49D6">
              <w:rPr>
                <w:sz w:val="20"/>
                <w:szCs w:val="20"/>
              </w:rPr>
              <w:t>–</w:t>
            </w:r>
            <w:r w:rsidRPr="00A11749">
              <w:rPr>
                <w:sz w:val="20"/>
                <w:szCs w:val="20"/>
              </w:rPr>
              <w:t xml:space="preserve">100 </w:t>
            </w:r>
          </w:p>
        </w:tc>
        <w:tc>
          <w:tcPr>
            <w:tcW w:w="2694" w:type="dxa"/>
          </w:tcPr>
          <w:p w14:paraId="441F2C09" w14:textId="77777777" w:rsidR="00EF1D3F" w:rsidRDefault="00EF1D3F" w:rsidP="00EF1D3F">
            <w:pPr>
              <w:pStyle w:val="NoSpacing"/>
              <w:spacing w:line="240" w:lineRule="auto"/>
              <w:jc w:val="center"/>
              <w:rPr>
                <w:lang w:val="es-MX"/>
              </w:rPr>
            </w:pPr>
            <w:r>
              <w:rPr>
                <w:lang w:val="es-MX"/>
              </w:rPr>
              <w:t>47.99</w:t>
            </w:r>
          </w:p>
        </w:tc>
        <w:tc>
          <w:tcPr>
            <w:tcW w:w="3117" w:type="dxa"/>
          </w:tcPr>
          <w:p w14:paraId="7AE937CC" w14:textId="77777777" w:rsidR="00EF1D3F" w:rsidRDefault="00EF1D3F" w:rsidP="00EF1D3F">
            <w:pPr>
              <w:pStyle w:val="NoSpacing"/>
              <w:spacing w:line="240" w:lineRule="auto"/>
              <w:jc w:val="center"/>
              <w:rPr>
                <w:lang w:val="es-MX"/>
              </w:rPr>
            </w:pPr>
            <w:r>
              <w:rPr>
                <w:lang w:val="es-MX"/>
              </w:rPr>
              <w:t>48.27</w:t>
            </w:r>
          </w:p>
        </w:tc>
      </w:tr>
      <w:tr w:rsidR="00EF1D3F" w14:paraId="3F1422A3" w14:textId="77777777" w:rsidTr="00DC65D6">
        <w:tc>
          <w:tcPr>
            <w:tcW w:w="3539" w:type="dxa"/>
          </w:tcPr>
          <w:p w14:paraId="287E3154" w14:textId="77777777" w:rsidR="00EF1D3F" w:rsidRPr="00E42C7E" w:rsidRDefault="00EF1D3F" w:rsidP="00EF1D3F">
            <w:pPr>
              <w:pStyle w:val="NoSpacing"/>
              <w:spacing w:line="240" w:lineRule="auto"/>
              <w:ind w:firstLine="0"/>
            </w:pPr>
            <w:r w:rsidRPr="00E42C7E">
              <w:t>Gini index of inequality, 2010*</w:t>
            </w:r>
          </w:p>
          <w:p w14:paraId="0C371E6A" w14:textId="77777777" w:rsidR="00EF1D3F" w:rsidRPr="00E42C7E" w:rsidRDefault="00EF1D3F" w:rsidP="00EF1D3F">
            <w:pPr>
              <w:pStyle w:val="NoSpacing"/>
              <w:spacing w:line="240" w:lineRule="auto"/>
              <w:ind w:firstLine="0"/>
            </w:pPr>
            <w:r>
              <w:rPr>
                <w:sz w:val="20"/>
                <w:szCs w:val="20"/>
              </w:rPr>
              <w:t>Source: Coneval</w:t>
            </w:r>
          </w:p>
        </w:tc>
        <w:tc>
          <w:tcPr>
            <w:tcW w:w="2694" w:type="dxa"/>
          </w:tcPr>
          <w:p w14:paraId="39967325" w14:textId="77777777" w:rsidR="00EF1D3F" w:rsidRDefault="00EF1D3F" w:rsidP="00EF1D3F">
            <w:pPr>
              <w:pStyle w:val="NoSpacing"/>
              <w:spacing w:line="240" w:lineRule="auto"/>
              <w:jc w:val="center"/>
              <w:rPr>
                <w:lang w:val="es-MX"/>
              </w:rPr>
            </w:pPr>
            <w:r>
              <w:rPr>
                <w:lang w:val="es-MX"/>
              </w:rPr>
              <w:t>0.46</w:t>
            </w:r>
          </w:p>
        </w:tc>
        <w:tc>
          <w:tcPr>
            <w:tcW w:w="3117" w:type="dxa"/>
          </w:tcPr>
          <w:p w14:paraId="5BCC137A" w14:textId="77777777" w:rsidR="00EF1D3F" w:rsidRDefault="00EF1D3F" w:rsidP="00EF1D3F">
            <w:pPr>
              <w:pStyle w:val="NoSpacing"/>
              <w:spacing w:line="240" w:lineRule="auto"/>
              <w:jc w:val="center"/>
              <w:rPr>
                <w:lang w:val="es-MX"/>
              </w:rPr>
            </w:pPr>
            <w:r>
              <w:rPr>
                <w:lang w:val="es-MX"/>
              </w:rPr>
              <w:t>0.46</w:t>
            </w:r>
          </w:p>
        </w:tc>
      </w:tr>
      <w:tr w:rsidR="00EF1D3F" w14:paraId="40866E33" w14:textId="77777777" w:rsidTr="00DC65D6">
        <w:tc>
          <w:tcPr>
            <w:tcW w:w="3539" w:type="dxa"/>
          </w:tcPr>
          <w:p w14:paraId="02818F9A" w14:textId="77777777" w:rsidR="00EF1D3F" w:rsidRPr="00871611" w:rsidRDefault="00EF1D3F" w:rsidP="00EF1D3F">
            <w:pPr>
              <w:pStyle w:val="NoSpacing"/>
              <w:spacing w:line="240" w:lineRule="auto"/>
              <w:ind w:firstLine="0"/>
            </w:pPr>
            <w:r w:rsidRPr="00871611">
              <w:t xml:space="preserve">% population employed in </w:t>
            </w:r>
            <w:r>
              <w:t>agriculture</w:t>
            </w:r>
            <w:r w:rsidRPr="00871611">
              <w:t>, 2010*</w:t>
            </w:r>
          </w:p>
          <w:p w14:paraId="12DEF659" w14:textId="77777777" w:rsidR="00EF1D3F" w:rsidRPr="00871611" w:rsidRDefault="00EF1D3F" w:rsidP="00EF1D3F">
            <w:pPr>
              <w:pStyle w:val="NoSpacing"/>
              <w:spacing w:line="240" w:lineRule="auto"/>
              <w:ind w:firstLine="0"/>
            </w:pPr>
            <w:r>
              <w:rPr>
                <w:sz w:val="20"/>
                <w:szCs w:val="20"/>
              </w:rPr>
              <w:t>Source: INEGI, 2010 Population Census</w:t>
            </w:r>
          </w:p>
        </w:tc>
        <w:tc>
          <w:tcPr>
            <w:tcW w:w="2694" w:type="dxa"/>
          </w:tcPr>
          <w:p w14:paraId="0E9D68A3" w14:textId="77777777" w:rsidR="00EF1D3F" w:rsidRDefault="00EF1D3F" w:rsidP="00EF1D3F">
            <w:pPr>
              <w:pStyle w:val="NoSpacing"/>
              <w:spacing w:line="240" w:lineRule="auto"/>
              <w:jc w:val="center"/>
              <w:rPr>
                <w:lang w:val="es-MX"/>
              </w:rPr>
            </w:pPr>
            <w:r>
              <w:rPr>
                <w:lang w:val="es-MX"/>
              </w:rPr>
              <w:t>47.52</w:t>
            </w:r>
          </w:p>
        </w:tc>
        <w:tc>
          <w:tcPr>
            <w:tcW w:w="3117" w:type="dxa"/>
          </w:tcPr>
          <w:p w14:paraId="47C3E073" w14:textId="77777777" w:rsidR="00EF1D3F" w:rsidRDefault="00EF1D3F" w:rsidP="00EF1D3F">
            <w:pPr>
              <w:pStyle w:val="NoSpacing"/>
              <w:spacing w:line="240" w:lineRule="auto"/>
              <w:jc w:val="center"/>
              <w:rPr>
                <w:lang w:val="es-MX"/>
              </w:rPr>
            </w:pPr>
            <w:r>
              <w:rPr>
                <w:lang w:val="es-MX"/>
              </w:rPr>
              <w:t>35.93</w:t>
            </w:r>
          </w:p>
        </w:tc>
      </w:tr>
      <w:tr w:rsidR="00EF1D3F" w:rsidRPr="0094478B" w14:paraId="45AA6A48" w14:textId="77777777" w:rsidTr="00DC65D6">
        <w:tc>
          <w:tcPr>
            <w:tcW w:w="3539" w:type="dxa"/>
          </w:tcPr>
          <w:p w14:paraId="003E6CE1" w14:textId="3F4720E6" w:rsidR="00EF1D3F" w:rsidRDefault="00EF1D3F" w:rsidP="00EF1D3F">
            <w:pPr>
              <w:pStyle w:val="NoSpacing"/>
              <w:spacing w:line="240" w:lineRule="auto"/>
              <w:ind w:firstLine="0"/>
            </w:pPr>
            <w:r>
              <w:t>% m</w:t>
            </w:r>
            <w:r w:rsidRPr="00FF7F2A">
              <w:t>unicipal income from local taxes</w:t>
            </w:r>
            <w:r>
              <w:t>, 2007</w:t>
            </w:r>
            <w:r w:rsidR="009B49D6">
              <w:t>–</w:t>
            </w:r>
            <w:r>
              <w:t>2011*</w:t>
            </w:r>
          </w:p>
          <w:p w14:paraId="3767F39D" w14:textId="77777777" w:rsidR="00EF1D3F" w:rsidRPr="0094478B" w:rsidRDefault="00EF1D3F" w:rsidP="00EF1D3F">
            <w:pPr>
              <w:pStyle w:val="NoSpacing"/>
              <w:spacing w:line="240" w:lineRule="auto"/>
              <w:ind w:firstLine="0"/>
            </w:pPr>
            <w:r>
              <w:rPr>
                <w:sz w:val="20"/>
                <w:szCs w:val="20"/>
              </w:rPr>
              <w:t>Source: INEGI, Public Finance Statistics</w:t>
            </w:r>
          </w:p>
        </w:tc>
        <w:tc>
          <w:tcPr>
            <w:tcW w:w="2694" w:type="dxa"/>
          </w:tcPr>
          <w:p w14:paraId="29F9AB9F" w14:textId="77777777" w:rsidR="00EF1D3F" w:rsidRPr="0094478B" w:rsidRDefault="00EF1D3F" w:rsidP="00EF1D3F">
            <w:pPr>
              <w:pStyle w:val="NoSpacing"/>
              <w:spacing w:line="240" w:lineRule="auto"/>
              <w:jc w:val="center"/>
            </w:pPr>
            <w:r>
              <w:t>0.58</w:t>
            </w:r>
          </w:p>
        </w:tc>
        <w:tc>
          <w:tcPr>
            <w:tcW w:w="3117" w:type="dxa"/>
          </w:tcPr>
          <w:p w14:paraId="6A39C794" w14:textId="77777777" w:rsidR="00EF1D3F" w:rsidRPr="0094478B" w:rsidRDefault="00EF1D3F" w:rsidP="00EF1D3F">
            <w:pPr>
              <w:pStyle w:val="NoSpacing"/>
              <w:spacing w:line="240" w:lineRule="auto"/>
              <w:jc w:val="center"/>
            </w:pPr>
            <w:r w:rsidRPr="0053363E">
              <w:t>1.05</w:t>
            </w:r>
          </w:p>
        </w:tc>
      </w:tr>
      <w:tr w:rsidR="00EF1D3F" w:rsidRPr="0094478B" w14:paraId="0F1B8D07" w14:textId="77777777" w:rsidTr="00DC65D6">
        <w:tc>
          <w:tcPr>
            <w:tcW w:w="9350" w:type="dxa"/>
            <w:gridSpan w:val="3"/>
          </w:tcPr>
          <w:p w14:paraId="2F71417D" w14:textId="77777777" w:rsidR="009D7A42" w:rsidRDefault="009D7A42" w:rsidP="00A541F0">
            <w:pPr>
              <w:pStyle w:val="NoSpacing"/>
              <w:spacing w:line="240" w:lineRule="auto"/>
              <w:ind w:firstLine="0"/>
            </w:pPr>
          </w:p>
          <w:p w14:paraId="35BC2D1D" w14:textId="77777777" w:rsidR="00F7737F" w:rsidRPr="0094478B" w:rsidRDefault="00F7737F" w:rsidP="00A541F0">
            <w:pPr>
              <w:pStyle w:val="NoSpacing"/>
              <w:spacing w:line="240" w:lineRule="auto"/>
              <w:ind w:firstLine="0"/>
            </w:pPr>
          </w:p>
        </w:tc>
      </w:tr>
      <w:tr w:rsidR="00EF1D3F" w14:paraId="38B73A31" w14:textId="77777777" w:rsidTr="00DC65D6">
        <w:tc>
          <w:tcPr>
            <w:tcW w:w="3539" w:type="dxa"/>
          </w:tcPr>
          <w:p w14:paraId="2EFDF0B4" w14:textId="77777777" w:rsidR="00EF1D3F" w:rsidRPr="001A026B" w:rsidRDefault="00EF1D3F" w:rsidP="00EF1D3F">
            <w:pPr>
              <w:pStyle w:val="NoSpacing"/>
              <w:spacing w:line="240" w:lineRule="auto"/>
              <w:ind w:firstLine="0"/>
              <w:rPr>
                <w:i/>
                <w:lang w:val="es-MX"/>
              </w:rPr>
            </w:pPr>
            <w:r w:rsidRPr="001A026B">
              <w:rPr>
                <w:i/>
                <w:lang w:val="es-MX"/>
              </w:rPr>
              <w:lastRenderedPageBreak/>
              <w:t>Political</w:t>
            </w:r>
          </w:p>
        </w:tc>
        <w:tc>
          <w:tcPr>
            <w:tcW w:w="2694" w:type="dxa"/>
          </w:tcPr>
          <w:p w14:paraId="5F07F4D8" w14:textId="77777777" w:rsidR="00EF1D3F" w:rsidRDefault="00EF1D3F" w:rsidP="00EF1D3F">
            <w:pPr>
              <w:pStyle w:val="NoSpacing"/>
              <w:spacing w:line="240" w:lineRule="auto"/>
              <w:jc w:val="center"/>
              <w:rPr>
                <w:lang w:val="es-MX"/>
              </w:rPr>
            </w:pPr>
          </w:p>
        </w:tc>
        <w:tc>
          <w:tcPr>
            <w:tcW w:w="3117" w:type="dxa"/>
          </w:tcPr>
          <w:p w14:paraId="4F48D8EF" w14:textId="77777777" w:rsidR="00EF1D3F" w:rsidRDefault="00EF1D3F" w:rsidP="00EF1D3F">
            <w:pPr>
              <w:pStyle w:val="NoSpacing"/>
              <w:spacing w:line="240" w:lineRule="auto"/>
              <w:jc w:val="center"/>
              <w:rPr>
                <w:lang w:val="es-MX"/>
              </w:rPr>
            </w:pPr>
          </w:p>
        </w:tc>
      </w:tr>
      <w:tr w:rsidR="00EF1D3F" w14:paraId="73A53B58" w14:textId="77777777" w:rsidTr="00DC65D6">
        <w:tc>
          <w:tcPr>
            <w:tcW w:w="3539" w:type="dxa"/>
          </w:tcPr>
          <w:p w14:paraId="68403CD2" w14:textId="77777777" w:rsidR="00EF1D3F" w:rsidRDefault="00EF1D3F" w:rsidP="00EF1D3F">
            <w:pPr>
              <w:pStyle w:val="NoSpacing"/>
              <w:spacing w:line="240" w:lineRule="auto"/>
              <w:ind w:firstLine="0"/>
              <w:rPr>
                <w:lang w:val="es-MX"/>
              </w:rPr>
            </w:pPr>
            <w:r>
              <w:rPr>
                <w:lang w:val="es-MX"/>
              </w:rPr>
              <w:t>Leftist governor</w:t>
            </w:r>
          </w:p>
        </w:tc>
        <w:tc>
          <w:tcPr>
            <w:tcW w:w="2694" w:type="dxa"/>
          </w:tcPr>
          <w:p w14:paraId="036A2806" w14:textId="77777777" w:rsidR="00EF1D3F" w:rsidRDefault="00EF1D3F" w:rsidP="00EF1D3F">
            <w:pPr>
              <w:pStyle w:val="NoSpacing"/>
              <w:spacing w:line="240" w:lineRule="auto"/>
              <w:jc w:val="center"/>
              <w:rPr>
                <w:lang w:val="es-MX"/>
              </w:rPr>
            </w:pPr>
            <w:r>
              <w:rPr>
                <w:lang w:val="es-MX"/>
              </w:rPr>
              <w:t xml:space="preserve">YES </w:t>
            </w:r>
          </w:p>
          <w:p w14:paraId="1A8E1897" w14:textId="26C5DD2A" w:rsidR="00EF1D3F" w:rsidRDefault="00EF1D3F" w:rsidP="00EF1D3F">
            <w:pPr>
              <w:pStyle w:val="NoSpacing"/>
              <w:spacing w:line="240" w:lineRule="auto"/>
              <w:jc w:val="center"/>
              <w:rPr>
                <w:lang w:val="es-MX"/>
              </w:rPr>
            </w:pPr>
            <w:r>
              <w:rPr>
                <w:lang w:val="es-MX"/>
              </w:rPr>
              <w:t>(2007</w:t>
            </w:r>
            <w:r w:rsidR="009B49D6">
              <w:rPr>
                <w:lang w:val="es-MX"/>
              </w:rPr>
              <w:t>–</w:t>
            </w:r>
            <w:r>
              <w:rPr>
                <w:lang w:val="es-MX"/>
              </w:rPr>
              <w:t>2011)</w:t>
            </w:r>
          </w:p>
        </w:tc>
        <w:tc>
          <w:tcPr>
            <w:tcW w:w="3117" w:type="dxa"/>
          </w:tcPr>
          <w:p w14:paraId="58522B5A" w14:textId="77777777" w:rsidR="00EF1D3F" w:rsidRDefault="00EF1D3F" w:rsidP="00EF1D3F">
            <w:pPr>
              <w:pStyle w:val="NoSpacing"/>
              <w:spacing w:line="240" w:lineRule="auto"/>
              <w:jc w:val="center"/>
              <w:rPr>
                <w:lang w:val="es-MX"/>
              </w:rPr>
            </w:pPr>
            <w:r>
              <w:rPr>
                <w:lang w:val="es-MX"/>
              </w:rPr>
              <w:t xml:space="preserve">YES </w:t>
            </w:r>
          </w:p>
          <w:p w14:paraId="6355F502" w14:textId="0FC26449" w:rsidR="00EF1D3F" w:rsidRDefault="00EF1D3F" w:rsidP="00EF1D3F">
            <w:pPr>
              <w:pStyle w:val="NoSpacing"/>
              <w:spacing w:line="240" w:lineRule="auto"/>
              <w:jc w:val="center"/>
              <w:rPr>
                <w:lang w:val="es-MX"/>
              </w:rPr>
            </w:pPr>
            <w:r>
              <w:rPr>
                <w:lang w:val="es-MX"/>
              </w:rPr>
              <w:t>(2005</w:t>
            </w:r>
            <w:r w:rsidR="009B49D6">
              <w:rPr>
                <w:lang w:val="es-MX"/>
              </w:rPr>
              <w:t>–</w:t>
            </w:r>
            <w:r>
              <w:rPr>
                <w:lang w:val="es-MX"/>
              </w:rPr>
              <w:t>2011)</w:t>
            </w:r>
          </w:p>
        </w:tc>
      </w:tr>
      <w:tr w:rsidR="00EF1D3F" w14:paraId="3C196CCB" w14:textId="77777777" w:rsidTr="00DC65D6">
        <w:tc>
          <w:tcPr>
            <w:tcW w:w="3539" w:type="dxa"/>
          </w:tcPr>
          <w:p w14:paraId="24E29535" w14:textId="77777777" w:rsidR="00EF1D3F" w:rsidRPr="00D1335E" w:rsidRDefault="00EF1D3F" w:rsidP="00EF1D3F">
            <w:pPr>
              <w:pStyle w:val="NoSpacing"/>
              <w:spacing w:line="240" w:lineRule="auto"/>
              <w:ind w:firstLine="0"/>
            </w:pPr>
            <w:r w:rsidRPr="00D1335E">
              <w:t>% PRD municipalities from sample**</w:t>
            </w:r>
          </w:p>
          <w:p w14:paraId="6E8BBEB4" w14:textId="77777777" w:rsidR="00EF1D3F" w:rsidRPr="00D1335E" w:rsidRDefault="00EF1D3F" w:rsidP="00EF1D3F">
            <w:pPr>
              <w:pStyle w:val="NoSpacing"/>
              <w:spacing w:line="240" w:lineRule="auto"/>
              <w:ind w:firstLine="0"/>
            </w:pPr>
            <w:r w:rsidRPr="00D1335E">
              <w:rPr>
                <w:sz w:val="20"/>
                <w:szCs w:val="20"/>
              </w:rPr>
              <w:t>Source: State Electoral Institutes</w:t>
            </w:r>
          </w:p>
        </w:tc>
        <w:tc>
          <w:tcPr>
            <w:tcW w:w="2694" w:type="dxa"/>
          </w:tcPr>
          <w:p w14:paraId="021FE047" w14:textId="2F8DF7B2" w:rsidR="00EF1D3F" w:rsidRPr="00871611" w:rsidRDefault="00EF1D3F" w:rsidP="00EF1D3F">
            <w:pPr>
              <w:pStyle w:val="NoSpacing"/>
              <w:spacing w:line="240" w:lineRule="auto"/>
              <w:jc w:val="center"/>
            </w:pPr>
            <w:r w:rsidRPr="00871611">
              <w:t>2008</w:t>
            </w:r>
            <w:r w:rsidR="009B49D6">
              <w:t>–</w:t>
            </w:r>
            <w:r w:rsidRPr="00871611">
              <w:t>2011:</w:t>
            </w:r>
            <w:r>
              <w:t xml:space="preserve"> 12.5</w:t>
            </w:r>
          </w:p>
        </w:tc>
        <w:tc>
          <w:tcPr>
            <w:tcW w:w="3117" w:type="dxa"/>
          </w:tcPr>
          <w:p w14:paraId="1BEBB207" w14:textId="746443D3" w:rsidR="00EF1D3F" w:rsidRPr="00871611" w:rsidRDefault="00EF1D3F" w:rsidP="00EF1D3F">
            <w:pPr>
              <w:pStyle w:val="NoSpacing"/>
              <w:spacing w:line="240" w:lineRule="auto"/>
              <w:jc w:val="center"/>
            </w:pPr>
            <w:r>
              <w:t>2009</w:t>
            </w:r>
            <w:r w:rsidR="009B49D6">
              <w:t>–</w:t>
            </w:r>
            <w:r>
              <w:t>2012: 14.29</w:t>
            </w:r>
          </w:p>
        </w:tc>
      </w:tr>
      <w:tr w:rsidR="00EF1D3F" w14:paraId="5DAD74B9" w14:textId="77777777" w:rsidTr="00DC65D6">
        <w:tc>
          <w:tcPr>
            <w:tcW w:w="3539" w:type="dxa"/>
          </w:tcPr>
          <w:p w14:paraId="366F85B5" w14:textId="77777777" w:rsidR="00EF1D3F" w:rsidRDefault="00EF1D3F" w:rsidP="00EF1D3F">
            <w:pPr>
              <w:pStyle w:val="NoSpacing"/>
              <w:spacing w:line="240" w:lineRule="auto"/>
              <w:ind w:firstLine="0"/>
            </w:pPr>
            <w:r w:rsidRPr="00871611">
              <w:t>% PRI municipalities from sample**</w:t>
            </w:r>
          </w:p>
          <w:p w14:paraId="3417C9A3" w14:textId="77777777" w:rsidR="00EF1D3F" w:rsidRPr="00871611" w:rsidRDefault="00EF1D3F" w:rsidP="00EF1D3F">
            <w:pPr>
              <w:pStyle w:val="NoSpacing"/>
              <w:spacing w:line="240" w:lineRule="auto"/>
              <w:ind w:firstLine="0"/>
            </w:pPr>
            <w:r w:rsidRPr="00D1335E">
              <w:rPr>
                <w:sz w:val="20"/>
                <w:szCs w:val="20"/>
              </w:rPr>
              <w:t>Source: State Electoral Institutes</w:t>
            </w:r>
          </w:p>
        </w:tc>
        <w:tc>
          <w:tcPr>
            <w:tcW w:w="2694" w:type="dxa"/>
          </w:tcPr>
          <w:p w14:paraId="0F9F2EAF" w14:textId="458ADF87" w:rsidR="00EF1D3F" w:rsidRPr="00871611" w:rsidRDefault="00EF1D3F" w:rsidP="00EF1D3F">
            <w:pPr>
              <w:pStyle w:val="NoSpacing"/>
              <w:spacing w:line="240" w:lineRule="auto"/>
              <w:jc w:val="center"/>
            </w:pPr>
            <w:r w:rsidRPr="00871611">
              <w:t>2008</w:t>
            </w:r>
            <w:r w:rsidR="009B49D6">
              <w:t>–</w:t>
            </w:r>
            <w:r w:rsidRPr="00871611">
              <w:t>2011:</w:t>
            </w:r>
            <w:r>
              <w:t xml:space="preserve"> 75</w:t>
            </w:r>
          </w:p>
        </w:tc>
        <w:tc>
          <w:tcPr>
            <w:tcW w:w="3117" w:type="dxa"/>
          </w:tcPr>
          <w:p w14:paraId="68CEB974" w14:textId="7BAE0AD7" w:rsidR="00EF1D3F" w:rsidRPr="00871611" w:rsidRDefault="00EF1D3F" w:rsidP="00EF1D3F">
            <w:pPr>
              <w:pStyle w:val="NoSpacing"/>
              <w:spacing w:line="240" w:lineRule="auto"/>
              <w:jc w:val="center"/>
            </w:pPr>
            <w:r>
              <w:t>2009</w:t>
            </w:r>
            <w:r w:rsidR="009B49D6">
              <w:t>–</w:t>
            </w:r>
            <w:r>
              <w:t>2012: 71.43</w:t>
            </w:r>
          </w:p>
        </w:tc>
      </w:tr>
      <w:tr w:rsidR="00EF1D3F" w14:paraId="7E03887A" w14:textId="77777777" w:rsidTr="00DC65D6">
        <w:tc>
          <w:tcPr>
            <w:tcW w:w="3539" w:type="dxa"/>
          </w:tcPr>
          <w:p w14:paraId="6263D863" w14:textId="77777777" w:rsidR="00EF1D3F" w:rsidRDefault="00EF1D3F" w:rsidP="00EF1D3F">
            <w:pPr>
              <w:pStyle w:val="NoSpacing"/>
              <w:spacing w:line="240" w:lineRule="auto"/>
              <w:ind w:firstLine="0"/>
            </w:pPr>
            <w:r w:rsidRPr="00871611">
              <w:t>% PAN municipalities from sample**</w:t>
            </w:r>
          </w:p>
          <w:p w14:paraId="329D32A4" w14:textId="77777777" w:rsidR="00EF1D3F" w:rsidRPr="00871611" w:rsidRDefault="00EF1D3F" w:rsidP="00EF1D3F">
            <w:pPr>
              <w:pStyle w:val="NoSpacing"/>
              <w:spacing w:line="240" w:lineRule="auto"/>
              <w:ind w:firstLine="0"/>
            </w:pPr>
            <w:r w:rsidRPr="00D1335E">
              <w:rPr>
                <w:sz w:val="20"/>
                <w:szCs w:val="20"/>
              </w:rPr>
              <w:t>Source: State Electoral Institutes</w:t>
            </w:r>
          </w:p>
        </w:tc>
        <w:tc>
          <w:tcPr>
            <w:tcW w:w="2694" w:type="dxa"/>
          </w:tcPr>
          <w:p w14:paraId="53AC9911" w14:textId="5EE2E146" w:rsidR="00EF1D3F" w:rsidRPr="00871611" w:rsidRDefault="00EF1D3F" w:rsidP="00EF1D3F">
            <w:pPr>
              <w:pStyle w:val="NoSpacing"/>
              <w:spacing w:line="240" w:lineRule="auto"/>
              <w:jc w:val="center"/>
            </w:pPr>
            <w:r w:rsidRPr="00871611">
              <w:t>2008</w:t>
            </w:r>
            <w:r w:rsidR="009B49D6">
              <w:t>–</w:t>
            </w:r>
            <w:r w:rsidRPr="00871611">
              <w:t>2011:</w:t>
            </w:r>
            <w:r>
              <w:t xml:space="preserve"> 12.5</w:t>
            </w:r>
          </w:p>
        </w:tc>
        <w:tc>
          <w:tcPr>
            <w:tcW w:w="3117" w:type="dxa"/>
          </w:tcPr>
          <w:p w14:paraId="1F78F2B3" w14:textId="40E92E58" w:rsidR="00EF1D3F" w:rsidRPr="00871611" w:rsidRDefault="00EF1D3F" w:rsidP="00EF1D3F">
            <w:pPr>
              <w:pStyle w:val="NoSpacing"/>
              <w:spacing w:line="240" w:lineRule="auto"/>
              <w:jc w:val="center"/>
            </w:pPr>
            <w:r>
              <w:t>2009</w:t>
            </w:r>
            <w:r w:rsidR="009B49D6">
              <w:t>–</w:t>
            </w:r>
            <w:r>
              <w:t>2012: 14.29</w:t>
            </w:r>
          </w:p>
        </w:tc>
      </w:tr>
      <w:tr w:rsidR="00EF1D3F" w:rsidRPr="00BF033C" w14:paraId="6BC8B501" w14:textId="77777777" w:rsidTr="00DC65D6">
        <w:tc>
          <w:tcPr>
            <w:tcW w:w="3539" w:type="dxa"/>
          </w:tcPr>
          <w:p w14:paraId="6897AD26" w14:textId="77777777" w:rsidR="00EF1D3F" w:rsidRPr="00871611" w:rsidRDefault="00EF1D3F" w:rsidP="00EF1D3F">
            <w:pPr>
              <w:pStyle w:val="NoSpacing"/>
              <w:spacing w:line="240" w:lineRule="auto"/>
              <w:ind w:firstLine="0"/>
              <w:rPr>
                <w:b/>
              </w:rPr>
            </w:pPr>
            <w:r w:rsidRPr="00871611">
              <w:rPr>
                <w:b/>
              </w:rPr>
              <w:t>Subnational election cycle (2011)</w:t>
            </w:r>
          </w:p>
        </w:tc>
        <w:tc>
          <w:tcPr>
            <w:tcW w:w="2694" w:type="dxa"/>
          </w:tcPr>
          <w:p w14:paraId="1DDA7C53" w14:textId="68F7D82A" w:rsidR="00EF1D3F" w:rsidRPr="00BF033C" w:rsidRDefault="00EF1D3F" w:rsidP="00663143">
            <w:pPr>
              <w:pStyle w:val="NoSpacing"/>
              <w:numPr>
                <w:ilvl w:val="0"/>
                <w:numId w:val="6"/>
              </w:numPr>
              <w:spacing w:line="240" w:lineRule="auto"/>
              <w:rPr>
                <w:b/>
              </w:rPr>
            </w:pPr>
            <w:r w:rsidRPr="00BF033C">
              <w:rPr>
                <w:b/>
              </w:rPr>
              <w:t>Governor</w:t>
            </w:r>
          </w:p>
          <w:p w14:paraId="61E036BF" w14:textId="727727CF" w:rsidR="00EF1D3F" w:rsidRPr="00BF033C" w:rsidRDefault="00EF1D3F" w:rsidP="00663143">
            <w:pPr>
              <w:pStyle w:val="NoSpacing"/>
              <w:numPr>
                <w:ilvl w:val="0"/>
                <w:numId w:val="6"/>
              </w:numPr>
              <w:spacing w:line="240" w:lineRule="auto"/>
              <w:rPr>
                <w:b/>
              </w:rPr>
            </w:pPr>
            <w:r>
              <w:rPr>
                <w:b/>
              </w:rPr>
              <w:t xml:space="preserve">40 </w:t>
            </w:r>
            <w:r w:rsidRPr="00BF033C">
              <w:rPr>
                <w:b/>
              </w:rPr>
              <w:t>State</w:t>
            </w:r>
            <w:r w:rsidR="009C349E">
              <w:rPr>
                <w:b/>
              </w:rPr>
              <w:t xml:space="preserve"> </w:t>
            </w:r>
            <w:r>
              <w:rPr>
                <w:b/>
              </w:rPr>
              <w:t xml:space="preserve"> legislat</w:t>
            </w:r>
            <w:r w:rsidR="004834D8">
              <w:rPr>
                <w:b/>
              </w:rPr>
              <w:t>ors</w:t>
            </w:r>
          </w:p>
          <w:p w14:paraId="71A118DF" w14:textId="154B0B04" w:rsidR="00EF1D3F" w:rsidRPr="00BF033C" w:rsidRDefault="00A66659" w:rsidP="00663143">
            <w:pPr>
              <w:pStyle w:val="NoSpacing"/>
              <w:numPr>
                <w:ilvl w:val="0"/>
                <w:numId w:val="6"/>
              </w:numPr>
              <w:spacing w:line="240" w:lineRule="auto"/>
              <w:rPr>
                <w:b/>
              </w:rPr>
            </w:pPr>
            <w:r w:rsidRPr="00A66659">
              <w:rPr>
                <w:b/>
              </w:rPr>
              <w:t>113</w:t>
            </w:r>
            <w:r w:rsidR="00EF1D3F">
              <w:rPr>
                <w:b/>
              </w:rPr>
              <w:t xml:space="preserve"> </w:t>
            </w:r>
            <w:r w:rsidR="004834D8">
              <w:rPr>
                <w:b/>
              </w:rPr>
              <w:t>Mayors</w:t>
            </w:r>
          </w:p>
        </w:tc>
        <w:tc>
          <w:tcPr>
            <w:tcW w:w="3117" w:type="dxa"/>
          </w:tcPr>
          <w:p w14:paraId="4C441AE6" w14:textId="55478AED" w:rsidR="00EF1D3F" w:rsidRPr="00BF033C" w:rsidRDefault="00EF1D3F" w:rsidP="00663143">
            <w:pPr>
              <w:pStyle w:val="NoSpacing"/>
              <w:numPr>
                <w:ilvl w:val="0"/>
                <w:numId w:val="6"/>
              </w:numPr>
              <w:spacing w:line="240" w:lineRule="auto"/>
              <w:rPr>
                <w:b/>
              </w:rPr>
            </w:pPr>
            <w:r w:rsidRPr="00BF033C">
              <w:rPr>
                <w:b/>
              </w:rPr>
              <w:t>Governor</w:t>
            </w:r>
          </w:p>
        </w:tc>
      </w:tr>
      <w:tr w:rsidR="00EF1D3F" w14:paraId="3B431D51" w14:textId="77777777" w:rsidTr="00DC65D6">
        <w:tc>
          <w:tcPr>
            <w:tcW w:w="9350" w:type="dxa"/>
            <w:gridSpan w:val="3"/>
          </w:tcPr>
          <w:p w14:paraId="0DD4E432" w14:textId="77777777" w:rsidR="00EF1D3F" w:rsidRDefault="00EF1D3F" w:rsidP="00EF1D3F">
            <w:pPr>
              <w:pStyle w:val="NoSpacing"/>
              <w:spacing w:line="240" w:lineRule="auto"/>
              <w:jc w:val="center"/>
              <w:rPr>
                <w:lang w:val="es-MX"/>
              </w:rPr>
            </w:pPr>
          </w:p>
        </w:tc>
      </w:tr>
      <w:tr w:rsidR="00EF1D3F" w14:paraId="0E5ABE32" w14:textId="77777777" w:rsidTr="00DC65D6">
        <w:tc>
          <w:tcPr>
            <w:tcW w:w="3539" w:type="dxa"/>
          </w:tcPr>
          <w:p w14:paraId="18C88D63" w14:textId="77777777" w:rsidR="00EF1D3F" w:rsidRPr="001A026B" w:rsidRDefault="00EF1D3F" w:rsidP="00663143">
            <w:pPr>
              <w:pStyle w:val="NoSpacing"/>
              <w:spacing w:line="240" w:lineRule="auto"/>
              <w:ind w:firstLine="0"/>
              <w:rPr>
                <w:i/>
                <w:lang w:val="es-MX"/>
              </w:rPr>
            </w:pPr>
            <w:r w:rsidRPr="001A026B">
              <w:rPr>
                <w:i/>
                <w:lang w:val="es-MX"/>
              </w:rPr>
              <w:t>Narco</w:t>
            </w:r>
            <w:r>
              <w:rPr>
                <w:i/>
                <w:lang w:val="es-MX"/>
              </w:rPr>
              <w:t xml:space="preserve"> activity</w:t>
            </w:r>
          </w:p>
        </w:tc>
        <w:tc>
          <w:tcPr>
            <w:tcW w:w="2694" w:type="dxa"/>
          </w:tcPr>
          <w:p w14:paraId="60E4C416" w14:textId="77777777" w:rsidR="00EF1D3F" w:rsidRDefault="00EF1D3F" w:rsidP="00EF1D3F">
            <w:pPr>
              <w:pStyle w:val="NoSpacing"/>
              <w:spacing w:line="240" w:lineRule="auto"/>
              <w:jc w:val="center"/>
              <w:rPr>
                <w:lang w:val="es-MX"/>
              </w:rPr>
            </w:pPr>
          </w:p>
        </w:tc>
        <w:tc>
          <w:tcPr>
            <w:tcW w:w="3117" w:type="dxa"/>
          </w:tcPr>
          <w:p w14:paraId="434377E1" w14:textId="77777777" w:rsidR="00EF1D3F" w:rsidRDefault="00EF1D3F" w:rsidP="00EF1D3F">
            <w:pPr>
              <w:pStyle w:val="NoSpacing"/>
              <w:spacing w:line="240" w:lineRule="auto"/>
              <w:jc w:val="center"/>
              <w:rPr>
                <w:lang w:val="es-MX"/>
              </w:rPr>
            </w:pPr>
          </w:p>
        </w:tc>
      </w:tr>
      <w:tr w:rsidR="00EF1D3F" w:rsidRPr="0053363E" w14:paraId="3EC2F050" w14:textId="77777777" w:rsidTr="00DC65D6">
        <w:tc>
          <w:tcPr>
            <w:tcW w:w="3539" w:type="dxa"/>
          </w:tcPr>
          <w:p w14:paraId="4A3F3445" w14:textId="77777777" w:rsidR="00EF1D3F" w:rsidRDefault="00EF1D3F" w:rsidP="00663143">
            <w:pPr>
              <w:pStyle w:val="NoSpacing"/>
              <w:spacing w:line="240" w:lineRule="auto"/>
              <w:ind w:firstLine="0"/>
              <w:rPr>
                <w:lang w:val="es-MX"/>
              </w:rPr>
            </w:pPr>
            <w:r>
              <w:rPr>
                <w:lang w:val="es-MX"/>
              </w:rPr>
              <w:t>Cartel presence &amp; inter-cartel conflict</w:t>
            </w:r>
          </w:p>
          <w:p w14:paraId="75C50611" w14:textId="77777777" w:rsidR="00EF1D3F" w:rsidRPr="00113AC0" w:rsidRDefault="00EF1D3F" w:rsidP="00EF1D3F">
            <w:pPr>
              <w:pStyle w:val="NoSpacing"/>
              <w:spacing w:line="240" w:lineRule="auto"/>
              <w:rPr>
                <w:sz w:val="16"/>
                <w:szCs w:val="16"/>
                <w:lang w:val="es-MX"/>
              </w:rPr>
            </w:pPr>
          </w:p>
        </w:tc>
        <w:tc>
          <w:tcPr>
            <w:tcW w:w="2694" w:type="dxa"/>
          </w:tcPr>
          <w:p w14:paraId="2286B390" w14:textId="2DE6A865" w:rsidR="00EF1D3F" w:rsidRDefault="00EF1D3F" w:rsidP="00663143">
            <w:pPr>
              <w:pStyle w:val="NoSpacing"/>
              <w:numPr>
                <w:ilvl w:val="0"/>
                <w:numId w:val="6"/>
              </w:numPr>
              <w:spacing w:line="240" w:lineRule="auto"/>
              <w:rPr>
                <w:lang w:val="es-MX"/>
              </w:rPr>
            </w:pPr>
            <w:r>
              <w:rPr>
                <w:lang w:val="es-MX"/>
              </w:rPr>
              <w:t>La Familia Michoacana</w:t>
            </w:r>
          </w:p>
          <w:p w14:paraId="24A358AE" w14:textId="46A4F4C9" w:rsidR="00EF1D3F" w:rsidRDefault="00EF1D3F" w:rsidP="00663143">
            <w:pPr>
              <w:pStyle w:val="NoSpacing"/>
              <w:numPr>
                <w:ilvl w:val="0"/>
                <w:numId w:val="6"/>
              </w:numPr>
              <w:spacing w:line="240" w:lineRule="auto"/>
              <w:rPr>
                <w:lang w:val="es-MX"/>
              </w:rPr>
            </w:pPr>
            <w:r>
              <w:rPr>
                <w:lang w:val="es-MX"/>
              </w:rPr>
              <w:t>Sinaloa Cartel</w:t>
            </w:r>
          </w:p>
        </w:tc>
        <w:tc>
          <w:tcPr>
            <w:tcW w:w="3117" w:type="dxa"/>
          </w:tcPr>
          <w:p w14:paraId="59E83762" w14:textId="77777777" w:rsidR="00663143" w:rsidRDefault="00EF1D3F" w:rsidP="00663143">
            <w:pPr>
              <w:pStyle w:val="NoSpacing"/>
              <w:numPr>
                <w:ilvl w:val="0"/>
                <w:numId w:val="6"/>
              </w:numPr>
              <w:spacing w:line="240" w:lineRule="auto"/>
              <w:rPr>
                <w:lang w:val="es-MX"/>
              </w:rPr>
            </w:pPr>
            <w:r>
              <w:rPr>
                <w:lang w:val="es-MX"/>
              </w:rPr>
              <w:t xml:space="preserve">La Familia </w:t>
            </w:r>
          </w:p>
          <w:p w14:paraId="298DDBFC" w14:textId="3CA1A0B0" w:rsidR="00EF1D3F" w:rsidRDefault="00EF1D3F" w:rsidP="00663143">
            <w:pPr>
              <w:pStyle w:val="NoSpacing"/>
              <w:spacing w:line="240" w:lineRule="auto"/>
              <w:ind w:left="720" w:firstLine="0"/>
              <w:rPr>
                <w:lang w:val="es-MX"/>
              </w:rPr>
            </w:pPr>
            <w:r>
              <w:rPr>
                <w:lang w:val="es-MX"/>
              </w:rPr>
              <w:t>Michoacana</w:t>
            </w:r>
          </w:p>
          <w:p w14:paraId="423D250B" w14:textId="61D752D4" w:rsidR="00EF1D3F" w:rsidRDefault="00EF1D3F" w:rsidP="00663143">
            <w:pPr>
              <w:pStyle w:val="NoSpacing"/>
              <w:numPr>
                <w:ilvl w:val="0"/>
                <w:numId w:val="6"/>
              </w:numPr>
              <w:spacing w:line="240" w:lineRule="auto"/>
              <w:rPr>
                <w:lang w:val="es-MX"/>
              </w:rPr>
            </w:pPr>
            <w:r>
              <w:rPr>
                <w:lang w:val="es-MX"/>
              </w:rPr>
              <w:t>Sinaloa Cartel</w:t>
            </w:r>
          </w:p>
        </w:tc>
      </w:tr>
      <w:tr w:rsidR="00EF1D3F" w14:paraId="7A272C0F" w14:textId="77777777" w:rsidTr="00DC65D6">
        <w:tc>
          <w:tcPr>
            <w:tcW w:w="3539" w:type="dxa"/>
          </w:tcPr>
          <w:p w14:paraId="5789F451" w14:textId="26C7A9BA" w:rsidR="00EF1D3F" w:rsidRPr="0094478B" w:rsidRDefault="00EF1D3F" w:rsidP="00663143">
            <w:pPr>
              <w:pStyle w:val="NoSpacing"/>
              <w:spacing w:line="240" w:lineRule="auto"/>
              <w:ind w:firstLine="0"/>
            </w:pPr>
            <w:r w:rsidRPr="0094478B">
              <w:t>Drug-related murder rate</w:t>
            </w:r>
            <w:r>
              <w:t xml:space="preserve"> per 10,000 inhabitants, 2007</w:t>
            </w:r>
            <w:r w:rsidR="009B49D6">
              <w:t>–</w:t>
            </w:r>
            <w:r>
              <w:t>2011*</w:t>
            </w:r>
          </w:p>
          <w:p w14:paraId="4D6EEE5C" w14:textId="77777777" w:rsidR="00EF1D3F" w:rsidRPr="0094478B" w:rsidRDefault="00EF1D3F" w:rsidP="009D7A42">
            <w:pPr>
              <w:pStyle w:val="NoSpacing"/>
              <w:spacing w:line="240" w:lineRule="auto"/>
              <w:ind w:firstLine="0"/>
              <w:rPr>
                <w:sz w:val="20"/>
                <w:szCs w:val="20"/>
                <w:lang w:val="es-MX"/>
              </w:rPr>
            </w:pPr>
            <w:r>
              <w:rPr>
                <w:sz w:val="20"/>
                <w:szCs w:val="20"/>
                <w:lang w:val="es-MX"/>
              </w:rPr>
              <w:t>Source: CVM Dataset</w:t>
            </w:r>
          </w:p>
        </w:tc>
        <w:tc>
          <w:tcPr>
            <w:tcW w:w="2694" w:type="dxa"/>
          </w:tcPr>
          <w:p w14:paraId="33BB23D4" w14:textId="77777777" w:rsidR="00EF1D3F" w:rsidRDefault="00EF1D3F" w:rsidP="00EF1D3F">
            <w:pPr>
              <w:pStyle w:val="NoSpacing"/>
              <w:spacing w:line="240" w:lineRule="auto"/>
              <w:jc w:val="center"/>
              <w:rPr>
                <w:lang w:val="es-MX"/>
              </w:rPr>
            </w:pPr>
            <w:r>
              <w:rPr>
                <w:lang w:val="es-MX"/>
              </w:rPr>
              <w:t>4.65</w:t>
            </w:r>
          </w:p>
        </w:tc>
        <w:tc>
          <w:tcPr>
            <w:tcW w:w="3117" w:type="dxa"/>
          </w:tcPr>
          <w:p w14:paraId="2D5A3EC7" w14:textId="77777777" w:rsidR="00EF1D3F" w:rsidRDefault="00EF1D3F" w:rsidP="00EF1D3F">
            <w:pPr>
              <w:pStyle w:val="NoSpacing"/>
              <w:spacing w:line="240" w:lineRule="auto"/>
              <w:jc w:val="center"/>
              <w:rPr>
                <w:lang w:val="es-MX"/>
              </w:rPr>
            </w:pPr>
            <w:r>
              <w:rPr>
                <w:lang w:val="es-MX"/>
              </w:rPr>
              <w:t>9.11</w:t>
            </w:r>
          </w:p>
        </w:tc>
      </w:tr>
      <w:tr w:rsidR="00EF1D3F" w14:paraId="0C837B44" w14:textId="77777777" w:rsidTr="00DC65D6">
        <w:tc>
          <w:tcPr>
            <w:tcW w:w="3539" w:type="dxa"/>
          </w:tcPr>
          <w:p w14:paraId="4BD23E80" w14:textId="77777777" w:rsidR="00EF1D3F" w:rsidRDefault="00EF1D3F" w:rsidP="00663143">
            <w:pPr>
              <w:pStyle w:val="NoSpacing"/>
              <w:spacing w:line="240" w:lineRule="auto"/>
              <w:ind w:firstLine="0"/>
              <w:rPr>
                <w:lang w:val="es-MX"/>
              </w:rPr>
            </w:pPr>
            <w:r>
              <w:rPr>
                <w:lang w:val="es-MX"/>
              </w:rPr>
              <w:t>Drug trafficking region</w:t>
            </w:r>
          </w:p>
          <w:p w14:paraId="5BB48280" w14:textId="77777777" w:rsidR="00EF1D3F" w:rsidRDefault="00EF1D3F" w:rsidP="00EF1D3F">
            <w:pPr>
              <w:pStyle w:val="NoSpacing"/>
              <w:spacing w:line="240" w:lineRule="auto"/>
              <w:rPr>
                <w:lang w:val="es-MX"/>
              </w:rPr>
            </w:pPr>
          </w:p>
        </w:tc>
        <w:tc>
          <w:tcPr>
            <w:tcW w:w="2694" w:type="dxa"/>
          </w:tcPr>
          <w:p w14:paraId="36FF45B6" w14:textId="77777777" w:rsidR="00EF1D3F" w:rsidRDefault="00EF1D3F" w:rsidP="00EF1D3F">
            <w:pPr>
              <w:pStyle w:val="NoSpacing"/>
              <w:spacing w:line="240" w:lineRule="auto"/>
              <w:jc w:val="center"/>
              <w:rPr>
                <w:lang w:val="es-MX"/>
              </w:rPr>
            </w:pPr>
            <w:r>
              <w:rPr>
                <w:lang w:val="es-MX"/>
              </w:rPr>
              <w:t>YES</w:t>
            </w:r>
          </w:p>
        </w:tc>
        <w:tc>
          <w:tcPr>
            <w:tcW w:w="3117" w:type="dxa"/>
          </w:tcPr>
          <w:p w14:paraId="7A222F74" w14:textId="77777777" w:rsidR="00EF1D3F" w:rsidRDefault="00EF1D3F" w:rsidP="00EF1D3F">
            <w:pPr>
              <w:pStyle w:val="NoSpacing"/>
              <w:spacing w:line="240" w:lineRule="auto"/>
              <w:jc w:val="center"/>
              <w:rPr>
                <w:lang w:val="es-MX"/>
              </w:rPr>
            </w:pPr>
            <w:r>
              <w:rPr>
                <w:lang w:val="es-MX"/>
              </w:rPr>
              <w:t>YES</w:t>
            </w:r>
          </w:p>
        </w:tc>
      </w:tr>
      <w:tr w:rsidR="00EF1D3F" w14:paraId="5A5F0EAE" w14:textId="77777777" w:rsidTr="00DC65D6">
        <w:tc>
          <w:tcPr>
            <w:tcW w:w="3539" w:type="dxa"/>
          </w:tcPr>
          <w:p w14:paraId="2B1C9893" w14:textId="787CC634" w:rsidR="00EF1D3F" w:rsidRDefault="00975F9D" w:rsidP="00663143">
            <w:pPr>
              <w:pStyle w:val="NoSpacing"/>
              <w:spacing w:line="240" w:lineRule="auto"/>
              <w:ind w:firstLine="0"/>
              <w:rPr>
                <w:lang w:val="es-MX"/>
              </w:rPr>
            </w:pPr>
            <w:r>
              <w:rPr>
                <w:lang w:val="es-MX"/>
              </w:rPr>
              <w:t>M</w:t>
            </w:r>
            <w:r w:rsidR="00EF1D3F">
              <w:rPr>
                <w:lang w:val="es-MX"/>
              </w:rPr>
              <w:t>arijuana crop eradication</w:t>
            </w:r>
            <w:r>
              <w:rPr>
                <w:lang w:val="es-MX"/>
              </w:rPr>
              <w:t xml:space="preserve"> by federal govt</w:t>
            </w:r>
            <w:r w:rsidR="00EF1D3F">
              <w:rPr>
                <w:lang w:val="es-MX"/>
              </w:rPr>
              <w:t>, 2007</w:t>
            </w:r>
            <w:r w:rsidR="009B49D6">
              <w:rPr>
                <w:lang w:val="es-MX"/>
              </w:rPr>
              <w:t>–</w:t>
            </w:r>
            <w:r w:rsidR="00EF1D3F">
              <w:rPr>
                <w:lang w:val="es-MX"/>
              </w:rPr>
              <w:t>2010 (hectares)*</w:t>
            </w:r>
          </w:p>
          <w:p w14:paraId="010CDA1F" w14:textId="77777777" w:rsidR="00EF1D3F" w:rsidRDefault="00EF1D3F" w:rsidP="00663143">
            <w:pPr>
              <w:pStyle w:val="NoSpacing"/>
              <w:spacing w:line="240" w:lineRule="auto"/>
              <w:ind w:firstLine="0"/>
              <w:rPr>
                <w:lang w:val="es-MX"/>
              </w:rPr>
            </w:pPr>
            <w:r w:rsidRPr="0094478B">
              <w:rPr>
                <w:sz w:val="20"/>
                <w:szCs w:val="20"/>
                <w:lang w:val="es-MX"/>
              </w:rPr>
              <w:t xml:space="preserve">Source: </w:t>
            </w:r>
            <w:r>
              <w:rPr>
                <w:sz w:val="20"/>
                <w:szCs w:val="20"/>
                <w:lang w:val="es-MX"/>
              </w:rPr>
              <w:t>Sedena 2007-2011</w:t>
            </w:r>
          </w:p>
        </w:tc>
        <w:tc>
          <w:tcPr>
            <w:tcW w:w="2694" w:type="dxa"/>
          </w:tcPr>
          <w:p w14:paraId="65189A19" w14:textId="77777777" w:rsidR="00EF1D3F" w:rsidRDefault="00EF1D3F" w:rsidP="00EF1D3F">
            <w:pPr>
              <w:pStyle w:val="NoSpacing"/>
              <w:spacing w:line="240" w:lineRule="auto"/>
              <w:jc w:val="center"/>
              <w:rPr>
                <w:lang w:val="es-MX"/>
              </w:rPr>
            </w:pPr>
            <w:r>
              <w:rPr>
                <w:lang w:val="es-MX"/>
              </w:rPr>
              <w:t>221.83</w:t>
            </w:r>
          </w:p>
        </w:tc>
        <w:tc>
          <w:tcPr>
            <w:tcW w:w="3117" w:type="dxa"/>
          </w:tcPr>
          <w:p w14:paraId="7BDCA2D0" w14:textId="77777777" w:rsidR="00EF1D3F" w:rsidRDefault="00EF1D3F" w:rsidP="00EF1D3F">
            <w:pPr>
              <w:pStyle w:val="NoSpacing"/>
              <w:spacing w:line="240" w:lineRule="auto"/>
              <w:jc w:val="center"/>
              <w:rPr>
                <w:lang w:val="es-MX"/>
              </w:rPr>
            </w:pPr>
            <w:r>
              <w:rPr>
                <w:lang w:val="es-MX"/>
              </w:rPr>
              <w:t>30.35</w:t>
            </w:r>
          </w:p>
        </w:tc>
      </w:tr>
      <w:tr w:rsidR="00EF1D3F" w14:paraId="2A0FB095" w14:textId="77777777" w:rsidTr="00DC65D6">
        <w:tc>
          <w:tcPr>
            <w:tcW w:w="3539" w:type="dxa"/>
          </w:tcPr>
          <w:p w14:paraId="0BC312A3" w14:textId="7692C5BE" w:rsidR="00EF1D3F" w:rsidRPr="009D7A42" w:rsidRDefault="00975F9D" w:rsidP="00663143">
            <w:pPr>
              <w:pStyle w:val="NoSpacing"/>
              <w:spacing w:line="240" w:lineRule="auto"/>
              <w:ind w:firstLine="0"/>
            </w:pPr>
            <w:r w:rsidRPr="009D7A42">
              <w:t>P</w:t>
            </w:r>
            <w:r w:rsidR="00EF1D3F" w:rsidRPr="009D7A42">
              <w:t>oppy crop eradication</w:t>
            </w:r>
            <w:r w:rsidRPr="009D7A42">
              <w:t xml:space="preserve"> by federal govt</w:t>
            </w:r>
            <w:r w:rsidR="00EF1D3F" w:rsidRPr="009D7A42">
              <w:t>, 2007</w:t>
            </w:r>
            <w:r w:rsidR="009B49D6" w:rsidRPr="009D7A42">
              <w:t>–</w:t>
            </w:r>
            <w:r w:rsidR="00EF1D3F" w:rsidRPr="009D7A42">
              <w:t>2010 (hectares)*</w:t>
            </w:r>
          </w:p>
          <w:p w14:paraId="2C1B9457" w14:textId="77B908F3" w:rsidR="00EF1D3F" w:rsidRPr="009D7A42" w:rsidRDefault="00EF1D3F" w:rsidP="00663143">
            <w:pPr>
              <w:pStyle w:val="NoSpacing"/>
              <w:spacing w:line="240" w:lineRule="auto"/>
              <w:ind w:firstLine="0"/>
            </w:pPr>
            <w:r w:rsidRPr="009D7A42">
              <w:rPr>
                <w:sz w:val="20"/>
                <w:szCs w:val="20"/>
              </w:rPr>
              <w:t>Source: Sedena 2007</w:t>
            </w:r>
            <w:r w:rsidR="009B49D6" w:rsidRPr="009D7A42">
              <w:rPr>
                <w:sz w:val="20"/>
                <w:szCs w:val="20"/>
              </w:rPr>
              <w:t>–</w:t>
            </w:r>
            <w:r w:rsidRPr="009D7A42">
              <w:rPr>
                <w:sz w:val="20"/>
                <w:szCs w:val="20"/>
              </w:rPr>
              <w:t>2011</w:t>
            </w:r>
          </w:p>
        </w:tc>
        <w:tc>
          <w:tcPr>
            <w:tcW w:w="2694" w:type="dxa"/>
          </w:tcPr>
          <w:p w14:paraId="39169D08" w14:textId="77777777" w:rsidR="00EF1D3F" w:rsidRDefault="00EF1D3F" w:rsidP="00EF1D3F">
            <w:pPr>
              <w:pStyle w:val="NoSpacing"/>
              <w:spacing w:line="240" w:lineRule="auto"/>
              <w:jc w:val="center"/>
              <w:rPr>
                <w:lang w:val="es-MX"/>
              </w:rPr>
            </w:pPr>
            <w:r>
              <w:rPr>
                <w:lang w:val="es-MX"/>
              </w:rPr>
              <w:t>1.43</w:t>
            </w:r>
          </w:p>
        </w:tc>
        <w:tc>
          <w:tcPr>
            <w:tcW w:w="3117" w:type="dxa"/>
          </w:tcPr>
          <w:p w14:paraId="33930410" w14:textId="77777777" w:rsidR="00EF1D3F" w:rsidRDefault="00EF1D3F" w:rsidP="00EF1D3F">
            <w:pPr>
              <w:pStyle w:val="NoSpacing"/>
              <w:spacing w:line="240" w:lineRule="auto"/>
              <w:jc w:val="center"/>
              <w:rPr>
                <w:lang w:val="es-MX"/>
              </w:rPr>
            </w:pPr>
            <w:r>
              <w:rPr>
                <w:lang w:val="es-MX"/>
              </w:rPr>
              <w:t>416.91</w:t>
            </w:r>
          </w:p>
        </w:tc>
      </w:tr>
      <w:tr w:rsidR="00EF1D3F" w14:paraId="3CC37D39" w14:textId="77777777" w:rsidTr="00DC65D6">
        <w:tc>
          <w:tcPr>
            <w:tcW w:w="3539" w:type="dxa"/>
          </w:tcPr>
          <w:p w14:paraId="36F604A5" w14:textId="10994718" w:rsidR="00EF1D3F" w:rsidRPr="00D1335E" w:rsidRDefault="00EF1D3F" w:rsidP="00663143">
            <w:pPr>
              <w:pStyle w:val="NoSpacing"/>
              <w:spacing w:line="240" w:lineRule="auto"/>
              <w:ind w:firstLine="0"/>
            </w:pPr>
            <w:r w:rsidRPr="00D1335E">
              <w:t>High-profile criminal attacks, 2007</w:t>
            </w:r>
            <w:r w:rsidR="009B49D6">
              <w:t>–</w:t>
            </w:r>
            <w:r w:rsidRPr="00D1335E">
              <w:t>2010</w:t>
            </w:r>
          </w:p>
          <w:p w14:paraId="4C425D8C" w14:textId="77777777" w:rsidR="00EF1D3F" w:rsidRPr="00D1335E" w:rsidRDefault="00EF1D3F" w:rsidP="00663143">
            <w:pPr>
              <w:pStyle w:val="NoSpacing"/>
              <w:spacing w:line="240" w:lineRule="auto"/>
              <w:ind w:firstLine="0"/>
            </w:pPr>
            <w:r w:rsidRPr="00D1335E">
              <w:rPr>
                <w:sz w:val="20"/>
                <w:szCs w:val="20"/>
              </w:rPr>
              <w:t xml:space="preserve">Source: CAPAM Dataset </w:t>
            </w:r>
          </w:p>
        </w:tc>
        <w:tc>
          <w:tcPr>
            <w:tcW w:w="2694" w:type="dxa"/>
          </w:tcPr>
          <w:p w14:paraId="290BACE9" w14:textId="77777777" w:rsidR="00EF1D3F" w:rsidRPr="00D1335E" w:rsidRDefault="00EF1D3F" w:rsidP="00EF1D3F">
            <w:pPr>
              <w:pStyle w:val="NoSpacing"/>
              <w:spacing w:line="240" w:lineRule="auto"/>
              <w:jc w:val="center"/>
              <w:rPr>
                <w:lang w:val="es-MX"/>
              </w:rPr>
            </w:pPr>
            <w:r w:rsidRPr="00D1335E">
              <w:rPr>
                <w:lang w:val="es-MX"/>
              </w:rPr>
              <w:t>7</w:t>
            </w:r>
          </w:p>
        </w:tc>
        <w:tc>
          <w:tcPr>
            <w:tcW w:w="3117" w:type="dxa"/>
          </w:tcPr>
          <w:p w14:paraId="3FF53372" w14:textId="77777777" w:rsidR="00EF1D3F" w:rsidRPr="00D1335E" w:rsidRDefault="00EF1D3F" w:rsidP="00EF1D3F">
            <w:pPr>
              <w:pStyle w:val="NoSpacing"/>
              <w:spacing w:line="240" w:lineRule="auto"/>
              <w:jc w:val="center"/>
              <w:rPr>
                <w:lang w:val="es-MX"/>
              </w:rPr>
            </w:pPr>
            <w:r w:rsidRPr="00D1335E">
              <w:rPr>
                <w:lang w:val="es-MX"/>
              </w:rPr>
              <w:t>9</w:t>
            </w:r>
          </w:p>
        </w:tc>
      </w:tr>
      <w:tr w:rsidR="00EF1D3F" w14:paraId="5D4D32F5" w14:textId="77777777" w:rsidTr="00DC65D6">
        <w:tc>
          <w:tcPr>
            <w:tcW w:w="3539" w:type="dxa"/>
          </w:tcPr>
          <w:p w14:paraId="32A7C142" w14:textId="77777777" w:rsidR="00EF1D3F" w:rsidRPr="00871611" w:rsidRDefault="00EF1D3F" w:rsidP="00663143">
            <w:pPr>
              <w:pStyle w:val="NoSpacing"/>
              <w:spacing w:line="240" w:lineRule="auto"/>
              <w:ind w:firstLine="0"/>
              <w:rPr>
                <w:b/>
              </w:rPr>
            </w:pPr>
            <w:r w:rsidRPr="00871611">
              <w:rPr>
                <w:b/>
              </w:rPr>
              <w:t>High-profile criminal attacks, 2011</w:t>
            </w:r>
          </w:p>
          <w:p w14:paraId="70AD75B9" w14:textId="77777777" w:rsidR="00EF1D3F" w:rsidRPr="00871611" w:rsidRDefault="00EF1D3F" w:rsidP="00663143">
            <w:pPr>
              <w:pStyle w:val="NoSpacing"/>
              <w:spacing w:line="240" w:lineRule="auto"/>
              <w:ind w:firstLine="0"/>
              <w:rPr>
                <w:b/>
              </w:rPr>
            </w:pPr>
            <w:r w:rsidRPr="00871611">
              <w:rPr>
                <w:sz w:val="20"/>
                <w:szCs w:val="20"/>
              </w:rPr>
              <w:t>Source: CAPAM Dataset</w:t>
            </w:r>
          </w:p>
        </w:tc>
        <w:tc>
          <w:tcPr>
            <w:tcW w:w="2694" w:type="dxa"/>
          </w:tcPr>
          <w:p w14:paraId="498A3E15" w14:textId="77777777" w:rsidR="00EF1D3F" w:rsidRDefault="00EF1D3F" w:rsidP="00EF1D3F">
            <w:pPr>
              <w:pStyle w:val="NoSpacing"/>
              <w:spacing w:line="240" w:lineRule="auto"/>
              <w:jc w:val="center"/>
              <w:rPr>
                <w:b/>
                <w:lang w:val="es-MX"/>
              </w:rPr>
            </w:pPr>
            <w:r>
              <w:rPr>
                <w:b/>
                <w:lang w:val="es-MX"/>
              </w:rPr>
              <w:t>8</w:t>
            </w:r>
          </w:p>
        </w:tc>
        <w:tc>
          <w:tcPr>
            <w:tcW w:w="3117" w:type="dxa"/>
          </w:tcPr>
          <w:p w14:paraId="577C797A" w14:textId="77777777" w:rsidR="00EF1D3F" w:rsidRDefault="00EF1D3F" w:rsidP="00EF1D3F">
            <w:pPr>
              <w:pStyle w:val="NoSpacing"/>
              <w:spacing w:line="240" w:lineRule="auto"/>
              <w:jc w:val="center"/>
              <w:rPr>
                <w:b/>
                <w:lang w:val="es-MX"/>
              </w:rPr>
            </w:pPr>
            <w:r>
              <w:rPr>
                <w:b/>
                <w:lang w:val="es-MX"/>
              </w:rPr>
              <w:t>1</w:t>
            </w:r>
          </w:p>
        </w:tc>
      </w:tr>
    </w:tbl>
    <w:p w14:paraId="75A8C195" w14:textId="77777777" w:rsidR="00EF1D3F" w:rsidRDefault="00EF1D3F" w:rsidP="00C873DA">
      <w:pPr>
        <w:pStyle w:val="NoSpacing"/>
        <w:spacing w:line="240" w:lineRule="auto"/>
        <w:ind w:firstLine="0"/>
        <w:rPr>
          <w:sz w:val="20"/>
          <w:szCs w:val="20"/>
        </w:rPr>
      </w:pPr>
      <w:r>
        <w:rPr>
          <w:sz w:val="20"/>
          <w:szCs w:val="20"/>
        </w:rPr>
        <w:t>*Regional mean (includes only the municipalities under analysis).</w:t>
      </w:r>
    </w:p>
    <w:p w14:paraId="66177680" w14:textId="63491E16" w:rsidR="00EF1D3F" w:rsidRDefault="00EF1D3F" w:rsidP="00C873DA">
      <w:pPr>
        <w:pStyle w:val="NoSpacing"/>
        <w:spacing w:line="240" w:lineRule="auto"/>
        <w:ind w:firstLine="0"/>
        <w:rPr>
          <w:b/>
        </w:rPr>
      </w:pPr>
      <w:r w:rsidRPr="00E8043A">
        <w:rPr>
          <w:sz w:val="20"/>
          <w:szCs w:val="20"/>
        </w:rPr>
        <w:t>*</w:t>
      </w:r>
      <w:r>
        <w:rPr>
          <w:sz w:val="20"/>
          <w:szCs w:val="20"/>
        </w:rPr>
        <w:t>*</w:t>
      </w:r>
      <w:r w:rsidRPr="00E8043A">
        <w:rPr>
          <w:sz w:val="20"/>
          <w:szCs w:val="20"/>
        </w:rPr>
        <w:t>The sample includes the municipalities under analysis shown in Map</w:t>
      </w:r>
      <w:r>
        <w:rPr>
          <w:sz w:val="20"/>
          <w:szCs w:val="20"/>
        </w:rPr>
        <w:t xml:space="preserve"> 2 in the main </w:t>
      </w:r>
      <w:r w:rsidR="001240BE">
        <w:rPr>
          <w:sz w:val="20"/>
          <w:szCs w:val="20"/>
        </w:rPr>
        <w:t>article</w:t>
      </w:r>
      <w:r w:rsidRPr="00E8043A">
        <w:rPr>
          <w:sz w:val="20"/>
          <w:szCs w:val="20"/>
        </w:rPr>
        <w:t>.</w:t>
      </w:r>
    </w:p>
    <w:p w14:paraId="1F865FBC" w14:textId="77777777" w:rsidR="00EF1D3F" w:rsidRDefault="00EF1D3F" w:rsidP="00EF1D3F">
      <w:pPr>
        <w:pStyle w:val="NoSpacing"/>
        <w:spacing w:line="240" w:lineRule="auto"/>
        <w:ind w:firstLine="0"/>
      </w:pPr>
    </w:p>
    <w:p w14:paraId="5F027F3E" w14:textId="3DAD5C41" w:rsidR="009B49D6" w:rsidRDefault="009B49D6" w:rsidP="002C3151">
      <w:pPr>
        <w:pStyle w:val="NoSpacing"/>
        <w:ind w:firstLine="0"/>
        <w:rPr>
          <w:b/>
        </w:rPr>
      </w:pPr>
    </w:p>
    <w:p w14:paraId="19F44FB8" w14:textId="77777777" w:rsidR="009D7A42" w:rsidRDefault="009D7A42" w:rsidP="002C3151">
      <w:pPr>
        <w:pStyle w:val="NoSpacing"/>
        <w:ind w:firstLine="0"/>
        <w:rPr>
          <w:b/>
        </w:rPr>
      </w:pPr>
    </w:p>
    <w:p w14:paraId="6FCD0F40" w14:textId="77777777" w:rsidR="009D7A42" w:rsidRDefault="009D7A42" w:rsidP="002C3151">
      <w:pPr>
        <w:pStyle w:val="NoSpacing"/>
        <w:ind w:firstLine="0"/>
        <w:rPr>
          <w:b/>
        </w:rPr>
      </w:pPr>
    </w:p>
    <w:p w14:paraId="28CEF254" w14:textId="77777777" w:rsidR="009D7A42" w:rsidRDefault="009D7A42" w:rsidP="002C3151">
      <w:pPr>
        <w:pStyle w:val="NoSpacing"/>
        <w:ind w:firstLine="0"/>
        <w:rPr>
          <w:b/>
        </w:rPr>
      </w:pPr>
    </w:p>
    <w:p w14:paraId="26EA31F4" w14:textId="77777777" w:rsidR="00F7737F" w:rsidRDefault="00F7737F" w:rsidP="002C3151">
      <w:pPr>
        <w:pStyle w:val="NoSpacing"/>
        <w:ind w:firstLine="0"/>
        <w:rPr>
          <w:b/>
        </w:rPr>
      </w:pPr>
    </w:p>
    <w:p w14:paraId="41BF3026" w14:textId="18C622EF" w:rsidR="00175F12" w:rsidRPr="00C873DA" w:rsidRDefault="002C3151" w:rsidP="002C3151">
      <w:pPr>
        <w:pStyle w:val="NoSpacing"/>
        <w:ind w:firstLine="0"/>
        <w:rPr>
          <w:b/>
        </w:rPr>
      </w:pPr>
      <w:r w:rsidRPr="00C873DA">
        <w:rPr>
          <w:b/>
        </w:rPr>
        <w:lastRenderedPageBreak/>
        <w:t>Michoacán</w:t>
      </w:r>
      <w:r w:rsidR="00C873DA" w:rsidRPr="00C873DA">
        <w:rPr>
          <w:b/>
        </w:rPr>
        <w:t xml:space="preserve"> and</w:t>
      </w:r>
      <w:r w:rsidRPr="00C873DA">
        <w:rPr>
          <w:b/>
        </w:rPr>
        <w:t xml:space="preserve"> Guanajuato</w:t>
      </w:r>
    </w:p>
    <w:p w14:paraId="0FB90C1F" w14:textId="77777777" w:rsidR="002C3151" w:rsidRDefault="002C3151" w:rsidP="002C3151">
      <w:pPr>
        <w:pStyle w:val="NoSpacing"/>
        <w:ind w:firstLine="0"/>
      </w:pPr>
    </w:p>
    <w:p w14:paraId="2DB6F29E" w14:textId="065C923C" w:rsidR="00945B18" w:rsidRDefault="009B43C6" w:rsidP="002C3151">
      <w:pPr>
        <w:pStyle w:val="NoSpacing"/>
        <w:ind w:firstLine="0"/>
      </w:pPr>
      <w:r>
        <w:rPr>
          <w:rFonts w:eastAsia="Times New Roman" w:cs="Calibri"/>
          <w:color w:val="000000"/>
        </w:rPr>
        <w:t>As shown in Map 3</w:t>
      </w:r>
      <w:r w:rsidR="002C3151">
        <w:rPr>
          <w:rFonts w:eastAsia="Times New Roman" w:cs="Calibri"/>
          <w:color w:val="000000"/>
        </w:rPr>
        <w:t xml:space="preserve"> in the main </w:t>
      </w:r>
      <w:r w:rsidR="001240BE">
        <w:rPr>
          <w:rFonts w:eastAsia="Times New Roman" w:cs="Calibri"/>
          <w:color w:val="000000"/>
        </w:rPr>
        <w:t>article</w:t>
      </w:r>
      <w:r w:rsidR="002C3151">
        <w:rPr>
          <w:rFonts w:eastAsia="Times New Roman" w:cs="Calibri"/>
          <w:color w:val="000000"/>
        </w:rPr>
        <w:t>,</w:t>
      </w:r>
      <w:r>
        <w:rPr>
          <w:rFonts w:eastAsia="Times New Roman" w:cs="Calibri"/>
          <w:color w:val="000000"/>
        </w:rPr>
        <w:t xml:space="preserve"> we use municipalities located across the state borders of Michoacán and Guanajuato to isolate the likely impact of </w:t>
      </w:r>
      <w:r w:rsidR="00945B18">
        <w:rPr>
          <w:rFonts w:eastAsia="Times New Roman" w:cs="Calibri"/>
          <w:color w:val="000000"/>
        </w:rPr>
        <w:t xml:space="preserve">vertical party fragmentation on criminal attacks against local authorities, party candidates, and party activists. </w:t>
      </w:r>
      <w:r w:rsidR="00945B18">
        <w:t>Table A.IV</w:t>
      </w:r>
      <w:r w:rsidR="002C3151">
        <w:t xml:space="preserve"> reports </w:t>
      </w:r>
      <w:r w:rsidR="00104FF4">
        <w:t xml:space="preserve">detailed </w:t>
      </w:r>
      <w:r w:rsidR="002C3151">
        <w:t>information about these two regions.</w:t>
      </w:r>
      <w:r w:rsidR="00945B18">
        <w:t xml:space="preserve"> The data reveal that the municipalities across the state borders share multiple similarities and constitute a </w:t>
      </w:r>
      <w:r w:rsidR="002559F9">
        <w:t>homogeneous</w:t>
      </w:r>
      <w:r w:rsidR="00945B18">
        <w:t xml:space="preserve"> region that </w:t>
      </w:r>
      <w:r w:rsidR="002C3151">
        <w:t>happen</w:t>
      </w:r>
      <w:r w:rsidR="00945B18">
        <w:t>s</w:t>
      </w:r>
      <w:r w:rsidR="002C3151">
        <w:t xml:space="preserve"> to be separated by state borders. Note</w:t>
      </w:r>
      <w:r w:rsidR="00945B18">
        <w:t>, again,</w:t>
      </w:r>
      <w:r w:rsidR="002C3151">
        <w:t xml:space="preserve"> that the table reports information that may not be dire</w:t>
      </w:r>
      <w:r w:rsidR="007F3437">
        <w:t>ctly relevant to</w:t>
      </w:r>
      <w:r w:rsidR="002C3151">
        <w:t xml:space="preserve"> the study of criminal attacks but that nonetheless helps us make the point that </w:t>
      </w:r>
      <w:r w:rsidR="00945B18">
        <w:t xml:space="preserve">we are comparing municipalities that constitute a self-contained region due to a number of </w:t>
      </w:r>
      <w:r w:rsidR="002C3151">
        <w:t xml:space="preserve">geographic, sociodemographic, </w:t>
      </w:r>
      <w:r w:rsidR="007F3437">
        <w:t>cultural</w:t>
      </w:r>
      <w:r w:rsidR="00104FF4">
        <w:t>,</w:t>
      </w:r>
      <w:r w:rsidR="007F3437">
        <w:t xml:space="preserve"> and economic</w:t>
      </w:r>
      <w:r w:rsidR="002C3151">
        <w:t xml:space="preserve"> </w:t>
      </w:r>
      <w:r w:rsidR="00945B18">
        <w:t>similarities.</w:t>
      </w:r>
    </w:p>
    <w:p w14:paraId="4C04950A" w14:textId="0BD810C8" w:rsidR="00203AEE" w:rsidRDefault="00203AEE" w:rsidP="002C3151">
      <w:pPr>
        <w:pStyle w:val="NoSpacing"/>
        <w:ind w:firstLine="0"/>
      </w:pPr>
      <w:r>
        <w:tab/>
        <w:t xml:space="preserve">Northern Michoacán and southern Guanajuato constitute a </w:t>
      </w:r>
      <w:r w:rsidR="002559F9">
        <w:t>homogeneous</w:t>
      </w:r>
      <w:r w:rsidR="007F3437">
        <w:t xml:space="preserve"> region with deep roots in</w:t>
      </w:r>
      <w:r>
        <w:t xml:space="preserve"> the Cristero Movement – the Catholic rural militias that fought against the anticlerical laws that resulted from the 1910 Mexican Revolution</w:t>
      </w:r>
      <w:r w:rsidR="00DA2B61">
        <w:t xml:space="preserve"> and the 1917 constitution</w:t>
      </w:r>
      <w:r w:rsidR="004A6157">
        <w:t xml:space="preserve"> (Meyer 1976)</w:t>
      </w:r>
      <w:r w:rsidR="00DA2B61">
        <w:t>. As shown in Table A.IV, this</w:t>
      </w:r>
      <w:r>
        <w:t xml:space="preserve"> is a</w:t>
      </w:r>
      <w:r w:rsidR="00DA2B61">
        <w:t>n</w:t>
      </w:r>
      <w:r>
        <w:t xml:space="preserve"> </w:t>
      </w:r>
      <w:r w:rsidR="00DA2B61">
        <w:t>area of</w:t>
      </w:r>
      <w:r>
        <w:t xml:space="preserve"> hig</w:t>
      </w:r>
      <w:r w:rsidR="00DA2B61">
        <w:t>h-elevation</w:t>
      </w:r>
      <w:r w:rsidR="0071346E">
        <w:t>,</w:t>
      </w:r>
      <w:r w:rsidR="00DA2B61">
        <w:t xml:space="preserve"> and municipalities i</w:t>
      </w:r>
      <w:r>
        <w:t>n both regions are relatively proximate to the</w:t>
      </w:r>
      <w:r w:rsidR="004A6157">
        <w:t>ir</w:t>
      </w:r>
      <w:r>
        <w:t xml:space="preserve"> state</w:t>
      </w:r>
      <w:r w:rsidR="004A6157">
        <w:t>s</w:t>
      </w:r>
      <w:r>
        <w:t xml:space="preserve">’ capitals. While municipalities </w:t>
      </w:r>
      <w:r w:rsidR="00DA2B61">
        <w:t>in Guanajuato</w:t>
      </w:r>
      <w:r w:rsidR="004A6157">
        <w:t xml:space="preserve"> are more populated</w:t>
      </w:r>
      <w:r w:rsidR="00DA2B61">
        <w:t xml:space="preserve"> than in Michoacá</w:t>
      </w:r>
      <w:r>
        <w:t xml:space="preserve">n, around </w:t>
      </w:r>
      <w:r w:rsidR="00DA2B61">
        <w:t>one half of the population o</w:t>
      </w:r>
      <w:r>
        <w:t>n both sides of the border live in rural</w:t>
      </w:r>
      <w:r w:rsidR="004A6157">
        <w:t xml:space="preserve"> localities and are </w:t>
      </w:r>
      <w:r>
        <w:t>predominantly Catholic. Approximately one</w:t>
      </w:r>
      <w:r w:rsidR="002A00E1">
        <w:t xml:space="preserve"> </w:t>
      </w:r>
      <w:r>
        <w:t xml:space="preserve">quarter of the population on both sides of the border </w:t>
      </w:r>
      <w:r w:rsidR="0071346E">
        <w:t xml:space="preserve">are </w:t>
      </w:r>
      <w:r>
        <w:t>employed in agricultural activities</w:t>
      </w:r>
      <w:r w:rsidR="0071346E">
        <w:t>,</w:t>
      </w:r>
      <w:r>
        <w:t xml:space="preserve"> and the rest participate in service-related activities. A</w:t>
      </w:r>
      <w:r w:rsidR="004A6157">
        <w:t xml:space="preserve"> little over one</w:t>
      </w:r>
      <w:r w:rsidR="002A00E1">
        <w:t xml:space="preserve"> </w:t>
      </w:r>
      <w:r>
        <w:t>quarter of the population on both sides live under conditions of poverty</w:t>
      </w:r>
      <w:r w:rsidR="0071346E">
        <w:t>,</w:t>
      </w:r>
      <w:r>
        <w:t xml:space="preserve"> and levels of inequality in both regions are practically identical. Municipalities from northern Michoacán and from southern Guanajuato </w:t>
      </w:r>
      <w:r w:rsidR="002A00E1">
        <w:t>have weak taxing capacities and are</w:t>
      </w:r>
      <w:r w:rsidR="005315E9">
        <w:t xml:space="preserve"> </w:t>
      </w:r>
      <w:r w:rsidR="008B4F74">
        <w:t>(</w:t>
      </w:r>
      <w:r w:rsidR="005315E9">
        <w:t>roughly</w:t>
      </w:r>
      <w:r w:rsidR="008B4F74">
        <w:t>)</w:t>
      </w:r>
      <w:r>
        <w:t xml:space="preserve"> equally dependent on federal fiscal transfers.</w:t>
      </w:r>
    </w:p>
    <w:p w14:paraId="6BC6540C" w14:textId="5BC43851" w:rsidR="00C873DA" w:rsidRDefault="00203AEE" w:rsidP="002C3151">
      <w:pPr>
        <w:pStyle w:val="NoSpacing"/>
        <w:ind w:firstLine="0"/>
      </w:pPr>
      <w:r>
        <w:tab/>
      </w:r>
      <w:r w:rsidR="00DA2B61" w:rsidRPr="00DA2B61">
        <w:t>Although</w:t>
      </w:r>
      <w:r w:rsidR="00DA2B61">
        <w:t xml:space="preserve"> </w:t>
      </w:r>
      <w:r w:rsidR="00DA2B61" w:rsidRPr="00DA2B61">
        <w:t xml:space="preserve">La Familia Michoacana’s </w:t>
      </w:r>
      <w:r w:rsidR="00DA2B61">
        <w:t>main bastions</w:t>
      </w:r>
      <w:r w:rsidR="004A6157">
        <w:t xml:space="preserve"> were in southern Michoacán</w:t>
      </w:r>
      <w:r w:rsidR="00DA2B61">
        <w:t>,</w:t>
      </w:r>
      <w:r w:rsidR="004A6157">
        <w:t xml:space="preserve"> particularly in the Tierra Caliente region,</w:t>
      </w:r>
      <w:r w:rsidR="00DA2B61">
        <w:t xml:space="preserve"> the cartel had </w:t>
      </w:r>
      <w:r w:rsidR="004A6157">
        <w:t>a strong presence in the state’s</w:t>
      </w:r>
      <w:r w:rsidR="00DA2B61">
        <w:t xml:space="preserve"> northern municipalities and </w:t>
      </w:r>
      <w:r w:rsidR="004A6157">
        <w:t xml:space="preserve">had </w:t>
      </w:r>
      <w:r w:rsidR="00DA2B61">
        <w:t>made important inroads into southern Guanajuato starting in 2005. In the context of the main battles between La Familia and the Zetas – the private militia of the Gulf Cartel that became an independent cartel –</w:t>
      </w:r>
      <w:r w:rsidRPr="00DA2B61">
        <w:t xml:space="preserve"> </w:t>
      </w:r>
      <w:r w:rsidR="004A6157">
        <w:t>for the control over</w:t>
      </w:r>
      <w:r w:rsidR="00DA2B61">
        <w:t xml:space="preserve"> Michoacán</w:t>
      </w:r>
      <w:r w:rsidR="004A6157">
        <w:t xml:space="preserve"> (Grillo 2011)</w:t>
      </w:r>
      <w:r w:rsidR="00DA2B61">
        <w:t xml:space="preserve">, the municipalities of northern Michoacán and southern Guanajuato </w:t>
      </w:r>
      <w:r w:rsidR="00FD54CC">
        <w:t>represented the front door to La Familia’s domain and both cartels fought fierce battles to control this strategic entry point</w:t>
      </w:r>
      <w:r w:rsidR="000C59D9">
        <w:t xml:space="preserve"> (</w:t>
      </w:r>
      <w:r w:rsidR="00295B19" w:rsidRPr="008D3578">
        <w:t>Álvarez 2009</w:t>
      </w:r>
      <w:r w:rsidR="00295B19">
        <w:t>; Espinosa 2012</w:t>
      </w:r>
      <w:r w:rsidR="000C59D9">
        <w:t>)</w:t>
      </w:r>
      <w:r w:rsidR="00DA2B61">
        <w:t>.</w:t>
      </w:r>
      <w:r w:rsidR="004A6157">
        <w:t xml:space="preserve"> As the data in Table A.IV show</w:t>
      </w:r>
      <w:r w:rsidR="00D446F2">
        <w:t xml:space="preserve">, these were not drug cultivation regions but drug trafficking corridors. </w:t>
      </w:r>
      <w:r w:rsidR="00D446F2">
        <w:lastRenderedPageBreak/>
        <w:t xml:space="preserve">Between 2008 and 2011 inter-cartel and state-cartel violence </w:t>
      </w:r>
      <w:r w:rsidR="004A6157">
        <w:t xml:space="preserve">across state borders were equally intense – although not nearly as intense as in </w:t>
      </w:r>
      <w:r w:rsidR="00D446F2">
        <w:t>the Tierra</w:t>
      </w:r>
      <w:r w:rsidR="004A6157">
        <w:t xml:space="preserve"> Caliente region</w:t>
      </w:r>
      <w:r w:rsidR="00D446F2">
        <w:t>.</w:t>
      </w:r>
    </w:p>
    <w:p w14:paraId="53FED100" w14:textId="44EB6899" w:rsidR="00D446F2" w:rsidRDefault="00D446F2" w:rsidP="002C3151">
      <w:pPr>
        <w:pStyle w:val="NoSpacing"/>
        <w:ind w:firstLine="0"/>
      </w:pPr>
      <w:r>
        <w:tab/>
      </w:r>
      <w:r w:rsidR="00E67FAC">
        <w:t>Politically, o</w:t>
      </w:r>
      <w:r>
        <w:t xml:space="preserve">ne major difference between both regions is that </w:t>
      </w:r>
      <w:r w:rsidR="00E67FAC">
        <w:t xml:space="preserve">from 2008 until 2011 </w:t>
      </w:r>
      <w:r>
        <w:t>municipalities from northern Michoacán were under the rule of a leftist PRD governor</w:t>
      </w:r>
      <w:r w:rsidR="00F70386">
        <w:t>,</w:t>
      </w:r>
      <w:r>
        <w:t xml:space="preserve"> while southern Guanajuato municipalities were under the rule of a PAN conservative governor. As shown in Table A.IV, </w:t>
      </w:r>
      <w:r w:rsidR="00E67FAC">
        <w:t>t</w:t>
      </w:r>
      <w:r>
        <w:t>he political landscape in the municipalities</w:t>
      </w:r>
      <w:r w:rsidR="00E67FAC">
        <w:t xml:space="preserve"> was another important difference</w:t>
      </w:r>
      <w:r>
        <w:t xml:space="preserve">. While in Michoacán, the PRD (53%) and the PRI (35%) were the dominant </w:t>
      </w:r>
      <w:r w:rsidR="00E67FAC">
        <w:t xml:space="preserve">political </w:t>
      </w:r>
      <w:r>
        <w:t>forces</w:t>
      </w:r>
      <w:r w:rsidR="00E67FAC">
        <w:t xml:space="preserve"> and the </w:t>
      </w:r>
      <w:r>
        <w:t xml:space="preserve">PAN </w:t>
      </w:r>
      <w:r w:rsidR="00E67FAC">
        <w:t>had a limited presence</w:t>
      </w:r>
      <w:r>
        <w:t xml:space="preserve"> (11%), in Guanajuato the PAN (59%) and the PRI (32%) were the leading forces and the PRD had a limited presence (</w:t>
      </w:r>
      <w:r w:rsidR="00FD54CC">
        <w:t>9</w:t>
      </w:r>
      <w:r>
        <w:t xml:space="preserve">%). Using the categories of party layering </w:t>
      </w:r>
      <w:r w:rsidR="00F70386">
        <w:t>from</w:t>
      </w:r>
      <w:r>
        <w:t xml:space="preserve"> the </w:t>
      </w:r>
      <w:r w:rsidR="001240BE">
        <w:t>article</w:t>
      </w:r>
      <w:r>
        <w:t>, this means that mos</w:t>
      </w:r>
      <w:r w:rsidR="00E67FAC">
        <w:t>t municipalities</w:t>
      </w:r>
      <w:r w:rsidR="00DC65D6">
        <w:t xml:space="preserve"> in Michoacá</w:t>
      </w:r>
      <w:r>
        <w:t xml:space="preserve">n belonged to the PAN-PRD-PRD and PAN-PRD-PRI layers. In contrast, most cases in Guanajuato belonged to the PAN-PAN-PAN and PAN-PAN-PRI layers. </w:t>
      </w:r>
    </w:p>
    <w:p w14:paraId="688D550E" w14:textId="7C41786F" w:rsidR="00DC65D6" w:rsidRDefault="00D446F2" w:rsidP="002C3151">
      <w:pPr>
        <w:pStyle w:val="NoSpacing"/>
        <w:ind w:firstLine="0"/>
      </w:pPr>
      <w:r>
        <w:tab/>
      </w:r>
      <w:r w:rsidR="00E67FAC">
        <w:t>In terms of criminal violence, a</w:t>
      </w:r>
      <w:r>
        <w:t xml:space="preserve"> major difference</w:t>
      </w:r>
      <w:r w:rsidR="00E67FAC">
        <w:t xml:space="preserve"> between regions</w:t>
      </w:r>
      <w:r>
        <w:t xml:space="preserve"> is that </w:t>
      </w:r>
      <w:r w:rsidR="00E67FAC">
        <w:t xml:space="preserve">between 2008 and 2011 </w:t>
      </w:r>
      <w:r>
        <w:t xml:space="preserve">municipalities from northern Michoacán experienced a significantly larger number of </w:t>
      </w:r>
      <w:r w:rsidR="00F70386">
        <w:t xml:space="preserve">high-profile </w:t>
      </w:r>
      <w:r>
        <w:t>attacks than the</w:t>
      </w:r>
      <w:r w:rsidR="00E67FAC">
        <w:t>ir</w:t>
      </w:r>
      <w:r>
        <w:t xml:space="preserve"> neighboring municipalities of Guanajuato.</w:t>
      </w:r>
      <w:r w:rsidR="00DC65D6">
        <w:t xml:space="preserve"> This gap remains equally large whether we use absolute number</w:t>
      </w:r>
      <w:r w:rsidR="00F70386">
        <w:t>s</w:t>
      </w:r>
      <w:r w:rsidR="00DC65D6">
        <w:t xml:space="preserve"> or per capita number</w:t>
      </w:r>
      <w:r w:rsidR="00F70386">
        <w:t>s</w:t>
      </w:r>
      <w:r w:rsidR="00DC65D6">
        <w:t xml:space="preserve"> of attacks. As we discussed in the </w:t>
      </w:r>
      <w:r w:rsidR="001240BE">
        <w:t>article</w:t>
      </w:r>
      <w:r w:rsidR="00DC65D6">
        <w:t xml:space="preserve">, </w:t>
      </w:r>
      <w:r w:rsidR="009F070E">
        <w:t>after isolating partisan vertical</w:t>
      </w:r>
      <w:r w:rsidR="00E67FAC">
        <w:t xml:space="preserve"> fragmenta</w:t>
      </w:r>
      <w:r w:rsidR="000C59D9">
        <w:t>tion as an important difference</w:t>
      </w:r>
      <w:r w:rsidR="00E67FAC">
        <w:t xml:space="preserve"> across otherwise nearly</w:t>
      </w:r>
      <w:r w:rsidR="00F70386">
        <w:t xml:space="preserve"> </w:t>
      </w:r>
      <w:r w:rsidR="00E67FAC">
        <w:t>identical municipalities separated by state borders</w:t>
      </w:r>
      <w:r w:rsidR="009F070E">
        <w:t>, we attribute</w:t>
      </w:r>
      <w:r w:rsidR="00E67FAC">
        <w:t>d</w:t>
      </w:r>
      <w:r w:rsidR="009F070E">
        <w:t xml:space="preserve"> differences</w:t>
      </w:r>
      <w:r w:rsidR="00E67FAC">
        <w:t xml:space="preserve"> in attacks to</w:t>
      </w:r>
      <w:r w:rsidR="000C59D9">
        <w:t xml:space="preserve"> different patterns of partisan fragmentation</w:t>
      </w:r>
      <w:r w:rsidR="00DC65D6">
        <w:t xml:space="preserve">. </w:t>
      </w:r>
      <w:r w:rsidR="00E67FAC">
        <w:t xml:space="preserve">First, </w:t>
      </w:r>
      <w:r w:rsidR="000C59D9">
        <w:t>despite multiple</w:t>
      </w:r>
      <w:r w:rsidR="00DC65D6">
        <w:t xml:space="preserve"> similarities, </w:t>
      </w:r>
      <w:r w:rsidR="00E67FAC">
        <w:t xml:space="preserve">municipalities from this region </w:t>
      </w:r>
      <w:r w:rsidR="00DC65D6">
        <w:t xml:space="preserve">belonged to states with different governors. Michoacán municipalities belonged to a </w:t>
      </w:r>
      <w:r w:rsidR="000C59D9">
        <w:t>state where</w:t>
      </w:r>
      <w:r w:rsidR="00DC65D6">
        <w:t xml:space="preserve"> a conservative</w:t>
      </w:r>
      <w:r w:rsidR="000C59D9">
        <w:t xml:space="preserve"> federal government was engaged in</w:t>
      </w:r>
      <w:r w:rsidR="00DC65D6">
        <w:t xml:space="preserve"> a major political conflict w</w:t>
      </w:r>
      <w:r w:rsidR="000C59D9">
        <w:t xml:space="preserve">ith a leftist governor and as a result </w:t>
      </w:r>
      <w:r w:rsidR="00DC65D6">
        <w:t xml:space="preserve">local authorities facing criminal threats </w:t>
      </w:r>
      <w:r w:rsidR="000C59D9">
        <w:t xml:space="preserve">were left </w:t>
      </w:r>
      <w:r w:rsidR="00DC65D6">
        <w:t>unprotected</w:t>
      </w:r>
      <w:r w:rsidR="000C59D9">
        <w:t xml:space="preserve"> by the federation</w:t>
      </w:r>
      <w:r w:rsidR="003D08B0">
        <w:t xml:space="preserve"> (see </w:t>
      </w:r>
      <w:r w:rsidR="00165FE8">
        <w:t xml:space="preserve">the </w:t>
      </w:r>
      <w:r w:rsidR="005E3B50">
        <w:t xml:space="preserve">Michoacán case study in the main </w:t>
      </w:r>
      <w:r w:rsidR="001240BE">
        <w:t>article</w:t>
      </w:r>
      <w:r w:rsidR="003D08B0">
        <w:t>)</w:t>
      </w:r>
      <w:r w:rsidR="00DC65D6">
        <w:t>.</w:t>
      </w:r>
      <w:r w:rsidR="000C59D9">
        <w:t xml:space="preserve"> In contrast,</w:t>
      </w:r>
      <w:r w:rsidR="00DC65D6">
        <w:t xml:space="preserve"> Guanajuato municipalities belonged to a state where a conservative federal government and a conservative governor closely cooperated to deter high-profile criminal attacks</w:t>
      </w:r>
      <w:r w:rsidR="003D08B0">
        <w:t xml:space="preserve"> (</w:t>
      </w:r>
      <w:r w:rsidR="00776FAE">
        <w:t xml:space="preserve">Univisión 2009; </w:t>
      </w:r>
      <w:r w:rsidR="00776FAE" w:rsidRPr="008D3578">
        <w:t>Álvarez 2011</w:t>
      </w:r>
      <w:r w:rsidR="00776FAE">
        <w:t>; El Sol del Bajío 2011;</w:t>
      </w:r>
      <w:r w:rsidR="00BE22B0">
        <w:t xml:space="preserve"> Excélsior 2011</w:t>
      </w:r>
      <w:r w:rsidR="003D08B0">
        <w:t>)</w:t>
      </w:r>
      <w:r w:rsidR="00DC65D6">
        <w:t xml:space="preserve">. </w:t>
      </w:r>
      <w:r w:rsidR="000C59D9">
        <w:t>Second</w:t>
      </w:r>
      <w:r w:rsidR="00DC65D6">
        <w:t>, consistent with our statistical findings</w:t>
      </w:r>
      <w:r w:rsidR="009D7A42">
        <w:t xml:space="preserve"> reported in the article</w:t>
      </w:r>
      <w:r w:rsidR="00DC65D6">
        <w:t xml:space="preserve">, the </w:t>
      </w:r>
      <w:r w:rsidR="000C59D9">
        <w:t xml:space="preserve">micro </w:t>
      </w:r>
      <w:r w:rsidR="00DC65D6">
        <w:t xml:space="preserve">comparison across borders confirms that </w:t>
      </w:r>
      <w:r w:rsidR="000C59D9">
        <w:t xml:space="preserve">within leftist states </w:t>
      </w:r>
      <w:r w:rsidR="00DC65D6">
        <w:t xml:space="preserve">leftist PRD and PRI </w:t>
      </w:r>
      <w:r w:rsidR="000C59D9">
        <w:t>municipalities</w:t>
      </w:r>
      <w:r w:rsidR="00DC65D6">
        <w:t xml:space="preserve"> experience</w:t>
      </w:r>
      <w:r w:rsidR="000C59D9">
        <w:t>d</w:t>
      </w:r>
      <w:r w:rsidR="00DC65D6">
        <w:t xml:space="preserve"> </w:t>
      </w:r>
      <w:r w:rsidR="000C59D9">
        <w:t>a higher probability of attacks than PAN municipalities.</w:t>
      </w:r>
      <w:r w:rsidR="00DC65D6">
        <w:t xml:space="preserve"> </w:t>
      </w:r>
    </w:p>
    <w:p w14:paraId="6A360200" w14:textId="1104D5F4" w:rsidR="00D446F2" w:rsidRPr="00DA2B61" w:rsidRDefault="00DC65D6" w:rsidP="002C3151">
      <w:pPr>
        <w:pStyle w:val="NoSpacing"/>
        <w:ind w:firstLine="0"/>
      </w:pPr>
      <w:r>
        <w:t xml:space="preserve"> </w:t>
      </w:r>
    </w:p>
    <w:p w14:paraId="32933C55" w14:textId="77777777" w:rsidR="00C873DA" w:rsidRPr="00DA2B61" w:rsidRDefault="00C873DA" w:rsidP="002C3151">
      <w:pPr>
        <w:pStyle w:val="NoSpacing"/>
        <w:ind w:firstLine="0"/>
      </w:pPr>
    </w:p>
    <w:p w14:paraId="36978E61" w14:textId="77777777" w:rsidR="00711A52" w:rsidRDefault="00711A52" w:rsidP="002C3151">
      <w:pPr>
        <w:pStyle w:val="NoSpacing"/>
        <w:ind w:firstLine="0"/>
      </w:pPr>
    </w:p>
    <w:p w14:paraId="254D88BC" w14:textId="77777777" w:rsidR="00DC750B" w:rsidRDefault="00DC750B" w:rsidP="002C3151">
      <w:pPr>
        <w:pStyle w:val="NoSpacing"/>
        <w:ind w:firstLine="0"/>
      </w:pPr>
    </w:p>
    <w:p w14:paraId="7BC94186" w14:textId="4965CDFA" w:rsidR="00C873DA" w:rsidRPr="00E8043A" w:rsidRDefault="00C873DA" w:rsidP="009D7A42">
      <w:pPr>
        <w:pStyle w:val="NoSpacing"/>
        <w:spacing w:line="240" w:lineRule="auto"/>
        <w:ind w:firstLine="0"/>
      </w:pPr>
      <w:r w:rsidRPr="00DC65D6">
        <w:rPr>
          <w:b/>
        </w:rPr>
        <w:lastRenderedPageBreak/>
        <w:t xml:space="preserve">Table A.IV. </w:t>
      </w:r>
      <w:r w:rsidRPr="00E8043A">
        <w:rPr>
          <w:b/>
        </w:rPr>
        <w:t>Comparison of Border Municipalities of Michoacán &amp;</w:t>
      </w:r>
      <w:r>
        <w:rPr>
          <w:b/>
        </w:rPr>
        <w:t xml:space="preserve"> Guanajuato</w:t>
      </w:r>
    </w:p>
    <w:tbl>
      <w:tblPr>
        <w:tblStyle w:val="TableGrid"/>
        <w:tblW w:w="0" w:type="auto"/>
        <w:tblLook w:val="04A0" w:firstRow="1" w:lastRow="0" w:firstColumn="1" w:lastColumn="0" w:noHBand="0" w:noVBand="1"/>
      </w:tblPr>
      <w:tblGrid>
        <w:gridCol w:w="3539"/>
        <w:gridCol w:w="2694"/>
        <w:gridCol w:w="3117"/>
      </w:tblGrid>
      <w:tr w:rsidR="00C873DA" w:rsidRPr="00871611" w14:paraId="6799E24E" w14:textId="77777777" w:rsidTr="00DC65D6">
        <w:tc>
          <w:tcPr>
            <w:tcW w:w="3539" w:type="dxa"/>
          </w:tcPr>
          <w:p w14:paraId="72E3A3F1" w14:textId="77777777" w:rsidR="00C873DA" w:rsidRPr="00E8043A" w:rsidRDefault="00C873DA" w:rsidP="00C873DA">
            <w:pPr>
              <w:pStyle w:val="NoSpacing"/>
              <w:spacing w:line="240" w:lineRule="auto"/>
            </w:pPr>
          </w:p>
        </w:tc>
        <w:tc>
          <w:tcPr>
            <w:tcW w:w="2694" w:type="dxa"/>
          </w:tcPr>
          <w:p w14:paraId="221554E8" w14:textId="77777777" w:rsidR="00C873DA" w:rsidRPr="0016139D" w:rsidRDefault="00C873DA" w:rsidP="00C873DA">
            <w:pPr>
              <w:pStyle w:val="NoSpacing"/>
              <w:spacing w:line="240" w:lineRule="auto"/>
              <w:rPr>
                <w:b/>
              </w:rPr>
            </w:pPr>
            <w:r w:rsidRPr="0016139D">
              <w:rPr>
                <w:b/>
              </w:rPr>
              <w:t>Michoacán</w:t>
            </w:r>
          </w:p>
          <w:p w14:paraId="2767019A" w14:textId="2A704C9D" w:rsidR="00C873DA" w:rsidRPr="0016139D" w:rsidRDefault="00C873DA" w:rsidP="00C873DA">
            <w:pPr>
              <w:pStyle w:val="NoSpacing"/>
              <w:spacing w:line="240" w:lineRule="auto"/>
              <w:ind w:firstLine="0"/>
              <w:rPr>
                <w:b/>
              </w:rPr>
            </w:pPr>
            <w:r>
              <w:rPr>
                <w:b/>
              </w:rPr>
              <w:t xml:space="preserve">         </w:t>
            </w:r>
            <w:r w:rsidRPr="0016139D">
              <w:rPr>
                <w:b/>
              </w:rPr>
              <w:t>Northern Region</w:t>
            </w:r>
          </w:p>
          <w:p w14:paraId="35B54910" w14:textId="3137DAEF" w:rsidR="00C873DA" w:rsidRPr="0016139D" w:rsidRDefault="00C873DA" w:rsidP="00C873DA">
            <w:pPr>
              <w:pStyle w:val="NoSpacing"/>
              <w:spacing w:line="240" w:lineRule="auto"/>
              <w:ind w:firstLine="0"/>
            </w:pPr>
            <w:r>
              <w:t xml:space="preserve">      </w:t>
            </w:r>
            <w:r w:rsidRPr="0016139D">
              <w:t>(border municipalities)</w:t>
            </w:r>
          </w:p>
        </w:tc>
        <w:tc>
          <w:tcPr>
            <w:tcW w:w="3117" w:type="dxa"/>
          </w:tcPr>
          <w:p w14:paraId="06C0B5AB" w14:textId="77777777" w:rsidR="00C873DA" w:rsidRPr="0016139D" w:rsidRDefault="00C873DA" w:rsidP="00C873DA">
            <w:pPr>
              <w:pStyle w:val="NoSpacing"/>
              <w:spacing w:line="240" w:lineRule="auto"/>
              <w:rPr>
                <w:b/>
              </w:rPr>
            </w:pPr>
            <w:r w:rsidRPr="0016139D">
              <w:rPr>
                <w:b/>
              </w:rPr>
              <w:t>Guanajuato</w:t>
            </w:r>
          </w:p>
          <w:p w14:paraId="2A062635" w14:textId="46D6C9A2" w:rsidR="00C873DA" w:rsidRPr="0016139D" w:rsidRDefault="00C873DA" w:rsidP="00C873DA">
            <w:pPr>
              <w:pStyle w:val="NoSpacing"/>
              <w:spacing w:line="240" w:lineRule="auto"/>
              <w:ind w:firstLine="0"/>
              <w:rPr>
                <w:b/>
              </w:rPr>
            </w:pPr>
            <w:r>
              <w:rPr>
                <w:b/>
              </w:rPr>
              <w:t xml:space="preserve">         </w:t>
            </w:r>
            <w:r w:rsidRPr="0016139D">
              <w:rPr>
                <w:b/>
              </w:rPr>
              <w:t>Southern Region</w:t>
            </w:r>
          </w:p>
          <w:p w14:paraId="48F484DD" w14:textId="39021847" w:rsidR="00C873DA" w:rsidRPr="0016139D" w:rsidRDefault="00C873DA" w:rsidP="00C873DA">
            <w:pPr>
              <w:pStyle w:val="NoSpacing"/>
              <w:spacing w:line="240" w:lineRule="auto"/>
              <w:ind w:firstLine="0"/>
            </w:pPr>
            <w:r>
              <w:t xml:space="preserve">       </w:t>
            </w:r>
            <w:r w:rsidRPr="0016139D">
              <w:t>(border municipalities)</w:t>
            </w:r>
          </w:p>
        </w:tc>
      </w:tr>
      <w:tr w:rsidR="00C873DA" w14:paraId="2EDA6253" w14:textId="77777777" w:rsidTr="00DC65D6">
        <w:tc>
          <w:tcPr>
            <w:tcW w:w="9350" w:type="dxa"/>
            <w:gridSpan w:val="3"/>
          </w:tcPr>
          <w:p w14:paraId="158BCA3E" w14:textId="77777777" w:rsidR="00C873DA" w:rsidRDefault="00C873DA" w:rsidP="00C873DA">
            <w:pPr>
              <w:pStyle w:val="NoSpacing"/>
              <w:spacing w:line="240" w:lineRule="auto"/>
              <w:ind w:firstLine="0"/>
              <w:rPr>
                <w:lang w:val="es-MX"/>
              </w:rPr>
            </w:pPr>
            <w:r w:rsidRPr="00FF7F2A">
              <w:rPr>
                <w:i/>
                <w:lang w:val="es-MX"/>
              </w:rPr>
              <w:t>Geographic</w:t>
            </w:r>
          </w:p>
        </w:tc>
      </w:tr>
      <w:tr w:rsidR="00C873DA" w14:paraId="74A9AD08" w14:textId="77777777" w:rsidTr="00DC65D6">
        <w:tc>
          <w:tcPr>
            <w:tcW w:w="3539" w:type="dxa"/>
          </w:tcPr>
          <w:p w14:paraId="33D0E222" w14:textId="63B355CE" w:rsidR="009D7A42" w:rsidRDefault="00C873DA" w:rsidP="00C873DA">
            <w:pPr>
              <w:pStyle w:val="NoSpacing"/>
              <w:spacing w:line="240" w:lineRule="auto"/>
              <w:ind w:firstLine="0"/>
            </w:pPr>
            <w:r w:rsidRPr="00D12AA7">
              <w:t>Altitude*</w:t>
            </w:r>
          </w:p>
          <w:p w14:paraId="52B0BF7C" w14:textId="77777777" w:rsidR="00C873DA" w:rsidRDefault="00C873DA" w:rsidP="00C873DA">
            <w:pPr>
              <w:pStyle w:val="NoSpacing"/>
              <w:spacing w:line="240" w:lineRule="auto"/>
              <w:ind w:firstLine="0"/>
              <w:rPr>
                <w:sz w:val="20"/>
                <w:szCs w:val="20"/>
              </w:rPr>
            </w:pPr>
            <w:r w:rsidRPr="00CB3EAA">
              <w:rPr>
                <w:sz w:val="20"/>
                <w:szCs w:val="20"/>
              </w:rPr>
              <w:t>Measured in meters above sea level (masl)</w:t>
            </w:r>
          </w:p>
          <w:p w14:paraId="61AED1E2" w14:textId="77777777" w:rsidR="00C873DA" w:rsidRPr="00CB3EAA" w:rsidRDefault="00C873DA" w:rsidP="00C873DA">
            <w:pPr>
              <w:pStyle w:val="NoSpacing"/>
              <w:spacing w:line="240" w:lineRule="auto"/>
              <w:ind w:firstLine="0"/>
              <w:rPr>
                <w:sz w:val="20"/>
                <w:szCs w:val="20"/>
              </w:rPr>
            </w:pPr>
            <w:r>
              <w:rPr>
                <w:sz w:val="20"/>
                <w:szCs w:val="20"/>
              </w:rPr>
              <w:t>Source: INEGI</w:t>
            </w:r>
          </w:p>
        </w:tc>
        <w:tc>
          <w:tcPr>
            <w:tcW w:w="2694" w:type="dxa"/>
          </w:tcPr>
          <w:p w14:paraId="0AB6C324" w14:textId="77777777" w:rsidR="00C873DA" w:rsidRDefault="00C873DA" w:rsidP="00C873DA">
            <w:pPr>
              <w:pStyle w:val="NoSpacing"/>
              <w:spacing w:line="240" w:lineRule="auto"/>
              <w:jc w:val="center"/>
              <w:rPr>
                <w:lang w:val="es-MX"/>
              </w:rPr>
            </w:pPr>
            <w:r>
              <w:rPr>
                <w:lang w:val="es-MX"/>
              </w:rPr>
              <w:t>1,938.12</w:t>
            </w:r>
          </w:p>
        </w:tc>
        <w:tc>
          <w:tcPr>
            <w:tcW w:w="3117" w:type="dxa"/>
          </w:tcPr>
          <w:p w14:paraId="2068EF1B" w14:textId="77777777" w:rsidR="00C873DA" w:rsidRDefault="00C873DA" w:rsidP="00C873DA">
            <w:pPr>
              <w:pStyle w:val="NoSpacing"/>
              <w:spacing w:line="240" w:lineRule="auto"/>
              <w:jc w:val="center"/>
              <w:rPr>
                <w:lang w:val="es-MX"/>
              </w:rPr>
            </w:pPr>
            <w:r>
              <w:rPr>
                <w:lang w:val="es-MX"/>
              </w:rPr>
              <w:t>1,792.73</w:t>
            </w:r>
          </w:p>
        </w:tc>
      </w:tr>
      <w:tr w:rsidR="00C873DA" w:rsidRPr="00E8043A" w14:paraId="56515C21" w14:textId="77777777" w:rsidTr="00DC65D6">
        <w:tc>
          <w:tcPr>
            <w:tcW w:w="3539" w:type="dxa"/>
          </w:tcPr>
          <w:p w14:paraId="2C5FFE06" w14:textId="77777777" w:rsidR="00C873DA" w:rsidRDefault="00C873DA" w:rsidP="00C873DA">
            <w:pPr>
              <w:pStyle w:val="NoSpacing"/>
              <w:spacing w:line="240" w:lineRule="auto"/>
              <w:ind w:firstLine="0"/>
            </w:pPr>
            <w:r w:rsidRPr="00E8043A">
              <w:t>Distance from state capital</w:t>
            </w:r>
            <w:r>
              <w:t>*</w:t>
            </w:r>
          </w:p>
          <w:p w14:paraId="79A0F83B" w14:textId="77777777" w:rsidR="00C873DA" w:rsidRPr="00E8043A" w:rsidRDefault="00C873DA" w:rsidP="00C873DA">
            <w:pPr>
              <w:pStyle w:val="NoSpacing"/>
              <w:spacing w:line="240" w:lineRule="auto"/>
              <w:ind w:firstLine="0"/>
            </w:pPr>
            <w:r w:rsidRPr="00CB3EAA">
              <w:rPr>
                <w:sz w:val="20"/>
              </w:rPr>
              <w:t>Linear distance (km)</w:t>
            </w:r>
          </w:p>
        </w:tc>
        <w:tc>
          <w:tcPr>
            <w:tcW w:w="2694" w:type="dxa"/>
          </w:tcPr>
          <w:p w14:paraId="2F5FD749" w14:textId="77777777" w:rsidR="00C873DA" w:rsidRPr="00E8043A" w:rsidRDefault="00C873DA" w:rsidP="00C873DA">
            <w:pPr>
              <w:pStyle w:val="NoSpacing"/>
              <w:spacing w:line="240" w:lineRule="auto"/>
              <w:jc w:val="center"/>
            </w:pPr>
            <w:r>
              <w:t>64.97</w:t>
            </w:r>
          </w:p>
        </w:tc>
        <w:tc>
          <w:tcPr>
            <w:tcW w:w="3117" w:type="dxa"/>
          </w:tcPr>
          <w:p w14:paraId="0AD2DC12" w14:textId="77777777" w:rsidR="00C873DA" w:rsidRPr="00E8043A" w:rsidRDefault="00C873DA" w:rsidP="00C873DA">
            <w:pPr>
              <w:pStyle w:val="NoSpacing"/>
              <w:spacing w:line="240" w:lineRule="auto"/>
              <w:jc w:val="center"/>
            </w:pPr>
            <w:r>
              <w:t>86.12</w:t>
            </w:r>
          </w:p>
        </w:tc>
      </w:tr>
      <w:tr w:rsidR="00C873DA" w:rsidRPr="00E8043A" w14:paraId="6F851B13" w14:textId="77777777" w:rsidTr="00DC65D6">
        <w:tc>
          <w:tcPr>
            <w:tcW w:w="3539" w:type="dxa"/>
          </w:tcPr>
          <w:p w14:paraId="0A4843AB" w14:textId="77777777" w:rsidR="00C873DA" w:rsidRDefault="00C873DA" w:rsidP="00C873DA">
            <w:pPr>
              <w:pStyle w:val="NoSpacing"/>
              <w:spacing w:line="240" w:lineRule="auto"/>
              <w:ind w:firstLine="0"/>
            </w:pPr>
            <w:r w:rsidRPr="00E8043A">
              <w:t>Distance from state capital</w:t>
            </w:r>
            <w:r>
              <w:t>*</w:t>
            </w:r>
          </w:p>
          <w:p w14:paraId="1158BD42" w14:textId="77777777" w:rsidR="00C873DA" w:rsidRPr="00CB3EAA" w:rsidRDefault="00C873DA" w:rsidP="00C873DA">
            <w:pPr>
              <w:pStyle w:val="NoSpacing"/>
              <w:spacing w:line="240" w:lineRule="auto"/>
              <w:ind w:firstLine="0"/>
              <w:rPr>
                <w:sz w:val="20"/>
                <w:szCs w:val="20"/>
              </w:rPr>
            </w:pPr>
            <w:r w:rsidRPr="00CB3EAA">
              <w:rPr>
                <w:sz w:val="20"/>
                <w:szCs w:val="20"/>
              </w:rPr>
              <w:t>Driving distance (km)</w:t>
            </w:r>
          </w:p>
        </w:tc>
        <w:tc>
          <w:tcPr>
            <w:tcW w:w="2694" w:type="dxa"/>
          </w:tcPr>
          <w:p w14:paraId="1461410E" w14:textId="77777777" w:rsidR="00C873DA" w:rsidRPr="00E8043A" w:rsidRDefault="00C873DA" w:rsidP="00C873DA">
            <w:pPr>
              <w:pStyle w:val="NoSpacing"/>
              <w:spacing w:line="240" w:lineRule="auto"/>
              <w:jc w:val="center"/>
            </w:pPr>
            <w:r>
              <w:t>94.73</w:t>
            </w:r>
          </w:p>
        </w:tc>
        <w:tc>
          <w:tcPr>
            <w:tcW w:w="3117" w:type="dxa"/>
          </w:tcPr>
          <w:p w14:paraId="720972C6" w14:textId="77777777" w:rsidR="00C873DA" w:rsidRPr="00E8043A" w:rsidRDefault="00C873DA" w:rsidP="00C873DA">
            <w:pPr>
              <w:pStyle w:val="NoSpacing"/>
              <w:spacing w:line="240" w:lineRule="auto"/>
              <w:jc w:val="center"/>
            </w:pPr>
            <w:r>
              <w:t>124.45</w:t>
            </w:r>
          </w:p>
        </w:tc>
      </w:tr>
      <w:tr w:rsidR="00C873DA" w:rsidRPr="00E8043A" w14:paraId="4232344C" w14:textId="77777777" w:rsidTr="00DC65D6">
        <w:tc>
          <w:tcPr>
            <w:tcW w:w="9350" w:type="dxa"/>
            <w:gridSpan w:val="3"/>
          </w:tcPr>
          <w:p w14:paraId="606C9F90" w14:textId="77777777" w:rsidR="00C873DA" w:rsidRPr="00E8043A" w:rsidRDefault="00C873DA" w:rsidP="00C873DA">
            <w:pPr>
              <w:pStyle w:val="NoSpacing"/>
              <w:spacing w:line="240" w:lineRule="auto"/>
              <w:jc w:val="center"/>
            </w:pPr>
          </w:p>
        </w:tc>
      </w:tr>
      <w:tr w:rsidR="00C873DA" w14:paraId="53D87609" w14:textId="77777777" w:rsidTr="00DC65D6">
        <w:tc>
          <w:tcPr>
            <w:tcW w:w="3539" w:type="dxa"/>
          </w:tcPr>
          <w:p w14:paraId="1B0D3169" w14:textId="77777777" w:rsidR="00C873DA" w:rsidRPr="00FF7F2A" w:rsidRDefault="00C873DA" w:rsidP="00C873DA">
            <w:pPr>
              <w:pStyle w:val="NoSpacing"/>
              <w:spacing w:line="240" w:lineRule="auto"/>
              <w:ind w:firstLine="0"/>
              <w:rPr>
                <w:i/>
                <w:lang w:val="es-MX"/>
              </w:rPr>
            </w:pPr>
            <w:r w:rsidRPr="00FF7F2A">
              <w:rPr>
                <w:i/>
                <w:lang w:val="es-MX"/>
              </w:rPr>
              <w:t>Sociodemographic</w:t>
            </w:r>
          </w:p>
        </w:tc>
        <w:tc>
          <w:tcPr>
            <w:tcW w:w="2694" w:type="dxa"/>
          </w:tcPr>
          <w:p w14:paraId="642D4EE7" w14:textId="77777777" w:rsidR="00C873DA" w:rsidRDefault="00C873DA" w:rsidP="00C873DA">
            <w:pPr>
              <w:pStyle w:val="NoSpacing"/>
              <w:spacing w:line="240" w:lineRule="auto"/>
              <w:jc w:val="center"/>
              <w:rPr>
                <w:lang w:val="es-MX"/>
              </w:rPr>
            </w:pPr>
          </w:p>
        </w:tc>
        <w:tc>
          <w:tcPr>
            <w:tcW w:w="3117" w:type="dxa"/>
          </w:tcPr>
          <w:p w14:paraId="3938D1E1" w14:textId="77777777" w:rsidR="00C873DA" w:rsidRDefault="00C873DA" w:rsidP="00C873DA">
            <w:pPr>
              <w:pStyle w:val="NoSpacing"/>
              <w:spacing w:line="240" w:lineRule="auto"/>
              <w:jc w:val="center"/>
              <w:rPr>
                <w:lang w:val="es-MX"/>
              </w:rPr>
            </w:pPr>
          </w:p>
        </w:tc>
      </w:tr>
      <w:tr w:rsidR="00C873DA" w14:paraId="58CC08AF" w14:textId="77777777" w:rsidTr="00DC65D6">
        <w:tc>
          <w:tcPr>
            <w:tcW w:w="3539" w:type="dxa"/>
          </w:tcPr>
          <w:p w14:paraId="3235142F" w14:textId="77777777" w:rsidR="00C873DA" w:rsidRPr="00113AC0" w:rsidRDefault="00C873DA" w:rsidP="00C873DA">
            <w:pPr>
              <w:pStyle w:val="NoSpacing"/>
              <w:spacing w:line="240" w:lineRule="auto"/>
              <w:ind w:firstLine="0"/>
            </w:pPr>
            <w:r w:rsidRPr="00113AC0">
              <w:t>Municipal population, 2010*</w:t>
            </w:r>
          </w:p>
          <w:p w14:paraId="39540B8B" w14:textId="77777777" w:rsidR="00C873DA" w:rsidRPr="00113AC0" w:rsidRDefault="00C873DA" w:rsidP="00C873DA">
            <w:pPr>
              <w:pStyle w:val="NoSpacing"/>
              <w:spacing w:line="240" w:lineRule="auto"/>
              <w:ind w:firstLine="0"/>
            </w:pPr>
            <w:r>
              <w:rPr>
                <w:sz w:val="20"/>
                <w:szCs w:val="20"/>
              </w:rPr>
              <w:t>Source: INEGI, 2010 Population Census</w:t>
            </w:r>
          </w:p>
        </w:tc>
        <w:tc>
          <w:tcPr>
            <w:tcW w:w="2694" w:type="dxa"/>
          </w:tcPr>
          <w:p w14:paraId="684B9D60" w14:textId="77777777" w:rsidR="00C873DA" w:rsidRDefault="00C873DA" w:rsidP="00C873DA">
            <w:pPr>
              <w:pStyle w:val="NoSpacing"/>
              <w:spacing w:line="240" w:lineRule="auto"/>
              <w:jc w:val="center"/>
              <w:rPr>
                <w:lang w:val="es-MX"/>
              </w:rPr>
            </w:pPr>
            <w:r>
              <w:rPr>
                <w:lang w:val="es-MX"/>
              </w:rPr>
              <w:t>28,057</w:t>
            </w:r>
          </w:p>
        </w:tc>
        <w:tc>
          <w:tcPr>
            <w:tcW w:w="3117" w:type="dxa"/>
          </w:tcPr>
          <w:p w14:paraId="37E14976" w14:textId="77777777" w:rsidR="00C873DA" w:rsidRDefault="00C873DA" w:rsidP="00C873DA">
            <w:pPr>
              <w:pStyle w:val="NoSpacing"/>
              <w:spacing w:line="240" w:lineRule="auto"/>
              <w:jc w:val="center"/>
              <w:rPr>
                <w:lang w:val="es-MX"/>
              </w:rPr>
            </w:pPr>
            <w:r>
              <w:rPr>
                <w:lang w:val="es-MX"/>
              </w:rPr>
              <w:t>88,754</w:t>
            </w:r>
          </w:p>
        </w:tc>
      </w:tr>
      <w:tr w:rsidR="00C873DA" w14:paraId="3F980ED7" w14:textId="77777777" w:rsidTr="00DC65D6">
        <w:tc>
          <w:tcPr>
            <w:tcW w:w="3539" w:type="dxa"/>
          </w:tcPr>
          <w:p w14:paraId="26761318" w14:textId="77777777" w:rsidR="00C873DA" w:rsidRPr="00871611" w:rsidRDefault="00C873DA" w:rsidP="00C873DA">
            <w:pPr>
              <w:pStyle w:val="NoSpacing"/>
              <w:spacing w:line="240" w:lineRule="auto"/>
              <w:ind w:firstLine="0"/>
            </w:pPr>
            <w:r w:rsidRPr="00871611">
              <w:t>% indigenous population, 2010*</w:t>
            </w:r>
          </w:p>
          <w:p w14:paraId="1AC73A51" w14:textId="77777777" w:rsidR="00C873DA" w:rsidRPr="00871611" w:rsidRDefault="00C873DA" w:rsidP="00C873DA">
            <w:pPr>
              <w:pStyle w:val="NoSpacing"/>
              <w:spacing w:line="240" w:lineRule="auto"/>
              <w:ind w:firstLine="0"/>
            </w:pPr>
            <w:r>
              <w:rPr>
                <w:sz w:val="20"/>
                <w:szCs w:val="20"/>
              </w:rPr>
              <w:t>Source: INEGI, 2010 Population Census</w:t>
            </w:r>
          </w:p>
        </w:tc>
        <w:tc>
          <w:tcPr>
            <w:tcW w:w="2694" w:type="dxa"/>
          </w:tcPr>
          <w:p w14:paraId="6814EA8C" w14:textId="77777777" w:rsidR="00C873DA" w:rsidRDefault="00C873DA" w:rsidP="00C873DA">
            <w:pPr>
              <w:pStyle w:val="NoSpacing"/>
              <w:spacing w:line="240" w:lineRule="auto"/>
              <w:jc w:val="center"/>
              <w:rPr>
                <w:lang w:val="es-MX"/>
              </w:rPr>
            </w:pPr>
            <w:r>
              <w:rPr>
                <w:lang w:val="es-MX"/>
              </w:rPr>
              <w:t>0.23</w:t>
            </w:r>
          </w:p>
        </w:tc>
        <w:tc>
          <w:tcPr>
            <w:tcW w:w="3117" w:type="dxa"/>
          </w:tcPr>
          <w:p w14:paraId="0576F4C0" w14:textId="77777777" w:rsidR="00C873DA" w:rsidRDefault="00C873DA" w:rsidP="00C873DA">
            <w:pPr>
              <w:pStyle w:val="NoSpacing"/>
              <w:spacing w:line="240" w:lineRule="auto"/>
              <w:jc w:val="center"/>
              <w:rPr>
                <w:lang w:val="es-MX"/>
              </w:rPr>
            </w:pPr>
            <w:r>
              <w:rPr>
                <w:lang w:val="es-MX"/>
              </w:rPr>
              <w:t>0.15</w:t>
            </w:r>
          </w:p>
        </w:tc>
      </w:tr>
      <w:tr w:rsidR="00C873DA" w14:paraId="3D5F6DAA" w14:textId="77777777" w:rsidTr="00DC65D6">
        <w:tc>
          <w:tcPr>
            <w:tcW w:w="3539" w:type="dxa"/>
          </w:tcPr>
          <w:p w14:paraId="477E2493" w14:textId="619BD19A" w:rsidR="00C873DA" w:rsidRPr="00871611" w:rsidRDefault="00C873DA" w:rsidP="00C873DA">
            <w:pPr>
              <w:pStyle w:val="NoSpacing"/>
              <w:spacing w:line="240" w:lineRule="auto"/>
              <w:ind w:firstLine="0"/>
            </w:pPr>
            <w:r w:rsidRPr="00871611">
              <w:t>% youth, ages 15</w:t>
            </w:r>
            <w:r w:rsidR="00711A52">
              <w:t>–</w:t>
            </w:r>
            <w:r w:rsidRPr="00871611">
              <w:t>39, 2010*</w:t>
            </w:r>
          </w:p>
          <w:p w14:paraId="4D4DE668" w14:textId="77777777" w:rsidR="00C873DA" w:rsidRPr="00871611" w:rsidRDefault="00C873DA" w:rsidP="00C873DA">
            <w:pPr>
              <w:pStyle w:val="NoSpacing"/>
              <w:spacing w:line="240" w:lineRule="auto"/>
              <w:ind w:firstLine="0"/>
            </w:pPr>
            <w:r>
              <w:rPr>
                <w:sz w:val="20"/>
                <w:szCs w:val="20"/>
              </w:rPr>
              <w:t>Source: INEGI, 2010 Population Census</w:t>
            </w:r>
          </w:p>
        </w:tc>
        <w:tc>
          <w:tcPr>
            <w:tcW w:w="2694" w:type="dxa"/>
          </w:tcPr>
          <w:p w14:paraId="408CF6CD" w14:textId="77777777" w:rsidR="00C873DA" w:rsidRDefault="00C873DA" w:rsidP="00C873DA">
            <w:pPr>
              <w:pStyle w:val="NoSpacing"/>
              <w:spacing w:line="240" w:lineRule="auto"/>
              <w:jc w:val="center"/>
              <w:rPr>
                <w:lang w:val="es-MX"/>
              </w:rPr>
            </w:pPr>
            <w:r>
              <w:rPr>
                <w:lang w:val="es-MX"/>
              </w:rPr>
              <w:t>17.51</w:t>
            </w:r>
          </w:p>
        </w:tc>
        <w:tc>
          <w:tcPr>
            <w:tcW w:w="3117" w:type="dxa"/>
          </w:tcPr>
          <w:p w14:paraId="7AE4FA33" w14:textId="77777777" w:rsidR="00C873DA" w:rsidRDefault="00C873DA" w:rsidP="00C873DA">
            <w:pPr>
              <w:pStyle w:val="NoSpacing"/>
              <w:spacing w:line="240" w:lineRule="auto"/>
              <w:jc w:val="center"/>
              <w:rPr>
                <w:lang w:val="es-MX"/>
              </w:rPr>
            </w:pPr>
            <w:r>
              <w:rPr>
                <w:lang w:val="es-MX"/>
              </w:rPr>
              <w:t>17.45</w:t>
            </w:r>
          </w:p>
        </w:tc>
      </w:tr>
      <w:tr w:rsidR="00C873DA" w14:paraId="51C243A1" w14:textId="77777777" w:rsidTr="00DC65D6">
        <w:tc>
          <w:tcPr>
            <w:tcW w:w="3539" w:type="dxa"/>
          </w:tcPr>
          <w:p w14:paraId="10FEE568" w14:textId="77777777" w:rsidR="00C873DA" w:rsidRPr="00871611" w:rsidRDefault="00C873DA" w:rsidP="00C873DA">
            <w:pPr>
              <w:pStyle w:val="NoSpacing"/>
              <w:spacing w:line="240" w:lineRule="auto"/>
              <w:ind w:firstLine="0"/>
            </w:pPr>
            <w:r w:rsidRPr="00871611">
              <w:t>% international migrant, 2010*</w:t>
            </w:r>
          </w:p>
          <w:p w14:paraId="1DB387AC" w14:textId="31C4DC5C" w:rsidR="00C873DA" w:rsidRDefault="00C873DA" w:rsidP="00C873DA">
            <w:pPr>
              <w:pStyle w:val="NoSpacing"/>
              <w:spacing w:line="240" w:lineRule="auto"/>
              <w:ind w:firstLine="0"/>
              <w:rPr>
                <w:sz w:val="20"/>
                <w:szCs w:val="20"/>
              </w:rPr>
            </w:pPr>
            <w:r>
              <w:rPr>
                <w:sz w:val="20"/>
                <w:szCs w:val="20"/>
              </w:rPr>
              <w:t>Mexicans who were international migrants in 2005 but counted in 2010 Census</w:t>
            </w:r>
          </w:p>
          <w:p w14:paraId="0B689081" w14:textId="77777777" w:rsidR="00C873DA" w:rsidRPr="00CB3EAA" w:rsidRDefault="00C873DA" w:rsidP="00C873DA">
            <w:pPr>
              <w:pStyle w:val="NoSpacing"/>
              <w:spacing w:line="240" w:lineRule="auto"/>
              <w:ind w:firstLine="0"/>
              <w:rPr>
                <w:sz w:val="20"/>
                <w:szCs w:val="20"/>
              </w:rPr>
            </w:pPr>
            <w:r>
              <w:rPr>
                <w:sz w:val="20"/>
                <w:szCs w:val="20"/>
              </w:rPr>
              <w:t>Source: INEGI, 2010 Population Census</w:t>
            </w:r>
          </w:p>
        </w:tc>
        <w:tc>
          <w:tcPr>
            <w:tcW w:w="2694" w:type="dxa"/>
          </w:tcPr>
          <w:p w14:paraId="457C4F1F" w14:textId="77777777" w:rsidR="00C873DA" w:rsidRDefault="00C873DA" w:rsidP="00C873DA">
            <w:pPr>
              <w:pStyle w:val="NoSpacing"/>
              <w:spacing w:line="240" w:lineRule="auto"/>
              <w:jc w:val="center"/>
              <w:rPr>
                <w:lang w:val="es-MX"/>
              </w:rPr>
            </w:pPr>
            <w:r>
              <w:rPr>
                <w:lang w:val="es-MX"/>
              </w:rPr>
              <w:t>0.03</w:t>
            </w:r>
          </w:p>
        </w:tc>
        <w:tc>
          <w:tcPr>
            <w:tcW w:w="3117" w:type="dxa"/>
          </w:tcPr>
          <w:p w14:paraId="4CF4432F" w14:textId="77777777" w:rsidR="00C873DA" w:rsidRDefault="00C873DA" w:rsidP="00C873DA">
            <w:pPr>
              <w:pStyle w:val="NoSpacing"/>
              <w:spacing w:line="240" w:lineRule="auto"/>
              <w:jc w:val="center"/>
              <w:rPr>
                <w:lang w:val="es-MX"/>
              </w:rPr>
            </w:pPr>
            <w:r>
              <w:rPr>
                <w:lang w:val="es-MX"/>
              </w:rPr>
              <w:t>0.01</w:t>
            </w:r>
          </w:p>
        </w:tc>
      </w:tr>
      <w:tr w:rsidR="00C873DA" w14:paraId="337A57C4" w14:textId="77777777" w:rsidTr="00DC65D6">
        <w:tc>
          <w:tcPr>
            <w:tcW w:w="3539" w:type="dxa"/>
          </w:tcPr>
          <w:p w14:paraId="24A9645C" w14:textId="77777777" w:rsidR="00C873DA" w:rsidRDefault="00C873DA" w:rsidP="00C873DA">
            <w:pPr>
              <w:pStyle w:val="NoSpacing"/>
              <w:spacing w:line="240" w:lineRule="auto"/>
              <w:ind w:firstLine="0"/>
            </w:pPr>
            <w:r w:rsidRPr="00CB3EAA">
              <w:t>% population living in rural localities</w:t>
            </w:r>
            <w:r>
              <w:t>, 2010*</w:t>
            </w:r>
          </w:p>
          <w:p w14:paraId="5B597C0E" w14:textId="68467FF9" w:rsidR="00C873DA" w:rsidRDefault="00C873DA" w:rsidP="00C873DA">
            <w:pPr>
              <w:pStyle w:val="NoSpacing"/>
              <w:spacing w:line="240" w:lineRule="auto"/>
              <w:ind w:firstLine="0"/>
              <w:rPr>
                <w:sz w:val="20"/>
                <w:szCs w:val="20"/>
              </w:rPr>
            </w:pPr>
            <w:r>
              <w:rPr>
                <w:sz w:val="20"/>
                <w:szCs w:val="20"/>
              </w:rPr>
              <w:t xml:space="preserve">Localities with 2,500 inhabitants or </w:t>
            </w:r>
            <w:r w:rsidR="00711A52">
              <w:rPr>
                <w:sz w:val="20"/>
                <w:szCs w:val="20"/>
              </w:rPr>
              <w:t>fewer</w:t>
            </w:r>
          </w:p>
          <w:p w14:paraId="12F905BF" w14:textId="77777777" w:rsidR="00C873DA" w:rsidRPr="00CB3EAA" w:rsidRDefault="00C873DA" w:rsidP="00C873DA">
            <w:pPr>
              <w:pStyle w:val="NoSpacing"/>
              <w:spacing w:line="240" w:lineRule="auto"/>
              <w:ind w:firstLine="0"/>
              <w:rPr>
                <w:sz w:val="20"/>
                <w:szCs w:val="20"/>
              </w:rPr>
            </w:pPr>
            <w:r>
              <w:rPr>
                <w:sz w:val="20"/>
                <w:szCs w:val="20"/>
              </w:rPr>
              <w:t>Source: INEGI, 2010 Population Census</w:t>
            </w:r>
          </w:p>
        </w:tc>
        <w:tc>
          <w:tcPr>
            <w:tcW w:w="2694" w:type="dxa"/>
          </w:tcPr>
          <w:p w14:paraId="765E2FFF" w14:textId="77777777" w:rsidR="00C873DA" w:rsidRPr="00CB3EAA" w:rsidRDefault="00C873DA" w:rsidP="00C873DA">
            <w:pPr>
              <w:pStyle w:val="NoSpacing"/>
              <w:spacing w:line="240" w:lineRule="auto"/>
              <w:jc w:val="center"/>
            </w:pPr>
            <w:r>
              <w:t>59.44</w:t>
            </w:r>
          </w:p>
        </w:tc>
        <w:tc>
          <w:tcPr>
            <w:tcW w:w="3117" w:type="dxa"/>
          </w:tcPr>
          <w:p w14:paraId="16645202" w14:textId="77777777" w:rsidR="00C873DA" w:rsidRDefault="00C873DA" w:rsidP="00C873DA">
            <w:pPr>
              <w:pStyle w:val="NoSpacing"/>
              <w:spacing w:line="240" w:lineRule="auto"/>
              <w:jc w:val="center"/>
            </w:pPr>
            <w:r>
              <w:t>45.84</w:t>
            </w:r>
          </w:p>
          <w:p w14:paraId="21AAE0AF" w14:textId="77777777" w:rsidR="00C873DA" w:rsidRPr="00D4703F" w:rsidRDefault="00C873DA" w:rsidP="00C873DA">
            <w:pPr>
              <w:jc w:val="center"/>
            </w:pPr>
          </w:p>
        </w:tc>
      </w:tr>
      <w:tr w:rsidR="00C873DA" w14:paraId="732035A8" w14:textId="77777777" w:rsidTr="00DC65D6">
        <w:tc>
          <w:tcPr>
            <w:tcW w:w="3539" w:type="dxa"/>
          </w:tcPr>
          <w:p w14:paraId="7785CAE6" w14:textId="73A86964" w:rsidR="00C873DA" w:rsidRDefault="00C873DA" w:rsidP="00C873DA">
            <w:pPr>
              <w:pStyle w:val="NoSpacing"/>
              <w:spacing w:line="240" w:lineRule="auto"/>
              <w:ind w:firstLine="0"/>
            </w:pPr>
            <w:r>
              <w:t xml:space="preserve">% </w:t>
            </w:r>
            <w:r w:rsidR="00711A52">
              <w:t>C</w:t>
            </w:r>
            <w:r>
              <w:t>atholic, 2010</w:t>
            </w:r>
          </w:p>
          <w:p w14:paraId="62C5CB72" w14:textId="77777777" w:rsidR="00C873DA" w:rsidRPr="00CB3EAA" w:rsidRDefault="00C873DA" w:rsidP="00C873DA">
            <w:pPr>
              <w:pStyle w:val="NoSpacing"/>
              <w:spacing w:line="240" w:lineRule="auto"/>
              <w:ind w:firstLine="0"/>
            </w:pPr>
            <w:r>
              <w:rPr>
                <w:sz w:val="20"/>
                <w:szCs w:val="20"/>
              </w:rPr>
              <w:t>Source: INEGI, 2010 Population Census</w:t>
            </w:r>
          </w:p>
        </w:tc>
        <w:tc>
          <w:tcPr>
            <w:tcW w:w="2694" w:type="dxa"/>
          </w:tcPr>
          <w:p w14:paraId="591AB1D9" w14:textId="77777777" w:rsidR="00C873DA" w:rsidRPr="00CB3EAA" w:rsidRDefault="00C873DA" w:rsidP="00C873DA">
            <w:pPr>
              <w:pStyle w:val="NoSpacing"/>
              <w:spacing w:line="240" w:lineRule="auto"/>
              <w:jc w:val="center"/>
            </w:pPr>
            <w:r>
              <w:t>95.57</w:t>
            </w:r>
          </w:p>
        </w:tc>
        <w:tc>
          <w:tcPr>
            <w:tcW w:w="3117" w:type="dxa"/>
          </w:tcPr>
          <w:p w14:paraId="7025BF13" w14:textId="77777777" w:rsidR="00C873DA" w:rsidRPr="00CB3EAA" w:rsidRDefault="00C873DA" w:rsidP="00C873DA">
            <w:pPr>
              <w:pStyle w:val="NoSpacing"/>
              <w:spacing w:line="240" w:lineRule="auto"/>
              <w:jc w:val="center"/>
            </w:pPr>
            <w:r>
              <w:t>94.70</w:t>
            </w:r>
          </w:p>
        </w:tc>
      </w:tr>
      <w:tr w:rsidR="00C873DA" w14:paraId="5A03FA6C" w14:textId="77777777" w:rsidTr="00DC65D6">
        <w:tc>
          <w:tcPr>
            <w:tcW w:w="9350" w:type="dxa"/>
            <w:gridSpan w:val="3"/>
          </w:tcPr>
          <w:p w14:paraId="35B774AE" w14:textId="77777777" w:rsidR="00C873DA" w:rsidRPr="00CB3EAA" w:rsidRDefault="00C873DA" w:rsidP="00C873DA">
            <w:pPr>
              <w:pStyle w:val="NoSpacing"/>
              <w:spacing w:line="240" w:lineRule="auto"/>
            </w:pPr>
          </w:p>
        </w:tc>
      </w:tr>
      <w:tr w:rsidR="00C873DA" w14:paraId="4EE463E0" w14:textId="77777777" w:rsidTr="00DC65D6">
        <w:tc>
          <w:tcPr>
            <w:tcW w:w="3539" w:type="dxa"/>
          </w:tcPr>
          <w:p w14:paraId="65AAD873" w14:textId="77777777" w:rsidR="00C873DA" w:rsidRPr="00FF7F2A" w:rsidRDefault="00C873DA" w:rsidP="00C873DA">
            <w:pPr>
              <w:pStyle w:val="NoSpacing"/>
              <w:spacing w:line="240" w:lineRule="auto"/>
              <w:ind w:firstLine="0"/>
              <w:rPr>
                <w:i/>
                <w:lang w:val="es-MX"/>
              </w:rPr>
            </w:pPr>
            <w:r w:rsidRPr="00FF7F2A">
              <w:rPr>
                <w:i/>
                <w:lang w:val="es-MX"/>
              </w:rPr>
              <w:t>Economic</w:t>
            </w:r>
          </w:p>
        </w:tc>
        <w:tc>
          <w:tcPr>
            <w:tcW w:w="2694" w:type="dxa"/>
          </w:tcPr>
          <w:p w14:paraId="663E9E19" w14:textId="77777777" w:rsidR="00C873DA" w:rsidRDefault="00C873DA" w:rsidP="00C873DA">
            <w:pPr>
              <w:pStyle w:val="NoSpacing"/>
              <w:spacing w:line="240" w:lineRule="auto"/>
              <w:jc w:val="center"/>
              <w:rPr>
                <w:lang w:val="es-MX"/>
              </w:rPr>
            </w:pPr>
          </w:p>
        </w:tc>
        <w:tc>
          <w:tcPr>
            <w:tcW w:w="3117" w:type="dxa"/>
          </w:tcPr>
          <w:p w14:paraId="0B441B9F" w14:textId="77777777" w:rsidR="00C873DA" w:rsidRDefault="00C873DA" w:rsidP="00C873DA">
            <w:pPr>
              <w:pStyle w:val="NoSpacing"/>
              <w:spacing w:line="240" w:lineRule="auto"/>
              <w:jc w:val="center"/>
              <w:rPr>
                <w:lang w:val="es-MX"/>
              </w:rPr>
            </w:pPr>
          </w:p>
        </w:tc>
      </w:tr>
      <w:tr w:rsidR="00C873DA" w14:paraId="293E2874" w14:textId="77777777" w:rsidTr="00DC65D6">
        <w:tc>
          <w:tcPr>
            <w:tcW w:w="3539" w:type="dxa"/>
          </w:tcPr>
          <w:p w14:paraId="2AD85C4C" w14:textId="77777777" w:rsidR="00C873DA" w:rsidRPr="00A11749" w:rsidRDefault="00C873DA" w:rsidP="00C873DA">
            <w:pPr>
              <w:pStyle w:val="NoSpacing"/>
              <w:spacing w:line="240" w:lineRule="auto"/>
              <w:ind w:firstLine="0"/>
            </w:pPr>
            <w:r w:rsidRPr="00A11749">
              <w:t>Poverty</w:t>
            </w:r>
            <w:r>
              <w:t>, 2010</w:t>
            </w:r>
            <w:r w:rsidRPr="00A11749">
              <w:t>*</w:t>
            </w:r>
          </w:p>
          <w:p w14:paraId="495993DE" w14:textId="1EE01DC9" w:rsidR="00C873DA" w:rsidRPr="00A11749" w:rsidRDefault="00C873DA" w:rsidP="00C873DA">
            <w:pPr>
              <w:pStyle w:val="NoSpacing"/>
              <w:spacing w:line="240" w:lineRule="auto"/>
              <w:ind w:firstLine="0"/>
              <w:rPr>
                <w:sz w:val="20"/>
                <w:szCs w:val="20"/>
              </w:rPr>
            </w:pPr>
            <w:r>
              <w:rPr>
                <w:sz w:val="20"/>
                <w:szCs w:val="20"/>
              </w:rPr>
              <w:t xml:space="preserve">Source: Conapo, 2010 Marginality Index, </w:t>
            </w:r>
            <w:r w:rsidRPr="00A11749">
              <w:rPr>
                <w:sz w:val="20"/>
                <w:szCs w:val="20"/>
              </w:rPr>
              <w:t>Rescaled 0</w:t>
            </w:r>
            <w:r w:rsidR="00711A52">
              <w:rPr>
                <w:sz w:val="20"/>
                <w:szCs w:val="20"/>
              </w:rPr>
              <w:t>–</w:t>
            </w:r>
            <w:r w:rsidRPr="00A11749">
              <w:rPr>
                <w:sz w:val="20"/>
                <w:szCs w:val="20"/>
              </w:rPr>
              <w:t xml:space="preserve">100 </w:t>
            </w:r>
          </w:p>
        </w:tc>
        <w:tc>
          <w:tcPr>
            <w:tcW w:w="2694" w:type="dxa"/>
          </w:tcPr>
          <w:p w14:paraId="0C8A97B3" w14:textId="77777777" w:rsidR="00C873DA" w:rsidRDefault="00C873DA" w:rsidP="00C873DA">
            <w:pPr>
              <w:pStyle w:val="NoSpacing"/>
              <w:spacing w:line="240" w:lineRule="auto"/>
              <w:jc w:val="center"/>
              <w:rPr>
                <w:lang w:val="es-MX"/>
              </w:rPr>
            </w:pPr>
            <w:r>
              <w:rPr>
                <w:lang w:val="es-MX"/>
              </w:rPr>
              <w:t>29.97</w:t>
            </w:r>
          </w:p>
        </w:tc>
        <w:tc>
          <w:tcPr>
            <w:tcW w:w="3117" w:type="dxa"/>
          </w:tcPr>
          <w:p w14:paraId="3BEA5EA8" w14:textId="77777777" w:rsidR="00C873DA" w:rsidRDefault="00C873DA" w:rsidP="00C873DA">
            <w:pPr>
              <w:pStyle w:val="NoSpacing"/>
              <w:spacing w:line="240" w:lineRule="auto"/>
              <w:jc w:val="center"/>
              <w:rPr>
                <w:lang w:val="es-MX"/>
              </w:rPr>
            </w:pPr>
            <w:r>
              <w:rPr>
                <w:lang w:val="es-MX"/>
              </w:rPr>
              <w:t>26.31</w:t>
            </w:r>
          </w:p>
        </w:tc>
      </w:tr>
      <w:tr w:rsidR="00C873DA" w14:paraId="23DFD7FA" w14:textId="77777777" w:rsidTr="00DC65D6">
        <w:tc>
          <w:tcPr>
            <w:tcW w:w="3539" w:type="dxa"/>
          </w:tcPr>
          <w:p w14:paraId="50A2A050" w14:textId="77777777" w:rsidR="00C873DA" w:rsidRPr="00E42C7E" w:rsidRDefault="00C873DA" w:rsidP="00C873DA">
            <w:pPr>
              <w:pStyle w:val="NoSpacing"/>
              <w:spacing w:line="240" w:lineRule="auto"/>
              <w:ind w:firstLine="0"/>
            </w:pPr>
            <w:r w:rsidRPr="00E42C7E">
              <w:t>Gini index of inequality, 2010*</w:t>
            </w:r>
          </w:p>
          <w:p w14:paraId="09ED036B" w14:textId="77777777" w:rsidR="00C873DA" w:rsidRPr="00E42C7E" w:rsidRDefault="00C873DA" w:rsidP="00C873DA">
            <w:pPr>
              <w:pStyle w:val="NoSpacing"/>
              <w:spacing w:line="240" w:lineRule="auto"/>
              <w:ind w:firstLine="0"/>
            </w:pPr>
            <w:r>
              <w:rPr>
                <w:sz w:val="20"/>
                <w:szCs w:val="20"/>
              </w:rPr>
              <w:t>Source: Coneval</w:t>
            </w:r>
          </w:p>
        </w:tc>
        <w:tc>
          <w:tcPr>
            <w:tcW w:w="2694" w:type="dxa"/>
          </w:tcPr>
          <w:p w14:paraId="64A8D7FE" w14:textId="77777777" w:rsidR="00C873DA" w:rsidRDefault="00C873DA" w:rsidP="00C873DA">
            <w:pPr>
              <w:pStyle w:val="NoSpacing"/>
              <w:spacing w:line="240" w:lineRule="auto"/>
              <w:jc w:val="center"/>
              <w:rPr>
                <w:lang w:val="es-MX"/>
              </w:rPr>
            </w:pPr>
            <w:r>
              <w:rPr>
                <w:lang w:val="es-MX"/>
              </w:rPr>
              <w:t>0.40</w:t>
            </w:r>
          </w:p>
        </w:tc>
        <w:tc>
          <w:tcPr>
            <w:tcW w:w="3117" w:type="dxa"/>
          </w:tcPr>
          <w:p w14:paraId="3C7306FC" w14:textId="77777777" w:rsidR="00C873DA" w:rsidRDefault="00C873DA" w:rsidP="00C873DA">
            <w:pPr>
              <w:pStyle w:val="NoSpacing"/>
              <w:spacing w:line="240" w:lineRule="auto"/>
              <w:jc w:val="center"/>
              <w:rPr>
                <w:lang w:val="es-MX"/>
              </w:rPr>
            </w:pPr>
            <w:r>
              <w:rPr>
                <w:lang w:val="es-MX"/>
              </w:rPr>
              <w:t>0.41</w:t>
            </w:r>
          </w:p>
        </w:tc>
      </w:tr>
      <w:tr w:rsidR="00C873DA" w14:paraId="55FB6EDC" w14:textId="77777777" w:rsidTr="00DC65D6">
        <w:tc>
          <w:tcPr>
            <w:tcW w:w="3539" w:type="dxa"/>
          </w:tcPr>
          <w:p w14:paraId="5D6D50E9" w14:textId="77777777" w:rsidR="00C873DA" w:rsidRPr="00871611" w:rsidRDefault="00C873DA" w:rsidP="00C873DA">
            <w:pPr>
              <w:pStyle w:val="NoSpacing"/>
              <w:spacing w:line="240" w:lineRule="auto"/>
              <w:ind w:firstLine="0"/>
            </w:pPr>
            <w:r w:rsidRPr="00871611">
              <w:t>% po</w:t>
            </w:r>
            <w:r>
              <w:t>pulation employed in agriculture</w:t>
            </w:r>
            <w:r w:rsidRPr="00871611">
              <w:t>, 2010*</w:t>
            </w:r>
          </w:p>
          <w:p w14:paraId="511F2E99" w14:textId="77777777" w:rsidR="00C873DA" w:rsidRPr="00871611" w:rsidRDefault="00C873DA" w:rsidP="00C873DA">
            <w:pPr>
              <w:pStyle w:val="NoSpacing"/>
              <w:spacing w:line="240" w:lineRule="auto"/>
              <w:ind w:firstLine="0"/>
            </w:pPr>
            <w:r>
              <w:rPr>
                <w:sz w:val="20"/>
                <w:szCs w:val="20"/>
              </w:rPr>
              <w:t>Source: INEGI, 2010 Population Census</w:t>
            </w:r>
          </w:p>
        </w:tc>
        <w:tc>
          <w:tcPr>
            <w:tcW w:w="2694" w:type="dxa"/>
          </w:tcPr>
          <w:p w14:paraId="344B8584" w14:textId="77777777" w:rsidR="00C873DA" w:rsidRDefault="00C873DA" w:rsidP="00C873DA">
            <w:pPr>
              <w:pStyle w:val="NoSpacing"/>
              <w:spacing w:line="240" w:lineRule="auto"/>
              <w:jc w:val="center"/>
              <w:rPr>
                <w:lang w:val="es-MX"/>
              </w:rPr>
            </w:pPr>
            <w:r>
              <w:rPr>
                <w:lang w:val="es-MX"/>
              </w:rPr>
              <w:t>29.56</w:t>
            </w:r>
          </w:p>
        </w:tc>
        <w:tc>
          <w:tcPr>
            <w:tcW w:w="3117" w:type="dxa"/>
          </w:tcPr>
          <w:p w14:paraId="504DDBF0" w14:textId="77777777" w:rsidR="00C873DA" w:rsidRDefault="00C873DA" w:rsidP="00C873DA">
            <w:pPr>
              <w:pStyle w:val="NoSpacing"/>
              <w:spacing w:line="240" w:lineRule="auto"/>
              <w:jc w:val="center"/>
              <w:rPr>
                <w:lang w:val="es-MX"/>
              </w:rPr>
            </w:pPr>
            <w:r>
              <w:rPr>
                <w:lang w:val="es-MX"/>
              </w:rPr>
              <w:t>21.76</w:t>
            </w:r>
          </w:p>
        </w:tc>
      </w:tr>
      <w:tr w:rsidR="00C873DA" w:rsidRPr="0094478B" w14:paraId="7AD24376" w14:textId="77777777" w:rsidTr="00DC65D6">
        <w:tc>
          <w:tcPr>
            <w:tcW w:w="3539" w:type="dxa"/>
          </w:tcPr>
          <w:p w14:paraId="29D8E49C" w14:textId="16E3769F" w:rsidR="00C873DA" w:rsidRDefault="00C873DA" w:rsidP="00C873DA">
            <w:pPr>
              <w:pStyle w:val="NoSpacing"/>
              <w:spacing w:line="240" w:lineRule="auto"/>
              <w:ind w:firstLine="0"/>
            </w:pPr>
            <w:r>
              <w:t>% m</w:t>
            </w:r>
            <w:r w:rsidRPr="00FF7F2A">
              <w:t>unicipal income from local taxes</w:t>
            </w:r>
            <w:r>
              <w:t>, 2007</w:t>
            </w:r>
            <w:r w:rsidR="00711A52">
              <w:t>–</w:t>
            </w:r>
            <w:r>
              <w:t>2011*</w:t>
            </w:r>
          </w:p>
          <w:p w14:paraId="6DE69BE2" w14:textId="77777777" w:rsidR="00C873DA" w:rsidRPr="0094478B" w:rsidRDefault="00C873DA" w:rsidP="00C873DA">
            <w:pPr>
              <w:pStyle w:val="NoSpacing"/>
              <w:spacing w:line="240" w:lineRule="auto"/>
              <w:ind w:firstLine="0"/>
            </w:pPr>
            <w:r>
              <w:rPr>
                <w:sz w:val="20"/>
                <w:szCs w:val="20"/>
              </w:rPr>
              <w:t>Source: INEGI, Public Finance Statistics</w:t>
            </w:r>
          </w:p>
        </w:tc>
        <w:tc>
          <w:tcPr>
            <w:tcW w:w="2694" w:type="dxa"/>
          </w:tcPr>
          <w:p w14:paraId="42F7187A" w14:textId="77777777" w:rsidR="00C873DA" w:rsidRPr="0053363E" w:rsidRDefault="00C873DA" w:rsidP="00C873DA">
            <w:pPr>
              <w:pStyle w:val="NoSpacing"/>
              <w:spacing w:line="240" w:lineRule="auto"/>
              <w:jc w:val="center"/>
              <w:rPr>
                <w:highlight w:val="yellow"/>
              </w:rPr>
            </w:pPr>
            <w:r w:rsidRPr="0053363E">
              <w:t>2.71</w:t>
            </w:r>
          </w:p>
        </w:tc>
        <w:tc>
          <w:tcPr>
            <w:tcW w:w="3117" w:type="dxa"/>
          </w:tcPr>
          <w:p w14:paraId="1C72CA94" w14:textId="77777777" w:rsidR="00C873DA" w:rsidRPr="0053363E" w:rsidRDefault="00C873DA" w:rsidP="00C873DA">
            <w:pPr>
              <w:pStyle w:val="NoSpacing"/>
              <w:spacing w:line="240" w:lineRule="auto"/>
              <w:jc w:val="center"/>
              <w:rPr>
                <w:highlight w:val="yellow"/>
              </w:rPr>
            </w:pPr>
            <w:r w:rsidRPr="0053363E">
              <w:t>5.05</w:t>
            </w:r>
          </w:p>
        </w:tc>
      </w:tr>
      <w:tr w:rsidR="00C873DA" w:rsidRPr="0094478B" w14:paraId="2CA55C4D" w14:textId="77777777" w:rsidTr="00DC65D6">
        <w:tc>
          <w:tcPr>
            <w:tcW w:w="9350" w:type="dxa"/>
            <w:gridSpan w:val="3"/>
          </w:tcPr>
          <w:p w14:paraId="6F7312CE" w14:textId="77777777" w:rsidR="009D7A42" w:rsidRPr="0094478B" w:rsidRDefault="009D7A42" w:rsidP="00C873DA">
            <w:pPr>
              <w:pStyle w:val="NoSpacing"/>
              <w:spacing w:line="240" w:lineRule="auto"/>
              <w:jc w:val="center"/>
            </w:pPr>
          </w:p>
        </w:tc>
      </w:tr>
      <w:tr w:rsidR="00C873DA" w14:paraId="535F6156" w14:textId="77777777" w:rsidTr="00DC65D6">
        <w:tc>
          <w:tcPr>
            <w:tcW w:w="3539" w:type="dxa"/>
          </w:tcPr>
          <w:p w14:paraId="5ED2CC5D" w14:textId="77777777" w:rsidR="00C873DA" w:rsidRPr="001A026B" w:rsidRDefault="00C873DA" w:rsidP="00C873DA">
            <w:pPr>
              <w:pStyle w:val="NoSpacing"/>
              <w:spacing w:line="240" w:lineRule="auto"/>
              <w:ind w:firstLine="0"/>
              <w:rPr>
                <w:i/>
                <w:lang w:val="es-MX"/>
              </w:rPr>
            </w:pPr>
            <w:r w:rsidRPr="001A026B">
              <w:rPr>
                <w:i/>
                <w:lang w:val="es-MX"/>
              </w:rPr>
              <w:t>Political</w:t>
            </w:r>
          </w:p>
        </w:tc>
        <w:tc>
          <w:tcPr>
            <w:tcW w:w="2694" w:type="dxa"/>
          </w:tcPr>
          <w:p w14:paraId="57F6F62F" w14:textId="77777777" w:rsidR="00C873DA" w:rsidRDefault="00C873DA" w:rsidP="00C873DA">
            <w:pPr>
              <w:pStyle w:val="NoSpacing"/>
              <w:spacing w:line="240" w:lineRule="auto"/>
              <w:jc w:val="center"/>
              <w:rPr>
                <w:lang w:val="es-MX"/>
              </w:rPr>
            </w:pPr>
          </w:p>
        </w:tc>
        <w:tc>
          <w:tcPr>
            <w:tcW w:w="3117" w:type="dxa"/>
          </w:tcPr>
          <w:p w14:paraId="384F4037" w14:textId="77777777" w:rsidR="00C873DA" w:rsidRDefault="00C873DA" w:rsidP="00C873DA">
            <w:pPr>
              <w:pStyle w:val="NoSpacing"/>
              <w:spacing w:line="240" w:lineRule="auto"/>
              <w:jc w:val="center"/>
              <w:rPr>
                <w:lang w:val="es-MX"/>
              </w:rPr>
            </w:pPr>
          </w:p>
        </w:tc>
      </w:tr>
      <w:tr w:rsidR="00C873DA" w14:paraId="4EE28F5E" w14:textId="77777777" w:rsidTr="00DC65D6">
        <w:tc>
          <w:tcPr>
            <w:tcW w:w="3539" w:type="dxa"/>
          </w:tcPr>
          <w:p w14:paraId="0D25F48A" w14:textId="77777777" w:rsidR="00C873DA" w:rsidRPr="00BF033C" w:rsidRDefault="00C873DA" w:rsidP="00C873DA">
            <w:pPr>
              <w:pStyle w:val="NoSpacing"/>
              <w:spacing w:line="240" w:lineRule="auto"/>
              <w:ind w:firstLine="0"/>
              <w:rPr>
                <w:b/>
                <w:lang w:val="es-MX"/>
              </w:rPr>
            </w:pPr>
            <w:r w:rsidRPr="00BF033C">
              <w:rPr>
                <w:b/>
                <w:lang w:val="es-MX"/>
              </w:rPr>
              <w:t>Governor’s party</w:t>
            </w:r>
          </w:p>
        </w:tc>
        <w:tc>
          <w:tcPr>
            <w:tcW w:w="2694" w:type="dxa"/>
          </w:tcPr>
          <w:p w14:paraId="042312E0" w14:textId="77777777" w:rsidR="00C873DA" w:rsidRPr="00BF033C" w:rsidRDefault="00C873DA" w:rsidP="00C873DA">
            <w:pPr>
              <w:pStyle w:val="NoSpacing"/>
              <w:spacing w:line="240" w:lineRule="auto"/>
              <w:jc w:val="center"/>
              <w:rPr>
                <w:b/>
                <w:lang w:val="es-MX"/>
              </w:rPr>
            </w:pPr>
            <w:r w:rsidRPr="00BF033C">
              <w:rPr>
                <w:b/>
                <w:lang w:val="es-MX"/>
              </w:rPr>
              <w:t xml:space="preserve">PRD </w:t>
            </w:r>
          </w:p>
          <w:p w14:paraId="5097CC74" w14:textId="2F4A79FE" w:rsidR="00C873DA" w:rsidRPr="00BF033C" w:rsidRDefault="00C873DA" w:rsidP="00C873DA">
            <w:pPr>
              <w:pStyle w:val="NoSpacing"/>
              <w:spacing w:line="240" w:lineRule="auto"/>
              <w:jc w:val="center"/>
              <w:rPr>
                <w:b/>
                <w:lang w:val="es-MX"/>
              </w:rPr>
            </w:pPr>
            <w:r w:rsidRPr="00BF033C">
              <w:rPr>
                <w:b/>
                <w:lang w:val="es-MX"/>
              </w:rPr>
              <w:t>(2007</w:t>
            </w:r>
            <w:r w:rsidR="00711A52">
              <w:rPr>
                <w:b/>
                <w:lang w:val="es-MX"/>
              </w:rPr>
              <w:t>–</w:t>
            </w:r>
            <w:r w:rsidRPr="00BF033C">
              <w:rPr>
                <w:b/>
                <w:lang w:val="es-MX"/>
              </w:rPr>
              <w:t>2011)</w:t>
            </w:r>
          </w:p>
        </w:tc>
        <w:tc>
          <w:tcPr>
            <w:tcW w:w="3117" w:type="dxa"/>
          </w:tcPr>
          <w:p w14:paraId="6A8B5701" w14:textId="77777777" w:rsidR="00C873DA" w:rsidRPr="00BF033C" w:rsidRDefault="00C873DA" w:rsidP="00C873DA">
            <w:pPr>
              <w:pStyle w:val="NoSpacing"/>
              <w:spacing w:line="240" w:lineRule="auto"/>
              <w:jc w:val="center"/>
              <w:rPr>
                <w:b/>
                <w:lang w:val="es-MX"/>
              </w:rPr>
            </w:pPr>
            <w:r w:rsidRPr="00BF033C">
              <w:rPr>
                <w:b/>
                <w:lang w:val="es-MX"/>
              </w:rPr>
              <w:t xml:space="preserve">PAN </w:t>
            </w:r>
          </w:p>
          <w:p w14:paraId="7E95AB88" w14:textId="5736E302" w:rsidR="00C873DA" w:rsidRPr="00BF033C" w:rsidRDefault="00C873DA" w:rsidP="00C873DA">
            <w:pPr>
              <w:pStyle w:val="NoSpacing"/>
              <w:spacing w:line="240" w:lineRule="auto"/>
              <w:jc w:val="center"/>
              <w:rPr>
                <w:b/>
                <w:lang w:val="es-MX"/>
              </w:rPr>
            </w:pPr>
            <w:r w:rsidRPr="00BF033C">
              <w:rPr>
                <w:b/>
                <w:lang w:val="es-MX"/>
              </w:rPr>
              <w:t>(2006</w:t>
            </w:r>
            <w:r w:rsidR="00711A52">
              <w:rPr>
                <w:b/>
                <w:lang w:val="es-MX"/>
              </w:rPr>
              <w:t>–</w:t>
            </w:r>
            <w:r w:rsidRPr="00BF033C">
              <w:rPr>
                <w:b/>
                <w:lang w:val="es-MX"/>
              </w:rPr>
              <w:t>2011)</w:t>
            </w:r>
          </w:p>
        </w:tc>
      </w:tr>
      <w:tr w:rsidR="00C873DA" w14:paraId="25F3CB9A" w14:textId="77777777" w:rsidTr="00DC65D6">
        <w:tc>
          <w:tcPr>
            <w:tcW w:w="3539" w:type="dxa"/>
          </w:tcPr>
          <w:p w14:paraId="64A2F8DD" w14:textId="77777777" w:rsidR="00C873DA" w:rsidRPr="00E42C7E" w:rsidRDefault="00C873DA" w:rsidP="00C873DA">
            <w:pPr>
              <w:pStyle w:val="NoSpacing"/>
              <w:spacing w:line="240" w:lineRule="auto"/>
              <w:ind w:firstLine="0"/>
              <w:rPr>
                <w:b/>
              </w:rPr>
            </w:pPr>
            <w:r w:rsidRPr="00E42C7E">
              <w:rPr>
                <w:b/>
              </w:rPr>
              <w:t>% PRD municipalities from sample**</w:t>
            </w:r>
          </w:p>
          <w:p w14:paraId="2F615698" w14:textId="77777777" w:rsidR="00C873DA" w:rsidRPr="00E42C7E" w:rsidRDefault="00C873DA" w:rsidP="00C873DA">
            <w:pPr>
              <w:pStyle w:val="NoSpacing"/>
              <w:spacing w:line="240" w:lineRule="auto"/>
              <w:ind w:firstLine="0"/>
            </w:pPr>
            <w:r w:rsidRPr="00E42C7E">
              <w:rPr>
                <w:sz w:val="20"/>
                <w:szCs w:val="20"/>
              </w:rPr>
              <w:t>Source: State Electoral Institutes</w:t>
            </w:r>
          </w:p>
        </w:tc>
        <w:tc>
          <w:tcPr>
            <w:tcW w:w="2694" w:type="dxa"/>
          </w:tcPr>
          <w:p w14:paraId="4443CDC0" w14:textId="6FAFA67B" w:rsidR="00C873DA" w:rsidRPr="00E42C7E" w:rsidRDefault="00C873DA" w:rsidP="00C873DA">
            <w:pPr>
              <w:pStyle w:val="NoSpacing"/>
              <w:spacing w:line="240" w:lineRule="auto"/>
              <w:jc w:val="center"/>
            </w:pPr>
            <w:r w:rsidRPr="00E42C7E">
              <w:t>2005</w:t>
            </w:r>
            <w:r w:rsidR="00711A52">
              <w:t>–</w:t>
            </w:r>
            <w:r w:rsidRPr="00E42C7E">
              <w:t>2007: 46.87</w:t>
            </w:r>
          </w:p>
          <w:p w14:paraId="783911FE" w14:textId="4092A5F5" w:rsidR="00C873DA" w:rsidRPr="00E42C7E" w:rsidRDefault="00C873DA" w:rsidP="00C873DA">
            <w:pPr>
              <w:pStyle w:val="NoSpacing"/>
              <w:spacing w:line="240" w:lineRule="auto"/>
              <w:jc w:val="center"/>
            </w:pPr>
            <w:r w:rsidRPr="00E42C7E">
              <w:t>2008</w:t>
            </w:r>
            <w:r w:rsidR="00711A52">
              <w:t>–</w:t>
            </w:r>
            <w:r w:rsidRPr="00E42C7E">
              <w:t>2011: 59.37</w:t>
            </w:r>
          </w:p>
          <w:p w14:paraId="407435E9" w14:textId="77777777" w:rsidR="00C873DA" w:rsidRPr="00E42C7E" w:rsidRDefault="00C873DA" w:rsidP="00C873DA">
            <w:pPr>
              <w:pStyle w:val="NoSpacing"/>
              <w:spacing w:line="240" w:lineRule="auto"/>
              <w:jc w:val="center"/>
              <w:rPr>
                <w:b/>
              </w:rPr>
            </w:pPr>
            <w:r w:rsidRPr="00E42C7E">
              <w:rPr>
                <w:b/>
              </w:rPr>
              <w:t>Average: 53.12</w:t>
            </w:r>
          </w:p>
        </w:tc>
        <w:tc>
          <w:tcPr>
            <w:tcW w:w="3117" w:type="dxa"/>
          </w:tcPr>
          <w:p w14:paraId="4544F034" w14:textId="54F589C9" w:rsidR="00C873DA" w:rsidRPr="00E42C7E" w:rsidRDefault="00C873DA" w:rsidP="00C873DA">
            <w:pPr>
              <w:pStyle w:val="NoSpacing"/>
              <w:spacing w:line="240" w:lineRule="auto"/>
              <w:jc w:val="center"/>
            </w:pPr>
            <w:r w:rsidRPr="00E42C7E">
              <w:t>2007</w:t>
            </w:r>
            <w:r w:rsidR="00711A52">
              <w:t>–</w:t>
            </w:r>
            <w:r w:rsidRPr="00E42C7E">
              <w:t>2009: 4.5</w:t>
            </w:r>
            <w:r w:rsidR="00711A52">
              <w:t>0</w:t>
            </w:r>
          </w:p>
          <w:p w14:paraId="00BFDC74" w14:textId="6AB3BF6E" w:rsidR="00C873DA" w:rsidRPr="00E42C7E" w:rsidRDefault="00C873DA" w:rsidP="00C873DA">
            <w:pPr>
              <w:pStyle w:val="NoSpacing"/>
              <w:spacing w:line="240" w:lineRule="auto"/>
              <w:jc w:val="center"/>
            </w:pPr>
            <w:r w:rsidRPr="00E42C7E">
              <w:t>2010</w:t>
            </w:r>
            <w:r w:rsidR="00711A52">
              <w:t>–</w:t>
            </w:r>
            <w:r w:rsidRPr="00E42C7E">
              <w:t>2012: 13.64</w:t>
            </w:r>
          </w:p>
          <w:p w14:paraId="5B78EE49" w14:textId="77777777" w:rsidR="00C873DA" w:rsidRPr="00E42C7E" w:rsidRDefault="00C873DA" w:rsidP="00C873DA">
            <w:pPr>
              <w:pStyle w:val="NoSpacing"/>
              <w:spacing w:line="240" w:lineRule="auto"/>
              <w:jc w:val="center"/>
              <w:rPr>
                <w:b/>
              </w:rPr>
            </w:pPr>
            <w:r w:rsidRPr="00E42C7E">
              <w:rPr>
                <w:b/>
              </w:rPr>
              <w:t>Average: 9.07</w:t>
            </w:r>
          </w:p>
          <w:p w14:paraId="495A3D70" w14:textId="77777777" w:rsidR="00C873DA" w:rsidRPr="00E42C7E" w:rsidRDefault="00C873DA" w:rsidP="00C873DA">
            <w:pPr>
              <w:pStyle w:val="NoSpacing"/>
              <w:spacing w:line="240" w:lineRule="auto"/>
              <w:jc w:val="center"/>
              <w:rPr>
                <w:b/>
              </w:rPr>
            </w:pPr>
          </w:p>
        </w:tc>
      </w:tr>
      <w:tr w:rsidR="00C873DA" w14:paraId="0F1712EC" w14:textId="77777777" w:rsidTr="00DC65D6">
        <w:tc>
          <w:tcPr>
            <w:tcW w:w="3539" w:type="dxa"/>
          </w:tcPr>
          <w:p w14:paraId="14D6AB97" w14:textId="77777777" w:rsidR="00C873DA" w:rsidRPr="00E42C7E" w:rsidRDefault="00C873DA" w:rsidP="00C873DA">
            <w:pPr>
              <w:pStyle w:val="NoSpacing"/>
              <w:spacing w:line="240" w:lineRule="auto"/>
              <w:ind w:firstLine="0"/>
              <w:rPr>
                <w:b/>
              </w:rPr>
            </w:pPr>
            <w:r w:rsidRPr="00E42C7E">
              <w:rPr>
                <w:b/>
              </w:rPr>
              <w:lastRenderedPageBreak/>
              <w:t>% PRI municipalities from sample**</w:t>
            </w:r>
          </w:p>
          <w:p w14:paraId="2282FD71" w14:textId="77777777" w:rsidR="00C873DA" w:rsidRPr="00E42C7E" w:rsidRDefault="00C873DA" w:rsidP="00C873DA">
            <w:pPr>
              <w:pStyle w:val="NoSpacing"/>
              <w:spacing w:line="240" w:lineRule="auto"/>
              <w:ind w:firstLine="0"/>
            </w:pPr>
            <w:r w:rsidRPr="00E42C7E">
              <w:rPr>
                <w:sz w:val="20"/>
                <w:szCs w:val="20"/>
              </w:rPr>
              <w:t>Source: State Electoral Institutes</w:t>
            </w:r>
          </w:p>
        </w:tc>
        <w:tc>
          <w:tcPr>
            <w:tcW w:w="2694" w:type="dxa"/>
          </w:tcPr>
          <w:p w14:paraId="1641A049" w14:textId="0CC3CFE2" w:rsidR="00C873DA" w:rsidRPr="00E42C7E" w:rsidRDefault="00C873DA" w:rsidP="00C873DA">
            <w:pPr>
              <w:pStyle w:val="NoSpacing"/>
              <w:spacing w:line="240" w:lineRule="auto"/>
              <w:jc w:val="center"/>
            </w:pPr>
            <w:r w:rsidRPr="00E42C7E">
              <w:t>2005</w:t>
            </w:r>
            <w:r w:rsidR="00711A52">
              <w:t>–</w:t>
            </w:r>
            <w:r w:rsidRPr="00E42C7E">
              <w:t>2007: 46.87</w:t>
            </w:r>
          </w:p>
          <w:p w14:paraId="6EAEC7E4" w14:textId="4F0ABA50" w:rsidR="00C873DA" w:rsidRPr="00E42C7E" w:rsidRDefault="00C873DA" w:rsidP="00C873DA">
            <w:pPr>
              <w:pStyle w:val="NoSpacing"/>
              <w:spacing w:line="240" w:lineRule="auto"/>
              <w:jc w:val="center"/>
            </w:pPr>
            <w:r w:rsidRPr="00E42C7E">
              <w:t>2008</w:t>
            </w:r>
            <w:r w:rsidR="00711A52">
              <w:t>–</w:t>
            </w:r>
            <w:r w:rsidRPr="00E42C7E">
              <w:t>2011: 25</w:t>
            </w:r>
          </w:p>
          <w:p w14:paraId="42375895" w14:textId="77777777" w:rsidR="00C873DA" w:rsidRPr="00E42C7E" w:rsidRDefault="00C873DA" w:rsidP="00C873DA">
            <w:pPr>
              <w:pStyle w:val="NoSpacing"/>
              <w:spacing w:line="240" w:lineRule="auto"/>
              <w:jc w:val="center"/>
              <w:rPr>
                <w:b/>
              </w:rPr>
            </w:pPr>
            <w:r w:rsidRPr="00E42C7E">
              <w:rPr>
                <w:b/>
              </w:rPr>
              <w:t>Average: 35.94</w:t>
            </w:r>
          </w:p>
          <w:p w14:paraId="604E358D" w14:textId="77777777" w:rsidR="00C873DA" w:rsidRPr="00E42C7E" w:rsidRDefault="00C873DA" w:rsidP="00C873DA">
            <w:pPr>
              <w:pStyle w:val="NoSpacing"/>
              <w:spacing w:line="240" w:lineRule="auto"/>
              <w:jc w:val="center"/>
              <w:rPr>
                <w:b/>
              </w:rPr>
            </w:pPr>
          </w:p>
        </w:tc>
        <w:tc>
          <w:tcPr>
            <w:tcW w:w="3117" w:type="dxa"/>
          </w:tcPr>
          <w:p w14:paraId="336951DE" w14:textId="699A6527" w:rsidR="00C873DA" w:rsidRPr="00E42C7E" w:rsidRDefault="00C873DA" w:rsidP="00C873DA">
            <w:pPr>
              <w:pStyle w:val="NoSpacing"/>
              <w:spacing w:line="240" w:lineRule="auto"/>
              <w:jc w:val="center"/>
            </w:pPr>
            <w:r w:rsidRPr="00E42C7E">
              <w:t>2007</w:t>
            </w:r>
            <w:r w:rsidR="00711A52">
              <w:t>–</w:t>
            </w:r>
            <w:r w:rsidRPr="00E42C7E">
              <w:t>2009: 27.27</w:t>
            </w:r>
          </w:p>
          <w:p w14:paraId="6A767DD9" w14:textId="63277E0E" w:rsidR="00C873DA" w:rsidRPr="00E42C7E" w:rsidRDefault="00C873DA" w:rsidP="00C873DA">
            <w:pPr>
              <w:pStyle w:val="NoSpacing"/>
              <w:spacing w:line="240" w:lineRule="auto"/>
              <w:jc w:val="center"/>
            </w:pPr>
            <w:r w:rsidRPr="00E42C7E">
              <w:t>2010</w:t>
            </w:r>
            <w:r w:rsidR="00711A52">
              <w:t>–</w:t>
            </w:r>
            <w:r w:rsidRPr="00E42C7E">
              <w:t>2012: 36.36</w:t>
            </w:r>
          </w:p>
          <w:p w14:paraId="5EC6E39E" w14:textId="77777777" w:rsidR="00C873DA" w:rsidRPr="00E42C7E" w:rsidRDefault="00C873DA" w:rsidP="00C873DA">
            <w:pPr>
              <w:pStyle w:val="NoSpacing"/>
              <w:spacing w:line="240" w:lineRule="auto"/>
              <w:jc w:val="center"/>
              <w:rPr>
                <w:b/>
              </w:rPr>
            </w:pPr>
            <w:r w:rsidRPr="00E42C7E">
              <w:rPr>
                <w:b/>
              </w:rPr>
              <w:t>Average: 31.82</w:t>
            </w:r>
          </w:p>
        </w:tc>
      </w:tr>
      <w:tr w:rsidR="00C873DA" w14:paraId="097DE865" w14:textId="77777777" w:rsidTr="00DC65D6">
        <w:tc>
          <w:tcPr>
            <w:tcW w:w="3539" w:type="dxa"/>
          </w:tcPr>
          <w:p w14:paraId="033D9824" w14:textId="77777777" w:rsidR="00C873DA" w:rsidRPr="00E42C7E" w:rsidRDefault="00C873DA" w:rsidP="00C873DA">
            <w:pPr>
              <w:pStyle w:val="NoSpacing"/>
              <w:spacing w:line="240" w:lineRule="auto"/>
              <w:ind w:firstLine="0"/>
              <w:rPr>
                <w:b/>
              </w:rPr>
            </w:pPr>
            <w:r w:rsidRPr="00E42C7E">
              <w:rPr>
                <w:b/>
              </w:rPr>
              <w:t>% PAN municipalities from sample**</w:t>
            </w:r>
          </w:p>
          <w:p w14:paraId="0ECD52C3" w14:textId="77777777" w:rsidR="00C873DA" w:rsidRPr="00E42C7E" w:rsidRDefault="00C873DA" w:rsidP="00C873DA">
            <w:pPr>
              <w:pStyle w:val="NoSpacing"/>
              <w:spacing w:line="240" w:lineRule="auto"/>
              <w:ind w:firstLine="0"/>
            </w:pPr>
            <w:r w:rsidRPr="00E42C7E">
              <w:rPr>
                <w:sz w:val="20"/>
                <w:szCs w:val="20"/>
              </w:rPr>
              <w:t>Source: State Electoral Institutes</w:t>
            </w:r>
          </w:p>
        </w:tc>
        <w:tc>
          <w:tcPr>
            <w:tcW w:w="2694" w:type="dxa"/>
          </w:tcPr>
          <w:p w14:paraId="75ECB26B" w14:textId="7D1BC6B5" w:rsidR="00C873DA" w:rsidRPr="00E42C7E" w:rsidRDefault="00C873DA" w:rsidP="00C873DA">
            <w:pPr>
              <w:pStyle w:val="NoSpacing"/>
              <w:spacing w:line="240" w:lineRule="auto"/>
              <w:jc w:val="center"/>
            </w:pPr>
            <w:r w:rsidRPr="00E42C7E">
              <w:t>2005</w:t>
            </w:r>
            <w:r w:rsidR="00711A52">
              <w:t>–</w:t>
            </w:r>
            <w:r w:rsidRPr="00E42C7E">
              <w:t>2007: 6.25</w:t>
            </w:r>
          </w:p>
          <w:p w14:paraId="148599D3" w14:textId="2DA315FA" w:rsidR="00C873DA" w:rsidRPr="00E42C7E" w:rsidRDefault="00C873DA" w:rsidP="00C873DA">
            <w:pPr>
              <w:pStyle w:val="NoSpacing"/>
              <w:spacing w:line="240" w:lineRule="auto"/>
              <w:jc w:val="center"/>
            </w:pPr>
            <w:r w:rsidRPr="00E42C7E">
              <w:t>2008</w:t>
            </w:r>
            <w:r w:rsidR="00711A52">
              <w:t>–</w:t>
            </w:r>
            <w:r w:rsidRPr="00E42C7E">
              <w:t>2011: 15.62</w:t>
            </w:r>
          </w:p>
          <w:p w14:paraId="646AFD4E" w14:textId="77777777" w:rsidR="00C873DA" w:rsidRPr="00E42C7E" w:rsidRDefault="00C873DA" w:rsidP="00C873DA">
            <w:pPr>
              <w:pStyle w:val="NoSpacing"/>
              <w:spacing w:line="240" w:lineRule="auto"/>
              <w:jc w:val="center"/>
              <w:rPr>
                <w:b/>
              </w:rPr>
            </w:pPr>
            <w:r w:rsidRPr="00E42C7E">
              <w:rPr>
                <w:b/>
              </w:rPr>
              <w:t>Average: 10.93</w:t>
            </w:r>
          </w:p>
          <w:p w14:paraId="77848860" w14:textId="77777777" w:rsidR="00C873DA" w:rsidRPr="00E42C7E" w:rsidRDefault="00C873DA" w:rsidP="00C873DA">
            <w:pPr>
              <w:pStyle w:val="NoSpacing"/>
              <w:spacing w:line="240" w:lineRule="auto"/>
              <w:jc w:val="center"/>
              <w:rPr>
                <w:b/>
              </w:rPr>
            </w:pPr>
          </w:p>
        </w:tc>
        <w:tc>
          <w:tcPr>
            <w:tcW w:w="3117" w:type="dxa"/>
          </w:tcPr>
          <w:p w14:paraId="3270D26C" w14:textId="648ED3FC" w:rsidR="00C873DA" w:rsidRPr="00E42C7E" w:rsidRDefault="00C873DA" w:rsidP="00C873DA">
            <w:pPr>
              <w:pStyle w:val="NoSpacing"/>
              <w:spacing w:line="240" w:lineRule="auto"/>
              <w:jc w:val="center"/>
            </w:pPr>
            <w:r w:rsidRPr="00E42C7E">
              <w:t>2007</w:t>
            </w:r>
            <w:r w:rsidR="00711A52">
              <w:t>–</w:t>
            </w:r>
            <w:r w:rsidRPr="00E42C7E">
              <w:t>2009: 68.18</w:t>
            </w:r>
          </w:p>
          <w:p w14:paraId="2D454357" w14:textId="56676547" w:rsidR="00C873DA" w:rsidRPr="00E42C7E" w:rsidRDefault="00C873DA" w:rsidP="00C873DA">
            <w:pPr>
              <w:pStyle w:val="NoSpacing"/>
              <w:spacing w:line="240" w:lineRule="auto"/>
              <w:jc w:val="center"/>
            </w:pPr>
            <w:r w:rsidRPr="00E42C7E">
              <w:t>2010</w:t>
            </w:r>
            <w:r w:rsidR="00711A52">
              <w:t>–</w:t>
            </w:r>
            <w:r w:rsidRPr="00E42C7E">
              <w:t>2012: 50</w:t>
            </w:r>
          </w:p>
          <w:p w14:paraId="55352CBB" w14:textId="77777777" w:rsidR="00C873DA" w:rsidRPr="00E42C7E" w:rsidRDefault="00C873DA" w:rsidP="00C873DA">
            <w:pPr>
              <w:pStyle w:val="NoSpacing"/>
              <w:spacing w:line="240" w:lineRule="auto"/>
              <w:jc w:val="center"/>
              <w:rPr>
                <w:b/>
              </w:rPr>
            </w:pPr>
            <w:r w:rsidRPr="00E42C7E">
              <w:rPr>
                <w:b/>
              </w:rPr>
              <w:t>Average: 59.09</w:t>
            </w:r>
          </w:p>
          <w:p w14:paraId="7401F0C0" w14:textId="77777777" w:rsidR="00C873DA" w:rsidRPr="00E42C7E" w:rsidRDefault="00C873DA" w:rsidP="00C873DA">
            <w:pPr>
              <w:pStyle w:val="NoSpacing"/>
              <w:spacing w:line="240" w:lineRule="auto"/>
              <w:jc w:val="center"/>
              <w:rPr>
                <w:b/>
              </w:rPr>
            </w:pPr>
          </w:p>
        </w:tc>
      </w:tr>
      <w:tr w:rsidR="00C873DA" w14:paraId="1598AEFC" w14:textId="77777777" w:rsidTr="00DC65D6">
        <w:tc>
          <w:tcPr>
            <w:tcW w:w="9350" w:type="dxa"/>
            <w:gridSpan w:val="3"/>
          </w:tcPr>
          <w:p w14:paraId="3E491ADF" w14:textId="77777777" w:rsidR="00C873DA" w:rsidRDefault="00C873DA" w:rsidP="00C873DA">
            <w:pPr>
              <w:pStyle w:val="NoSpacing"/>
              <w:spacing w:line="240" w:lineRule="auto"/>
              <w:jc w:val="center"/>
              <w:rPr>
                <w:lang w:val="es-MX"/>
              </w:rPr>
            </w:pPr>
          </w:p>
        </w:tc>
      </w:tr>
      <w:tr w:rsidR="00C873DA" w14:paraId="33DAF701" w14:textId="77777777" w:rsidTr="00DC65D6">
        <w:tc>
          <w:tcPr>
            <w:tcW w:w="3539" w:type="dxa"/>
          </w:tcPr>
          <w:p w14:paraId="1D7DC873" w14:textId="77777777" w:rsidR="00C873DA" w:rsidRPr="001A026B" w:rsidRDefault="00C873DA" w:rsidP="00C873DA">
            <w:pPr>
              <w:pStyle w:val="NoSpacing"/>
              <w:spacing w:line="240" w:lineRule="auto"/>
              <w:ind w:firstLine="0"/>
              <w:rPr>
                <w:i/>
                <w:lang w:val="es-MX"/>
              </w:rPr>
            </w:pPr>
            <w:r w:rsidRPr="001A026B">
              <w:rPr>
                <w:i/>
                <w:lang w:val="es-MX"/>
              </w:rPr>
              <w:t>Narco</w:t>
            </w:r>
            <w:r>
              <w:rPr>
                <w:i/>
                <w:lang w:val="es-MX"/>
              </w:rPr>
              <w:t xml:space="preserve"> activity</w:t>
            </w:r>
          </w:p>
        </w:tc>
        <w:tc>
          <w:tcPr>
            <w:tcW w:w="2694" w:type="dxa"/>
          </w:tcPr>
          <w:p w14:paraId="7D7FA184" w14:textId="77777777" w:rsidR="00C873DA" w:rsidRDefault="00C873DA" w:rsidP="00C873DA">
            <w:pPr>
              <w:pStyle w:val="NoSpacing"/>
              <w:spacing w:line="240" w:lineRule="auto"/>
              <w:jc w:val="center"/>
              <w:rPr>
                <w:lang w:val="es-MX"/>
              </w:rPr>
            </w:pPr>
          </w:p>
        </w:tc>
        <w:tc>
          <w:tcPr>
            <w:tcW w:w="3117" w:type="dxa"/>
          </w:tcPr>
          <w:p w14:paraId="24643892" w14:textId="77777777" w:rsidR="00C873DA" w:rsidRDefault="00C873DA" w:rsidP="00C873DA">
            <w:pPr>
              <w:pStyle w:val="NoSpacing"/>
              <w:spacing w:line="240" w:lineRule="auto"/>
              <w:jc w:val="center"/>
              <w:rPr>
                <w:lang w:val="es-MX"/>
              </w:rPr>
            </w:pPr>
          </w:p>
        </w:tc>
      </w:tr>
      <w:tr w:rsidR="00C873DA" w:rsidRPr="00871611" w14:paraId="2315B8FD" w14:textId="77777777" w:rsidTr="00DC65D6">
        <w:tc>
          <w:tcPr>
            <w:tcW w:w="3539" w:type="dxa"/>
          </w:tcPr>
          <w:p w14:paraId="7242C384" w14:textId="77777777" w:rsidR="00C873DA" w:rsidRDefault="00C873DA" w:rsidP="00C873DA">
            <w:pPr>
              <w:pStyle w:val="NoSpacing"/>
              <w:spacing w:line="240" w:lineRule="auto"/>
              <w:ind w:firstLine="0"/>
              <w:rPr>
                <w:lang w:val="es-MX"/>
              </w:rPr>
            </w:pPr>
            <w:r>
              <w:rPr>
                <w:lang w:val="es-MX"/>
              </w:rPr>
              <w:t>Cartel presence &amp; inter-cartel conflict</w:t>
            </w:r>
          </w:p>
          <w:p w14:paraId="06539D36" w14:textId="77777777" w:rsidR="00C873DA" w:rsidRPr="00113AC0" w:rsidRDefault="00C873DA" w:rsidP="00C873DA">
            <w:pPr>
              <w:pStyle w:val="NoSpacing"/>
              <w:spacing w:line="240" w:lineRule="auto"/>
              <w:rPr>
                <w:sz w:val="16"/>
                <w:szCs w:val="16"/>
                <w:lang w:val="es-MX"/>
              </w:rPr>
            </w:pPr>
          </w:p>
        </w:tc>
        <w:tc>
          <w:tcPr>
            <w:tcW w:w="2694" w:type="dxa"/>
          </w:tcPr>
          <w:p w14:paraId="50C2D6A4" w14:textId="57A542DD" w:rsidR="00C873DA" w:rsidRDefault="00C873DA" w:rsidP="00335A46">
            <w:pPr>
              <w:pStyle w:val="NoSpacing"/>
              <w:spacing w:line="240" w:lineRule="auto"/>
              <w:ind w:firstLine="0"/>
              <w:jc w:val="right"/>
              <w:rPr>
                <w:lang w:val="es-MX"/>
              </w:rPr>
            </w:pPr>
            <w:r>
              <w:rPr>
                <w:lang w:val="es-MX"/>
              </w:rPr>
              <w:t>La Familia</w:t>
            </w:r>
            <w:r w:rsidR="00711A52">
              <w:rPr>
                <w:lang w:val="es-MX"/>
              </w:rPr>
              <w:t xml:space="preserve"> </w:t>
            </w:r>
            <w:r>
              <w:rPr>
                <w:lang w:val="es-MX"/>
              </w:rPr>
              <w:t>Michoacana</w:t>
            </w:r>
          </w:p>
          <w:p w14:paraId="5DB129FE" w14:textId="2265E392" w:rsidR="00C873DA" w:rsidRDefault="008833E7" w:rsidP="00335A46">
            <w:pPr>
              <w:pStyle w:val="NoSpacing"/>
              <w:spacing w:line="240" w:lineRule="auto"/>
              <w:rPr>
                <w:lang w:val="es-MX"/>
              </w:rPr>
            </w:pPr>
            <w:r>
              <w:rPr>
                <w:lang w:val="es-MX"/>
              </w:rPr>
              <w:t xml:space="preserve">       </w:t>
            </w:r>
            <w:r w:rsidR="00C873DA">
              <w:rPr>
                <w:lang w:val="es-MX"/>
              </w:rPr>
              <w:t>Zetas</w:t>
            </w:r>
          </w:p>
        </w:tc>
        <w:tc>
          <w:tcPr>
            <w:tcW w:w="3117" w:type="dxa"/>
          </w:tcPr>
          <w:p w14:paraId="70A4DBFF" w14:textId="77777777" w:rsidR="00C873DA" w:rsidRDefault="00C873DA" w:rsidP="00C873DA">
            <w:pPr>
              <w:pStyle w:val="NoSpacing"/>
              <w:spacing w:line="240" w:lineRule="auto"/>
              <w:jc w:val="center"/>
              <w:rPr>
                <w:lang w:val="es-MX"/>
              </w:rPr>
            </w:pPr>
            <w:r>
              <w:rPr>
                <w:lang w:val="es-MX"/>
              </w:rPr>
              <w:t>La Familia Michoacana</w:t>
            </w:r>
          </w:p>
          <w:p w14:paraId="7F98C6F6" w14:textId="77777777" w:rsidR="00C873DA" w:rsidRDefault="00C873DA" w:rsidP="00C873DA">
            <w:pPr>
              <w:pStyle w:val="NoSpacing"/>
              <w:spacing w:line="240" w:lineRule="auto"/>
              <w:jc w:val="center"/>
              <w:rPr>
                <w:lang w:val="es-MX"/>
              </w:rPr>
            </w:pPr>
            <w:r>
              <w:rPr>
                <w:lang w:val="es-MX"/>
              </w:rPr>
              <w:t>Zetas</w:t>
            </w:r>
          </w:p>
        </w:tc>
      </w:tr>
      <w:tr w:rsidR="00C873DA" w14:paraId="7580A61A" w14:textId="77777777" w:rsidTr="00DC65D6">
        <w:tc>
          <w:tcPr>
            <w:tcW w:w="3539" w:type="dxa"/>
          </w:tcPr>
          <w:p w14:paraId="60F6777E" w14:textId="1AD84B97" w:rsidR="00C873DA" w:rsidRPr="00A11749" w:rsidRDefault="00C873DA" w:rsidP="009D7A42">
            <w:pPr>
              <w:pStyle w:val="NoSpacing"/>
              <w:spacing w:line="240" w:lineRule="auto"/>
              <w:ind w:firstLine="0"/>
              <w:rPr>
                <w:sz w:val="16"/>
                <w:szCs w:val="16"/>
              </w:rPr>
            </w:pPr>
            <w:r w:rsidRPr="0094478B">
              <w:t>Drug-related murder rate</w:t>
            </w:r>
            <w:r>
              <w:t xml:space="preserve"> per 10,000 inhabitants, 2007</w:t>
            </w:r>
            <w:r w:rsidR="00711A52">
              <w:t>–</w:t>
            </w:r>
            <w:r>
              <w:t>2011*</w:t>
            </w:r>
          </w:p>
          <w:p w14:paraId="6A52FD0E" w14:textId="77777777" w:rsidR="00C873DA" w:rsidRPr="0094478B" w:rsidRDefault="00C873DA" w:rsidP="00C873DA">
            <w:pPr>
              <w:pStyle w:val="NoSpacing"/>
              <w:spacing w:line="240" w:lineRule="auto"/>
              <w:ind w:firstLine="0"/>
              <w:rPr>
                <w:sz w:val="20"/>
                <w:szCs w:val="20"/>
                <w:lang w:val="es-MX"/>
              </w:rPr>
            </w:pPr>
            <w:r>
              <w:rPr>
                <w:sz w:val="20"/>
                <w:szCs w:val="20"/>
                <w:lang w:val="es-MX"/>
              </w:rPr>
              <w:t>Source: CVM Dataset</w:t>
            </w:r>
          </w:p>
        </w:tc>
        <w:tc>
          <w:tcPr>
            <w:tcW w:w="2694" w:type="dxa"/>
          </w:tcPr>
          <w:p w14:paraId="0CC2EB97" w14:textId="77777777" w:rsidR="00C873DA" w:rsidRDefault="00C873DA" w:rsidP="00C873DA">
            <w:pPr>
              <w:pStyle w:val="NoSpacing"/>
              <w:spacing w:line="240" w:lineRule="auto"/>
              <w:jc w:val="center"/>
              <w:rPr>
                <w:lang w:val="es-MX"/>
              </w:rPr>
            </w:pPr>
            <w:r>
              <w:rPr>
                <w:lang w:val="es-MX"/>
              </w:rPr>
              <w:t>0.76</w:t>
            </w:r>
          </w:p>
        </w:tc>
        <w:tc>
          <w:tcPr>
            <w:tcW w:w="3117" w:type="dxa"/>
          </w:tcPr>
          <w:p w14:paraId="2CD4A9BE" w14:textId="77777777" w:rsidR="00C873DA" w:rsidRDefault="00C873DA" w:rsidP="00C873DA">
            <w:pPr>
              <w:pStyle w:val="NoSpacing"/>
              <w:spacing w:line="240" w:lineRule="auto"/>
              <w:jc w:val="center"/>
              <w:rPr>
                <w:lang w:val="es-MX"/>
              </w:rPr>
            </w:pPr>
            <w:r>
              <w:rPr>
                <w:lang w:val="es-MX"/>
              </w:rPr>
              <w:t>0.51</w:t>
            </w:r>
          </w:p>
        </w:tc>
      </w:tr>
      <w:tr w:rsidR="00C873DA" w14:paraId="3E62D7FB" w14:textId="77777777" w:rsidTr="00DC65D6">
        <w:tc>
          <w:tcPr>
            <w:tcW w:w="3539" w:type="dxa"/>
          </w:tcPr>
          <w:p w14:paraId="6371299B" w14:textId="77777777" w:rsidR="00C873DA" w:rsidRDefault="00C873DA" w:rsidP="00C873DA">
            <w:pPr>
              <w:pStyle w:val="NoSpacing"/>
              <w:spacing w:line="240" w:lineRule="auto"/>
              <w:ind w:firstLine="0"/>
              <w:rPr>
                <w:lang w:val="es-MX"/>
              </w:rPr>
            </w:pPr>
            <w:r>
              <w:rPr>
                <w:lang w:val="es-MX"/>
              </w:rPr>
              <w:t>Drug trafficking region</w:t>
            </w:r>
          </w:p>
          <w:p w14:paraId="07560A63" w14:textId="77777777" w:rsidR="00C873DA" w:rsidRDefault="00C873DA" w:rsidP="00C873DA">
            <w:pPr>
              <w:pStyle w:val="NoSpacing"/>
              <w:spacing w:line="240" w:lineRule="auto"/>
              <w:rPr>
                <w:lang w:val="es-MX"/>
              </w:rPr>
            </w:pPr>
          </w:p>
        </w:tc>
        <w:tc>
          <w:tcPr>
            <w:tcW w:w="2694" w:type="dxa"/>
          </w:tcPr>
          <w:p w14:paraId="0AD91ABC" w14:textId="77777777" w:rsidR="00C873DA" w:rsidRDefault="00C873DA" w:rsidP="00C873DA">
            <w:pPr>
              <w:pStyle w:val="NoSpacing"/>
              <w:spacing w:line="240" w:lineRule="auto"/>
              <w:jc w:val="center"/>
              <w:rPr>
                <w:lang w:val="es-MX"/>
              </w:rPr>
            </w:pPr>
            <w:r>
              <w:rPr>
                <w:lang w:val="es-MX"/>
              </w:rPr>
              <w:t>YES</w:t>
            </w:r>
          </w:p>
        </w:tc>
        <w:tc>
          <w:tcPr>
            <w:tcW w:w="3117" w:type="dxa"/>
          </w:tcPr>
          <w:p w14:paraId="45E35C90" w14:textId="77777777" w:rsidR="00C873DA" w:rsidRDefault="00C873DA" w:rsidP="00C873DA">
            <w:pPr>
              <w:pStyle w:val="NoSpacing"/>
              <w:spacing w:line="240" w:lineRule="auto"/>
              <w:jc w:val="center"/>
              <w:rPr>
                <w:lang w:val="es-MX"/>
              </w:rPr>
            </w:pPr>
            <w:r>
              <w:rPr>
                <w:lang w:val="es-MX"/>
              </w:rPr>
              <w:t>YES</w:t>
            </w:r>
          </w:p>
        </w:tc>
      </w:tr>
      <w:tr w:rsidR="00C873DA" w14:paraId="0DA34194" w14:textId="77777777" w:rsidTr="00DC65D6">
        <w:tc>
          <w:tcPr>
            <w:tcW w:w="3539" w:type="dxa"/>
          </w:tcPr>
          <w:p w14:paraId="549FA1AA" w14:textId="6DC4139C" w:rsidR="00C873DA" w:rsidRPr="00113AC0" w:rsidRDefault="00C873DA" w:rsidP="009D7A42">
            <w:pPr>
              <w:pStyle w:val="NoSpacing"/>
              <w:spacing w:line="240" w:lineRule="auto"/>
              <w:ind w:firstLine="0"/>
              <w:rPr>
                <w:sz w:val="16"/>
                <w:szCs w:val="16"/>
                <w:lang w:val="es-MX"/>
              </w:rPr>
            </w:pPr>
            <w:r>
              <w:rPr>
                <w:lang w:val="es-MX"/>
              </w:rPr>
              <w:t>Marijuana crop eradication, 2007</w:t>
            </w:r>
            <w:r w:rsidR="00711A52">
              <w:rPr>
                <w:lang w:val="es-MX"/>
              </w:rPr>
              <w:t>–</w:t>
            </w:r>
            <w:r>
              <w:rPr>
                <w:lang w:val="es-MX"/>
              </w:rPr>
              <w:t>2010 (hectares)*</w:t>
            </w:r>
          </w:p>
          <w:p w14:paraId="0B09E07C" w14:textId="77777777" w:rsidR="00C873DA" w:rsidRDefault="00C873DA" w:rsidP="00C873DA">
            <w:pPr>
              <w:pStyle w:val="NoSpacing"/>
              <w:spacing w:line="240" w:lineRule="auto"/>
              <w:ind w:firstLine="0"/>
              <w:rPr>
                <w:lang w:val="es-MX"/>
              </w:rPr>
            </w:pPr>
            <w:r w:rsidRPr="0094478B">
              <w:rPr>
                <w:sz w:val="20"/>
                <w:szCs w:val="20"/>
                <w:lang w:val="es-MX"/>
              </w:rPr>
              <w:t xml:space="preserve">Source: </w:t>
            </w:r>
            <w:r>
              <w:rPr>
                <w:sz w:val="20"/>
                <w:szCs w:val="20"/>
                <w:lang w:val="es-MX"/>
              </w:rPr>
              <w:t xml:space="preserve">Sedena </w:t>
            </w:r>
          </w:p>
        </w:tc>
        <w:tc>
          <w:tcPr>
            <w:tcW w:w="2694" w:type="dxa"/>
          </w:tcPr>
          <w:p w14:paraId="14F5B3D7" w14:textId="77777777" w:rsidR="00C873DA" w:rsidRDefault="00C873DA" w:rsidP="00C873DA">
            <w:pPr>
              <w:pStyle w:val="NoSpacing"/>
              <w:spacing w:line="240" w:lineRule="auto"/>
              <w:jc w:val="center"/>
              <w:rPr>
                <w:lang w:val="es-MX"/>
              </w:rPr>
            </w:pPr>
            <w:r>
              <w:rPr>
                <w:lang w:val="es-MX"/>
              </w:rPr>
              <w:t>3.49</w:t>
            </w:r>
          </w:p>
        </w:tc>
        <w:tc>
          <w:tcPr>
            <w:tcW w:w="3117" w:type="dxa"/>
          </w:tcPr>
          <w:p w14:paraId="3100FAD3" w14:textId="77777777" w:rsidR="00C873DA" w:rsidRDefault="00C873DA" w:rsidP="00C873DA">
            <w:pPr>
              <w:pStyle w:val="NoSpacing"/>
              <w:spacing w:line="240" w:lineRule="auto"/>
              <w:jc w:val="center"/>
              <w:rPr>
                <w:lang w:val="es-MX"/>
              </w:rPr>
            </w:pPr>
            <w:r>
              <w:rPr>
                <w:lang w:val="es-MX"/>
              </w:rPr>
              <w:t>0.17</w:t>
            </w:r>
          </w:p>
        </w:tc>
      </w:tr>
      <w:tr w:rsidR="00C873DA" w14:paraId="121C5C2C" w14:textId="77777777" w:rsidTr="00DC65D6">
        <w:tc>
          <w:tcPr>
            <w:tcW w:w="3539" w:type="dxa"/>
          </w:tcPr>
          <w:p w14:paraId="604FD6D0" w14:textId="780D173F" w:rsidR="00C873DA" w:rsidRPr="00113AC0" w:rsidRDefault="00C873DA" w:rsidP="009D7A42">
            <w:pPr>
              <w:pStyle w:val="NoSpacing"/>
              <w:spacing w:line="240" w:lineRule="auto"/>
              <w:ind w:firstLine="0"/>
              <w:rPr>
                <w:sz w:val="16"/>
                <w:szCs w:val="16"/>
                <w:lang w:val="es-MX"/>
              </w:rPr>
            </w:pPr>
            <w:r>
              <w:rPr>
                <w:lang w:val="es-MX"/>
              </w:rPr>
              <w:t>Poppy crop eradication, 2007</w:t>
            </w:r>
            <w:r w:rsidR="00711A52">
              <w:rPr>
                <w:lang w:val="es-MX"/>
              </w:rPr>
              <w:t>–</w:t>
            </w:r>
            <w:r>
              <w:rPr>
                <w:lang w:val="es-MX"/>
              </w:rPr>
              <w:t>2010 (hectares)*</w:t>
            </w:r>
          </w:p>
          <w:p w14:paraId="71F0D7EE" w14:textId="77777777" w:rsidR="00C873DA" w:rsidRDefault="00C873DA" w:rsidP="00C873DA">
            <w:pPr>
              <w:pStyle w:val="NoSpacing"/>
              <w:spacing w:line="240" w:lineRule="auto"/>
              <w:ind w:firstLine="0"/>
              <w:rPr>
                <w:lang w:val="es-MX"/>
              </w:rPr>
            </w:pPr>
            <w:r w:rsidRPr="0094478B">
              <w:rPr>
                <w:sz w:val="20"/>
                <w:szCs w:val="20"/>
                <w:lang w:val="es-MX"/>
              </w:rPr>
              <w:t xml:space="preserve">Source: </w:t>
            </w:r>
            <w:r>
              <w:rPr>
                <w:sz w:val="20"/>
                <w:szCs w:val="20"/>
                <w:lang w:val="es-MX"/>
              </w:rPr>
              <w:t xml:space="preserve">Sedena </w:t>
            </w:r>
          </w:p>
        </w:tc>
        <w:tc>
          <w:tcPr>
            <w:tcW w:w="2694" w:type="dxa"/>
          </w:tcPr>
          <w:p w14:paraId="3F98B4A8" w14:textId="77777777" w:rsidR="00C873DA" w:rsidRDefault="00C873DA" w:rsidP="00C873DA">
            <w:pPr>
              <w:pStyle w:val="NoSpacing"/>
              <w:spacing w:line="240" w:lineRule="auto"/>
              <w:jc w:val="center"/>
              <w:rPr>
                <w:lang w:val="es-MX"/>
              </w:rPr>
            </w:pPr>
            <w:r>
              <w:rPr>
                <w:lang w:val="es-MX"/>
              </w:rPr>
              <w:t>0.02</w:t>
            </w:r>
          </w:p>
        </w:tc>
        <w:tc>
          <w:tcPr>
            <w:tcW w:w="3117" w:type="dxa"/>
          </w:tcPr>
          <w:p w14:paraId="605759C9" w14:textId="77777777" w:rsidR="00C873DA" w:rsidRDefault="00C873DA" w:rsidP="00C873DA">
            <w:pPr>
              <w:pStyle w:val="NoSpacing"/>
              <w:spacing w:line="240" w:lineRule="auto"/>
              <w:jc w:val="center"/>
              <w:rPr>
                <w:lang w:val="es-MX"/>
              </w:rPr>
            </w:pPr>
            <w:r>
              <w:rPr>
                <w:lang w:val="es-MX"/>
              </w:rPr>
              <w:t>0</w:t>
            </w:r>
          </w:p>
        </w:tc>
      </w:tr>
      <w:tr w:rsidR="00C873DA" w14:paraId="07A0C03C" w14:textId="77777777" w:rsidTr="00DC65D6">
        <w:tc>
          <w:tcPr>
            <w:tcW w:w="3539" w:type="dxa"/>
          </w:tcPr>
          <w:p w14:paraId="1D361BBA" w14:textId="58656C63" w:rsidR="00C873DA" w:rsidRPr="00871611" w:rsidRDefault="00C873DA" w:rsidP="009D7A42">
            <w:pPr>
              <w:pStyle w:val="NoSpacing"/>
              <w:spacing w:line="240" w:lineRule="auto"/>
              <w:ind w:firstLine="0"/>
              <w:rPr>
                <w:sz w:val="16"/>
                <w:szCs w:val="16"/>
              </w:rPr>
            </w:pPr>
            <w:r w:rsidRPr="00871611">
              <w:rPr>
                <w:b/>
              </w:rPr>
              <w:t>High-profile criminal attacks</w:t>
            </w:r>
            <w:r>
              <w:rPr>
                <w:b/>
              </w:rPr>
              <w:t>, 2008</w:t>
            </w:r>
            <w:r w:rsidR="00711A52">
              <w:rPr>
                <w:b/>
              </w:rPr>
              <w:t>–</w:t>
            </w:r>
            <w:r>
              <w:rPr>
                <w:b/>
              </w:rPr>
              <w:t>2011</w:t>
            </w:r>
          </w:p>
          <w:p w14:paraId="3FD277A0" w14:textId="77777777" w:rsidR="00C873DA" w:rsidRPr="00871611" w:rsidRDefault="00C873DA" w:rsidP="00C873DA">
            <w:pPr>
              <w:pStyle w:val="NoSpacing"/>
              <w:spacing w:line="240" w:lineRule="auto"/>
              <w:ind w:firstLine="0"/>
              <w:rPr>
                <w:b/>
              </w:rPr>
            </w:pPr>
            <w:r w:rsidRPr="00871611">
              <w:rPr>
                <w:sz w:val="20"/>
                <w:szCs w:val="20"/>
              </w:rPr>
              <w:t xml:space="preserve">Source: CAPAM Dataset </w:t>
            </w:r>
          </w:p>
        </w:tc>
        <w:tc>
          <w:tcPr>
            <w:tcW w:w="2694" w:type="dxa"/>
          </w:tcPr>
          <w:p w14:paraId="084412CA" w14:textId="77777777" w:rsidR="00C873DA" w:rsidRPr="00BF033C" w:rsidRDefault="00C873DA" w:rsidP="00C873DA">
            <w:pPr>
              <w:pStyle w:val="NoSpacing"/>
              <w:spacing w:line="240" w:lineRule="auto"/>
              <w:jc w:val="center"/>
              <w:rPr>
                <w:b/>
                <w:lang w:val="es-MX"/>
              </w:rPr>
            </w:pPr>
            <w:r>
              <w:rPr>
                <w:b/>
                <w:lang w:val="es-MX"/>
              </w:rPr>
              <w:t>5</w:t>
            </w:r>
          </w:p>
        </w:tc>
        <w:tc>
          <w:tcPr>
            <w:tcW w:w="3117" w:type="dxa"/>
          </w:tcPr>
          <w:p w14:paraId="369184CF" w14:textId="77777777" w:rsidR="00C873DA" w:rsidRPr="00BF033C" w:rsidRDefault="00C873DA" w:rsidP="00C873DA">
            <w:pPr>
              <w:pStyle w:val="NoSpacing"/>
              <w:spacing w:line="240" w:lineRule="auto"/>
              <w:jc w:val="center"/>
              <w:rPr>
                <w:b/>
                <w:lang w:val="es-MX"/>
              </w:rPr>
            </w:pPr>
            <w:r>
              <w:rPr>
                <w:b/>
                <w:lang w:val="es-MX"/>
              </w:rPr>
              <w:t>1</w:t>
            </w:r>
          </w:p>
        </w:tc>
      </w:tr>
    </w:tbl>
    <w:p w14:paraId="3CFB78C4" w14:textId="77777777" w:rsidR="00C873DA" w:rsidRDefault="00C873DA" w:rsidP="00C873DA">
      <w:pPr>
        <w:pStyle w:val="NoSpacing"/>
        <w:spacing w:line="240" w:lineRule="auto"/>
        <w:ind w:firstLine="0"/>
        <w:rPr>
          <w:sz w:val="20"/>
          <w:szCs w:val="20"/>
        </w:rPr>
      </w:pPr>
      <w:r>
        <w:rPr>
          <w:sz w:val="20"/>
          <w:szCs w:val="20"/>
        </w:rPr>
        <w:t>*Regional mean (includes only the municipalities under analysis).</w:t>
      </w:r>
    </w:p>
    <w:p w14:paraId="1654CF2C" w14:textId="45FBE56F" w:rsidR="00C873DA" w:rsidRDefault="00C873DA" w:rsidP="00C873DA">
      <w:pPr>
        <w:pStyle w:val="NoSpacing"/>
        <w:spacing w:line="240" w:lineRule="auto"/>
        <w:ind w:firstLine="0"/>
        <w:rPr>
          <w:sz w:val="20"/>
          <w:szCs w:val="20"/>
        </w:rPr>
      </w:pPr>
      <w:r w:rsidRPr="00E8043A">
        <w:rPr>
          <w:sz w:val="20"/>
          <w:szCs w:val="20"/>
        </w:rPr>
        <w:t>*</w:t>
      </w:r>
      <w:r>
        <w:rPr>
          <w:sz w:val="20"/>
          <w:szCs w:val="20"/>
        </w:rPr>
        <w:t>*</w:t>
      </w:r>
      <w:r w:rsidRPr="00E8043A">
        <w:rPr>
          <w:sz w:val="20"/>
          <w:szCs w:val="20"/>
        </w:rPr>
        <w:t>The sample includes the municipalities under analysis shown in Map</w:t>
      </w:r>
      <w:r>
        <w:rPr>
          <w:sz w:val="20"/>
          <w:szCs w:val="20"/>
        </w:rPr>
        <w:t xml:space="preserve"> 3 in the main </w:t>
      </w:r>
      <w:r w:rsidR="001240BE">
        <w:rPr>
          <w:sz w:val="20"/>
          <w:szCs w:val="20"/>
        </w:rPr>
        <w:t>article</w:t>
      </w:r>
      <w:r>
        <w:rPr>
          <w:sz w:val="20"/>
          <w:szCs w:val="20"/>
        </w:rPr>
        <w:t>.</w:t>
      </w:r>
    </w:p>
    <w:p w14:paraId="4E9C87E7" w14:textId="77777777" w:rsidR="00C873DA" w:rsidRDefault="00C873DA" w:rsidP="00C873DA">
      <w:pPr>
        <w:pStyle w:val="NoSpacing"/>
        <w:spacing w:line="240" w:lineRule="auto"/>
        <w:rPr>
          <w:sz w:val="20"/>
          <w:szCs w:val="20"/>
        </w:rPr>
      </w:pPr>
    </w:p>
    <w:p w14:paraId="6616763E" w14:textId="77777777" w:rsidR="00C873DA" w:rsidRDefault="00C873DA" w:rsidP="00C873DA">
      <w:pPr>
        <w:spacing w:line="240" w:lineRule="auto"/>
        <w:rPr>
          <w:rFonts w:ascii="Garamond" w:hAnsi="Garamond"/>
          <w:sz w:val="20"/>
          <w:szCs w:val="20"/>
        </w:rPr>
      </w:pPr>
      <w:r>
        <w:rPr>
          <w:rFonts w:ascii="Garamond" w:hAnsi="Garamond"/>
          <w:sz w:val="20"/>
          <w:szCs w:val="20"/>
        </w:rPr>
        <w:br w:type="page"/>
      </w:r>
    </w:p>
    <w:p w14:paraId="06C313C0" w14:textId="77777777" w:rsidR="00C873DA" w:rsidRPr="00C837A8" w:rsidRDefault="00C873DA" w:rsidP="00C873DA">
      <w:pPr>
        <w:pStyle w:val="NoSpacing"/>
        <w:spacing w:line="240" w:lineRule="auto"/>
        <w:ind w:firstLine="0"/>
        <w:rPr>
          <w:i/>
          <w:sz w:val="28"/>
          <w:szCs w:val="28"/>
          <w:lang w:val="es-MX"/>
        </w:rPr>
      </w:pPr>
      <w:r w:rsidRPr="00C837A8">
        <w:rPr>
          <w:i/>
          <w:sz w:val="28"/>
          <w:szCs w:val="28"/>
          <w:lang w:val="es-MX"/>
        </w:rPr>
        <w:lastRenderedPageBreak/>
        <w:t>Information Sources</w:t>
      </w:r>
    </w:p>
    <w:p w14:paraId="04D95D75" w14:textId="77777777" w:rsidR="00C873DA" w:rsidRPr="00D1335E" w:rsidRDefault="00C873DA" w:rsidP="00C873DA">
      <w:pPr>
        <w:pStyle w:val="NoSpacing"/>
        <w:spacing w:line="240" w:lineRule="auto"/>
        <w:rPr>
          <w:i/>
          <w:lang w:val="es-MX"/>
        </w:rPr>
      </w:pPr>
    </w:p>
    <w:p w14:paraId="7B98E9E6" w14:textId="6B9DBA80" w:rsidR="00295B19" w:rsidRDefault="00295B19" w:rsidP="008D3578">
      <w:pPr>
        <w:pStyle w:val="NoSpacing"/>
        <w:spacing w:line="240" w:lineRule="auto"/>
        <w:ind w:firstLine="0"/>
        <w:rPr>
          <w:lang w:val="es-MX"/>
        </w:rPr>
      </w:pPr>
      <w:r>
        <w:rPr>
          <w:lang w:val="es-MX"/>
        </w:rPr>
        <w:t>Á</w:t>
      </w:r>
      <w:r w:rsidRPr="00634085">
        <w:rPr>
          <w:lang w:val="es-MX"/>
        </w:rPr>
        <w:t>lvarez,</w:t>
      </w:r>
      <w:r>
        <w:rPr>
          <w:lang w:val="es-MX"/>
        </w:rPr>
        <w:t xml:space="preserve"> Xóchitl. 2009.</w:t>
      </w:r>
      <w:r w:rsidRPr="00634085">
        <w:rPr>
          <w:lang w:val="es-MX"/>
        </w:rPr>
        <w:t xml:space="preserve"> </w:t>
      </w:r>
      <w:r>
        <w:rPr>
          <w:lang w:val="es-MX"/>
        </w:rPr>
        <w:t>“Violencia en Guanaj</w:t>
      </w:r>
      <w:r w:rsidRPr="00634085">
        <w:rPr>
          <w:lang w:val="es-MX"/>
        </w:rPr>
        <w:t>u</w:t>
      </w:r>
      <w:r>
        <w:rPr>
          <w:lang w:val="es-MX"/>
        </w:rPr>
        <w:t>a</w:t>
      </w:r>
      <w:r w:rsidRPr="00634085">
        <w:rPr>
          <w:lang w:val="es-MX"/>
        </w:rPr>
        <w:t>to por venganza de narcos</w:t>
      </w:r>
      <w:r w:rsidR="00930CDB">
        <w:rPr>
          <w:lang w:val="es-MX"/>
        </w:rPr>
        <w:t>.</w:t>
      </w:r>
      <w:r>
        <w:rPr>
          <w:lang w:val="es-MX"/>
        </w:rPr>
        <w:t xml:space="preserve">” </w:t>
      </w:r>
      <w:r w:rsidRPr="008D3578">
        <w:rPr>
          <w:i/>
          <w:lang w:val="es-MX"/>
        </w:rPr>
        <w:t>El Universal</w:t>
      </w:r>
      <w:r>
        <w:rPr>
          <w:lang w:val="es-MX"/>
        </w:rPr>
        <w:t>, Nov 23.</w:t>
      </w:r>
    </w:p>
    <w:p w14:paraId="0024628F" w14:textId="77777777" w:rsidR="00295B19" w:rsidRDefault="00295B19" w:rsidP="008D3578">
      <w:pPr>
        <w:pStyle w:val="NoSpacing"/>
        <w:spacing w:line="240" w:lineRule="auto"/>
        <w:ind w:firstLine="0"/>
        <w:rPr>
          <w:lang w:val="es-MX"/>
        </w:rPr>
      </w:pPr>
    </w:p>
    <w:p w14:paraId="75A7C585" w14:textId="1D089EE9" w:rsidR="00776FAE" w:rsidRPr="00634085" w:rsidRDefault="00776FAE" w:rsidP="008D3578">
      <w:pPr>
        <w:pStyle w:val="NoSpacing"/>
        <w:ind w:firstLine="0"/>
        <w:rPr>
          <w:lang w:val="es-MX"/>
        </w:rPr>
      </w:pPr>
      <w:r>
        <w:rPr>
          <w:lang w:val="es-MX"/>
        </w:rPr>
        <w:t xml:space="preserve">__________. 2011. </w:t>
      </w:r>
      <w:r w:rsidRPr="00634085">
        <w:rPr>
          <w:lang w:val="es-MX"/>
        </w:rPr>
        <w:t>“Guanajuato investiga a 66 agentes por narco</w:t>
      </w:r>
      <w:r w:rsidR="00930CDB">
        <w:rPr>
          <w:lang w:val="es-MX"/>
        </w:rPr>
        <w:t>.</w:t>
      </w:r>
      <w:r w:rsidRPr="00634085">
        <w:rPr>
          <w:lang w:val="es-MX"/>
        </w:rPr>
        <w:t>”</w:t>
      </w:r>
      <w:r>
        <w:rPr>
          <w:lang w:val="es-MX"/>
        </w:rPr>
        <w:t xml:space="preserve"> </w:t>
      </w:r>
      <w:r w:rsidRPr="008D3578">
        <w:rPr>
          <w:i/>
          <w:lang w:val="es-MX"/>
        </w:rPr>
        <w:t>El Universal</w:t>
      </w:r>
      <w:r>
        <w:rPr>
          <w:lang w:val="es-MX"/>
        </w:rPr>
        <w:t>, May 13.</w:t>
      </w:r>
    </w:p>
    <w:p w14:paraId="51BCF7B0" w14:textId="77777777" w:rsidR="00FE6A76" w:rsidRPr="008D3578" w:rsidRDefault="00FE6A76" w:rsidP="00FE6A76">
      <w:pPr>
        <w:pStyle w:val="NoSpacing"/>
        <w:spacing w:line="240" w:lineRule="auto"/>
        <w:ind w:left="426" w:hanging="426"/>
        <w:rPr>
          <w:lang w:val="es-MX"/>
        </w:rPr>
      </w:pPr>
    </w:p>
    <w:p w14:paraId="5977039C" w14:textId="77777777" w:rsidR="00FE6A76" w:rsidRPr="007D21B3" w:rsidRDefault="00FE6A76" w:rsidP="00FE6A76">
      <w:pPr>
        <w:pStyle w:val="NoSpacing"/>
        <w:spacing w:line="240" w:lineRule="auto"/>
        <w:ind w:left="426" w:hanging="426"/>
      </w:pPr>
      <w:r>
        <w:rPr>
          <w:lang w:val="es-MX"/>
        </w:rPr>
        <w:t xml:space="preserve">Conapo (Consejo Nacional de Población). 2010. Índice de Marginación. </w:t>
      </w:r>
      <w:r w:rsidRPr="00760B7D">
        <w:t xml:space="preserve">Mexico City: Conapo. </w:t>
      </w:r>
      <w:r w:rsidRPr="007D21B3">
        <w:t xml:space="preserve">Available at: </w:t>
      </w:r>
      <w:hyperlink r:id="rId8" w:history="1">
        <w:r w:rsidRPr="007D21B3">
          <w:rPr>
            <w:rStyle w:val="Hyperlink"/>
          </w:rPr>
          <w:t>http://www.conapo.gob.mx/es/CONAPO/Indices_de_Marginacion_Publicaciones</w:t>
        </w:r>
      </w:hyperlink>
      <w:r>
        <w:rPr>
          <w:rStyle w:val="Hyperlink"/>
          <w:color w:val="auto"/>
          <w:u w:val="none"/>
        </w:rPr>
        <w:t>.</w:t>
      </w:r>
      <w:r w:rsidRPr="007D21B3">
        <w:t xml:space="preserve"> </w:t>
      </w:r>
    </w:p>
    <w:p w14:paraId="24449228" w14:textId="77777777" w:rsidR="00776FAE" w:rsidRPr="009D7A42" w:rsidRDefault="00776FAE" w:rsidP="008D3578">
      <w:pPr>
        <w:pStyle w:val="NoSpacing"/>
        <w:spacing w:line="240" w:lineRule="auto"/>
        <w:ind w:firstLine="0"/>
      </w:pPr>
    </w:p>
    <w:p w14:paraId="21E30788" w14:textId="1C383184" w:rsidR="00C873DA" w:rsidRPr="00760B7D" w:rsidRDefault="00930CDB" w:rsidP="00C873DA">
      <w:pPr>
        <w:pStyle w:val="NoSpacing"/>
        <w:spacing w:line="240" w:lineRule="auto"/>
        <w:ind w:left="426" w:hanging="426"/>
      </w:pPr>
      <w:r>
        <w:rPr>
          <w:lang w:val="es-MX"/>
        </w:rPr>
        <w:t>Coneval</w:t>
      </w:r>
      <w:r w:rsidRPr="00E155C0">
        <w:rPr>
          <w:lang w:val="es-MX"/>
        </w:rPr>
        <w:t xml:space="preserve"> </w:t>
      </w:r>
      <w:r>
        <w:rPr>
          <w:lang w:val="es-MX"/>
        </w:rPr>
        <w:t>(</w:t>
      </w:r>
      <w:r w:rsidR="00C873DA" w:rsidRPr="00E155C0">
        <w:rPr>
          <w:lang w:val="es-MX"/>
        </w:rPr>
        <w:t xml:space="preserve">Consejo </w:t>
      </w:r>
      <w:r w:rsidR="00C873DA">
        <w:rPr>
          <w:lang w:val="es-MX"/>
        </w:rPr>
        <w:t>Naci</w:t>
      </w:r>
      <w:r w:rsidR="00C873DA" w:rsidRPr="00E155C0">
        <w:rPr>
          <w:lang w:val="es-MX"/>
        </w:rPr>
        <w:t>onal de Evaluación de la Política de Desarrollo Social</w:t>
      </w:r>
      <w:r w:rsidR="00C873DA">
        <w:rPr>
          <w:lang w:val="es-MX"/>
        </w:rPr>
        <w:t>)</w:t>
      </w:r>
      <w:r w:rsidR="00C873DA" w:rsidRPr="00E155C0">
        <w:rPr>
          <w:lang w:val="es-MX"/>
        </w:rPr>
        <w:t xml:space="preserve">. </w:t>
      </w:r>
      <w:r w:rsidR="00C873DA">
        <w:rPr>
          <w:lang w:val="es-MX"/>
        </w:rPr>
        <w:t xml:space="preserve">2010. Indicadores de Desigualdad. </w:t>
      </w:r>
      <w:r w:rsidR="007D21B3" w:rsidRPr="00760B7D">
        <w:t xml:space="preserve">Mexico City: </w:t>
      </w:r>
      <w:r w:rsidR="00C873DA" w:rsidRPr="00760B7D">
        <w:t xml:space="preserve">Coneval. Available at: </w:t>
      </w:r>
      <w:hyperlink r:id="rId9" w:history="1">
        <w:r w:rsidR="00C873DA" w:rsidRPr="00760B7D">
          <w:rPr>
            <w:rStyle w:val="Hyperlink"/>
          </w:rPr>
          <w:t>https://www.coneval.org.mx/coordinacion/Paginas/principal.aspx</w:t>
        </w:r>
      </w:hyperlink>
      <w:r w:rsidR="00F14771" w:rsidRPr="00760B7D">
        <w:rPr>
          <w:rStyle w:val="Hyperlink"/>
          <w:color w:val="auto"/>
          <w:u w:val="none"/>
        </w:rPr>
        <w:t>.</w:t>
      </w:r>
      <w:r w:rsidR="00C873DA" w:rsidRPr="00760B7D">
        <w:t xml:space="preserve"> </w:t>
      </w:r>
    </w:p>
    <w:p w14:paraId="2A841366" w14:textId="77777777" w:rsidR="00C873DA" w:rsidRPr="00760B7D" w:rsidRDefault="00C873DA" w:rsidP="00C873DA">
      <w:pPr>
        <w:pStyle w:val="NoSpacing"/>
        <w:spacing w:line="240" w:lineRule="auto"/>
        <w:ind w:left="426" w:hanging="426"/>
      </w:pPr>
    </w:p>
    <w:p w14:paraId="0F6A27CD" w14:textId="2B6D93E9" w:rsidR="00BE22B0" w:rsidRDefault="00BE22B0" w:rsidP="00BE22B0">
      <w:pPr>
        <w:pStyle w:val="Normal1"/>
        <w:ind w:left="720" w:hanging="720"/>
        <w:rPr>
          <w:rFonts w:ascii="Garamond" w:eastAsia="Times New Roman" w:hAnsi="Garamond" w:cs="Times New Roman"/>
          <w:color w:val="000000" w:themeColor="text1"/>
          <w:sz w:val="24"/>
          <w:szCs w:val="24"/>
          <w:lang w:val="es-MX"/>
        </w:rPr>
      </w:pPr>
      <w:r>
        <w:rPr>
          <w:rFonts w:ascii="Garamond" w:eastAsia="Times New Roman" w:hAnsi="Garamond" w:cs="Times New Roman"/>
          <w:color w:val="000000" w:themeColor="text1"/>
          <w:sz w:val="24"/>
          <w:szCs w:val="24"/>
          <w:lang w:val="es-MX"/>
        </w:rPr>
        <w:t>El Sol del Bajío. 2011. “Deslindan al alcalde de Tarandacuao del narco</w:t>
      </w:r>
      <w:r w:rsidR="00FE6A76">
        <w:rPr>
          <w:rFonts w:ascii="Garamond" w:eastAsia="Times New Roman" w:hAnsi="Garamond" w:cs="Times New Roman"/>
          <w:color w:val="000000" w:themeColor="text1"/>
          <w:sz w:val="24"/>
          <w:szCs w:val="24"/>
          <w:lang w:val="es-MX"/>
        </w:rPr>
        <w:t>.</w:t>
      </w:r>
      <w:r>
        <w:rPr>
          <w:rFonts w:ascii="Garamond" w:eastAsia="Times New Roman" w:hAnsi="Garamond" w:cs="Times New Roman"/>
          <w:color w:val="000000" w:themeColor="text1"/>
          <w:sz w:val="24"/>
          <w:szCs w:val="24"/>
          <w:lang w:val="es-MX"/>
        </w:rPr>
        <w:t xml:space="preserve">” </w:t>
      </w:r>
      <w:r w:rsidRPr="007E5FE2">
        <w:rPr>
          <w:rFonts w:ascii="Garamond" w:eastAsia="Times New Roman" w:hAnsi="Garamond" w:cs="Times New Roman"/>
          <w:i/>
          <w:color w:val="000000" w:themeColor="text1"/>
          <w:sz w:val="24"/>
          <w:szCs w:val="24"/>
          <w:lang w:val="es-MX"/>
        </w:rPr>
        <w:t>El Sol del Bajío</w:t>
      </w:r>
      <w:r>
        <w:rPr>
          <w:rFonts w:ascii="Garamond" w:eastAsia="Times New Roman" w:hAnsi="Garamond" w:cs="Times New Roman"/>
          <w:color w:val="000000" w:themeColor="text1"/>
          <w:sz w:val="24"/>
          <w:szCs w:val="24"/>
          <w:lang w:val="es-MX"/>
        </w:rPr>
        <w:t xml:space="preserve">, May 2. </w:t>
      </w:r>
    </w:p>
    <w:p w14:paraId="7740633C" w14:textId="4B2C209F" w:rsidR="00295B19" w:rsidRDefault="00295B19" w:rsidP="008D3578">
      <w:pPr>
        <w:pStyle w:val="NoSpacing"/>
        <w:spacing w:line="240" w:lineRule="auto"/>
        <w:ind w:firstLine="0"/>
        <w:rPr>
          <w:lang w:val="es-MX"/>
        </w:rPr>
      </w:pPr>
      <w:r>
        <w:rPr>
          <w:lang w:val="es-MX"/>
        </w:rPr>
        <w:t>Espinosa, Verónica. 2012. “Operan en Guanajuato cinco cárteles: Procuraduría</w:t>
      </w:r>
      <w:r w:rsidR="00FE6A76">
        <w:rPr>
          <w:lang w:val="es-MX"/>
        </w:rPr>
        <w:t>.</w:t>
      </w:r>
      <w:r>
        <w:rPr>
          <w:lang w:val="es-MX"/>
        </w:rPr>
        <w:t xml:space="preserve">” </w:t>
      </w:r>
      <w:r w:rsidRPr="008D3578">
        <w:rPr>
          <w:i/>
          <w:lang w:val="es-MX"/>
        </w:rPr>
        <w:t>Proceso</w:t>
      </w:r>
      <w:r>
        <w:rPr>
          <w:lang w:val="es-MX"/>
        </w:rPr>
        <w:t>, March 16.</w:t>
      </w:r>
    </w:p>
    <w:p w14:paraId="43CFFE27" w14:textId="77777777" w:rsidR="00295B19" w:rsidRDefault="00295B19" w:rsidP="008D3578">
      <w:pPr>
        <w:pStyle w:val="NoSpacing"/>
        <w:spacing w:line="240" w:lineRule="auto"/>
        <w:ind w:firstLine="0"/>
        <w:rPr>
          <w:lang w:val="es-MX"/>
        </w:rPr>
      </w:pPr>
    </w:p>
    <w:p w14:paraId="141A5F6B" w14:textId="3C9FD70D" w:rsidR="00BE22B0" w:rsidRDefault="004311CE" w:rsidP="00BE22B0">
      <w:pPr>
        <w:pStyle w:val="NoSpacing"/>
        <w:spacing w:line="240" w:lineRule="auto"/>
        <w:ind w:left="426" w:hanging="426"/>
        <w:rPr>
          <w:lang w:val="es-MX"/>
        </w:rPr>
      </w:pPr>
      <w:r>
        <w:rPr>
          <w:lang w:val="es-MX"/>
        </w:rPr>
        <w:t>Excélsior</w:t>
      </w:r>
      <w:r w:rsidR="00BE22B0">
        <w:rPr>
          <w:lang w:val="es-MX"/>
        </w:rPr>
        <w:t>. 2011. “Detienen a 130 policías de Acámbaro por nexos con el Narco</w:t>
      </w:r>
      <w:r w:rsidR="00FE6A76">
        <w:rPr>
          <w:lang w:val="es-MX"/>
        </w:rPr>
        <w:t>.</w:t>
      </w:r>
      <w:r w:rsidR="00BE22B0">
        <w:rPr>
          <w:lang w:val="es-MX"/>
        </w:rPr>
        <w:t xml:space="preserve">” </w:t>
      </w:r>
      <w:r w:rsidR="00BE22B0" w:rsidRPr="00BE22B0">
        <w:rPr>
          <w:i/>
          <w:lang w:val="es-MX"/>
        </w:rPr>
        <w:t>Excé</w:t>
      </w:r>
      <w:r w:rsidR="00BE22B0" w:rsidRPr="008D3578">
        <w:rPr>
          <w:i/>
          <w:lang w:val="es-MX"/>
        </w:rPr>
        <w:t>lsior</w:t>
      </w:r>
      <w:r w:rsidR="00BE22B0">
        <w:rPr>
          <w:lang w:val="es-MX"/>
        </w:rPr>
        <w:t xml:space="preserve">, May 4. </w:t>
      </w:r>
    </w:p>
    <w:p w14:paraId="52CB55E6" w14:textId="77777777" w:rsidR="00BE22B0" w:rsidRDefault="00BE22B0" w:rsidP="00BE22B0">
      <w:pPr>
        <w:pStyle w:val="NoSpacing"/>
        <w:spacing w:line="240" w:lineRule="auto"/>
        <w:ind w:left="426" w:hanging="426"/>
        <w:rPr>
          <w:lang w:val="es-MX"/>
        </w:rPr>
      </w:pPr>
    </w:p>
    <w:p w14:paraId="34E9767A" w14:textId="5C62887C" w:rsidR="00AF746A" w:rsidRPr="009D7A42" w:rsidRDefault="00AF746A" w:rsidP="00AF746A">
      <w:pPr>
        <w:spacing w:line="360" w:lineRule="auto"/>
        <w:ind w:left="720" w:hanging="720"/>
        <w:rPr>
          <w:rFonts w:ascii="Garamond" w:hAnsi="Garamond"/>
          <w:sz w:val="24"/>
          <w:szCs w:val="24"/>
          <w:lang w:val="es-MX"/>
        </w:rPr>
      </w:pPr>
      <w:r w:rsidRPr="009D7A42">
        <w:rPr>
          <w:rFonts w:ascii="Garamond" w:hAnsi="Garamond" w:cs="Arial"/>
          <w:sz w:val="24"/>
          <w:szCs w:val="24"/>
          <w:shd w:val="clear" w:color="auto" w:fill="FFFFFF"/>
          <w:lang w:val="es-MX"/>
        </w:rPr>
        <w:t>Grillo</w:t>
      </w:r>
      <w:r w:rsidR="00975F9D" w:rsidRPr="009D7A42">
        <w:rPr>
          <w:rFonts w:ascii="Garamond" w:hAnsi="Garamond" w:cs="Arial"/>
          <w:sz w:val="24"/>
          <w:szCs w:val="24"/>
          <w:shd w:val="clear" w:color="auto" w:fill="FFFFFF"/>
          <w:lang w:val="es-MX"/>
        </w:rPr>
        <w:t xml:space="preserve">, Ioan. </w:t>
      </w:r>
      <w:r w:rsidRPr="009D7A42">
        <w:rPr>
          <w:rFonts w:ascii="Garamond" w:hAnsi="Garamond" w:cs="Arial"/>
          <w:sz w:val="24"/>
          <w:szCs w:val="24"/>
          <w:shd w:val="clear" w:color="auto" w:fill="FFFFFF"/>
          <w:lang w:val="es-MX"/>
        </w:rPr>
        <w:t>2011.</w:t>
      </w:r>
      <w:r w:rsidRPr="009D7A42">
        <w:rPr>
          <w:rStyle w:val="apple-converted-space"/>
          <w:rFonts w:ascii="Garamond" w:hAnsi="Garamond" w:cs="Arial"/>
          <w:sz w:val="24"/>
          <w:szCs w:val="24"/>
          <w:shd w:val="clear" w:color="auto" w:fill="FFFFFF"/>
          <w:lang w:val="es-MX"/>
        </w:rPr>
        <w:t> </w:t>
      </w:r>
      <w:r w:rsidRPr="009D7A42">
        <w:rPr>
          <w:rFonts w:ascii="Garamond" w:hAnsi="Garamond" w:cs="Arial"/>
          <w:i/>
          <w:iCs/>
          <w:sz w:val="24"/>
          <w:szCs w:val="24"/>
          <w:shd w:val="clear" w:color="auto" w:fill="FFFFFF"/>
          <w:lang w:val="es-MX"/>
        </w:rPr>
        <w:t>El Narco: Inside Mexico’s criminal insurgency</w:t>
      </w:r>
      <w:r w:rsidRPr="009D7A42">
        <w:rPr>
          <w:rFonts w:ascii="Garamond" w:hAnsi="Garamond" w:cs="Arial"/>
          <w:sz w:val="24"/>
          <w:szCs w:val="24"/>
          <w:shd w:val="clear" w:color="auto" w:fill="FFFFFF"/>
          <w:lang w:val="es-MX"/>
        </w:rPr>
        <w:t>. London: Bloomsbury Publishing</w:t>
      </w:r>
    </w:p>
    <w:p w14:paraId="779D34FE" w14:textId="61AC2727" w:rsidR="00BE22B0" w:rsidRDefault="00BE22B0" w:rsidP="00C873DA">
      <w:pPr>
        <w:pStyle w:val="NoSpacing"/>
        <w:spacing w:line="240" w:lineRule="auto"/>
        <w:ind w:left="426" w:hanging="426"/>
        <w:rPr>
          <w:lang w:val="es-MX"/>
        </w:rPr>
      </w:pPr>
      <w:r w:rsidRPr="00A66659">
        <w:rPr>
          <w:lang w:val="es-MX"/>
        </w:rPr>
        <w:t>Greco, Témeris</w:t>
      </w:r>
      <w:r w:rsidR="00FE6A76" w:rsidRPr="00A66659">
        <w:rPr>
          <w:lang w:val="es-MX"/>
        </w:rPr>
        <w:t>,</w:t>
      </w:r>
      <w:r w:rsidRPr="00A66659">
        <w:rPr>
          <w:lang w:val="es-MX"/>
        </w:rPr>
        <w:t xml:space="preserve"> and David Espino. </w:t>
      </w:r>
      <w:r w:rsidRPr="009D7A42">
        <w:rPr>
          <w:lang w:val="es-MX"/>
        </w:rPr>
        <w:t xml:space="preserve">2015. </w:t>
      </w:r>
      <w:r w:rsidRPr="008D3578">
        <w:rPr>
          <w:lang w:val="es-MX"/>
        </w:rPr>
        <w:t>“Disputan 10 cárteles Pentágono de la Amapola</w:t>
      </w:r>
      <w:r w:rsidR="00FE6A76">
        <w:rPr>
          <w:lang w:val="es-MX"/>
        </w:rPr>
        <w:t>.</w:t>
      </w:r>
      <w:r w:rsidRPr="008D3578">
        <w:rPr>
          <w:lang w:val="es-MX"/>
        </w:rPr>
        <w:t xml:space="preserve">” </w:t>
      </w:r>
      <w:r w:rsidRPr="008D3578">
        <w:rPr>
          <w:i/>
          <w:lang w:val="es-MX"/>
        </w:rPr>
        <w:t>El Universal</w:t>
      </w:r>
      <w:r w:rsidRPr="008D3578">
        <w:rPr>
          <w:lang w:val="es-MX"/>
        </w:rPr>
        <w:t xml:space="preserve">, February 3. </w:t>
      </w:r>
    </w:p>
    <w:p w14:paraId="15681BBA" w14:textId="77777777" w:rsidR="00BE22B0" w:rsidRDefault="00BE22B0" w:rsidP="00C873DA">
      <w:pPr>
        <w:pStyle w:val="NoSpacing"/>
        <w:spacing w:line="240" w:lineRule="auto"/>
        <w:ind w:left="426" w:hanging="426"/>
        <w:rPr>
          <w:lang w:val="es-MX"/>
        </w:rPr>
      </w:pPr>
    </w:p>
    <w:p w14:paraId="27E8F72A" w14:textId="2466E002" w:rsidR="00C873DA" w:rsidRPr="007D21B3" w:rsidRDefault="00FE6A76" w:rsidP="00C873DA">
      <w:pPr>
        <w:pStyle w:val="NoSpacing"/>
        <w:spacing w:line="240" w:lineRule="auto"/>
        <w:ind w:left="426" w:hanging="426"/>
      </w:pPr>
      <w:r>
        <w:rPr>
          <w:lang w:val="es-MX"/>
        </w:rPr>
        <w:t>INEGI</w:t>
      </w:r>
      <w:r w:rsidRPr="00E155C0">
        <w:rPr>
          <w:lang w:val="es-MX"/>
        </w:rPr>
        <w:t xml:space="preserve"> </w:t>
      </w:r>
      <w:r>
        <w:rPr>
          <w:lang w:val="es-MX"/>
        </w:rPr>
        <w:t>(</w:t>
      </w:r>
      <w:r w:rsidR="00C873DA" w:rsidRPr="00E155C0">
        <w:rPr>
          <w:lang w:val="es-MX"/>
        </w:rPr>
        <w:t>Instituto Nacional de Estadística y Geograf</w:t>
      </w:r>
      <w:r w:rsidR="00C873DA">
        <w:rPr>
          <w:lang w:val="es-MX"/>
        </w:rPr>
        <w:t xml:space="preserve">ía). </w:t>
      </w:r>
      <w:r w:rsidR="00C873DA" w:rsidRPr="008D3578">
        <w:t>2010. Population and Housing Census.</w:t>
      </w:r>
      <w:r w:rsidR="007D21B3" w:rsidRPr="008D3578">
        <w:t xml:space="preserve"> Mexico City:</w:t>
      </w:r>
      <w:r>
        <w:t xml:space="preserve"> </w:t>
      </w:r>
      <w:r w:rsidR="00C873DA" w:rsidRPr="007D21B3">
        <w:t xml:space="preserve">INEGI. Available at: </w:t>
      </w:r>
      <w:hyperlink r:id="rId10" w:history="1">
        <w:r w:rsidR="00C873DA" w:rsidRPr="007D21B3">
          <w:rPr>
            <w:rStyle w:val="Hyperlink"/>
          </w:rPr>
          <w:t>http://www.inegi.org.mx/default.aspx</w:t>
        </w:r>
      </w:hyperlink>
      <w:r>
        <w:rPr>
          <w:rStyle w:val="Hyperlink"/>
          <w:color w:val="auto"/>
          <w:u w:val="none"/>
        </w:rPr>
        <w:t>.</w:t>
      </w:r>
      <w:r w:rsidR="00C873DA" w:rsidRPr="007D21B3">
        <w:t xml:space="preserve"> </w:t>
      </w:r>
    </w:p>
    <w:p w14:paraId="3E921952" w14:textId="77777777" w:rsidR="00FE6A76" w:rsidRDefault="00FE6A76" w:rsidP="00A20E44">
      <w:pPr>
        <w:pStyle w:val="Normal1"/>
        <w:ind w:left="720" w:hanging="720"/>
        <w:rPr>
          <w:rFonts w:ascii="Garamond" w:eastAsia="Times New Roman" w:hAnsi="Garamond" w:cs="Times New Roman"/>
          <w:color w:val="000000" w:themeColor="text1"/>
          <w:sz w:val="24"/>
          <w:szCs w:val="24"/>
        </w:rPr>
      </w:pPr>
    </w:p>
    <w:p w14:paraId="38DD35A0" w14:textId="159C3218" w:rsidR="00FE6A76" w:rsidRPr="00FE6A76" w:rsidRDefault="00A20E44" w:rsidP="00FE6A76">
      <w:pPr>
        <w:pStyle w:val="Normal1"/>
        <w:ind w:left="720" w:hanging="720"/>
        <w:rPr>
          <w:rFonts w:ascii="Garamond" w:eastAsia="Times New Roman" w:hAnsi="Garamond" w:cs="Times New Roman"/>
          <w:color w:val="000000" w:themeColor="text1"/>
          <w:sz w:val="24"/>
          <w:szCs w:val="24"/>
        </w:rPr>
      </w:pPr>
      <w:r w:rsidRPr="004A6157">
        <w:rPr>
          <w:rFonts w:ascii="Garamond" w:eastAsia="Times New Roman" w:hAnsi="Garamond" w:cs="Times New Roman"/>
          <w:color w:val="000000" w:themeColor="text1"/>
          <w:sz w:val="24"/>
          <w:szCs w:val="24"/>
        </w:rPr>
        <w:t xml:space="preserve">Kyle, Chris. </w:t>
      </w:r>
      <w:r w:rsidRPr="00594309">
        <w:rPr>
          <w:rFonts w:ascii="Garamond" w:eastAsia="Times New Roman" w:hAnsi="Garamond" w:cs="Times New Roman"/>
          <w:color w:val="000000" w:themeColor="text1"/>
          <w:sz w:val="24"/>
          <w:szCs w:val="24"/>
        </w:rPr>
        <w:t>2015. “Violence and Insecurity in Guerrero</w:t>
      </w:r>
      <w:r w:rsidR="00FE6A76">
        <w:rPr>
          <w:rFonts w:ascii="Garamond" w:eastAsia="Times New Roman" w:hAnsi="Garamond" w:cs="Times New Roman"/>
          <w:color w:val="000000" w:themeColor="text1"/>
          <w:sz w:val="24"/>
          <w:szCs w:val="24"/>
        </w:rPr>
        <w:t>.</w:t>
      </w:r>
      <w:r w:rsidRPr="00594309">
        <w:rPr>
          <w:rFonts w:ascii="Garamond" w:eastAsia="Times New Roman" w:hAnsi="Garamond" w:cs="Times New Roman"/>
          <w:color w:val="000000" w:themeColor="text1"/>
          <w:sz w:val="24"/>
          <w:szCs w:val="24"/>
        </w:rPr>
        <w:t>” Building Resilient Communities in Mexico: Civic Responses to Crime and Violence Briefing Paper Series, Woodrow Wilson Center.</w:t>
      </w:r>
    </w:p>
    <w:p w14:paraId="3AAE46F4" w14:textId="44B07329" w:rsidR="00FE6A76" w:rsidRPr="009D7A42" w:rsidRDefault="00FE6A76" w:rsidP="00FE6A76">
      <w:pPr>
        <w:pStyle w:val="Normal1"/>
        <w:ind w:left="720" w:hanging="720"/>
        <w:rPr>
          <w:rFonts w:ascii="Garamond" w:eastAsia="Times New Roman" w:hAnsi="Garamond" w:cs="Times New Roman"/>
          <w:color w:val="000000" w:themeColor="text1"/>
          <w:sz w:val="24"/>
          <w:szCs w:val="24"/>
          <w:lang w:val="es-MX"/>
        </w:rPr>
      </w:pPr>
      <w:r w:rsidRPr="004A6157">
        <w:rPr>
          <w:rFonts w:ascii="Garamond" w:eastAsia="Times New Roman" w:hAnsi="Garamond" w:cs="Times New Roman"/>
          <w:color w:val="000000" w:themeColor="text1"/>
          <w:sz w:val="24"/>
          <w:szCs w:val="24"/>
        </w:rPr>
        <w:t xml:space="preserve">Meyer, Jean. 1976. </w:t>
      </w:r>
      <w:r w:rsidRPr="004A6157">
        <w:rPr>
          <w:rFonts w:ascii="Garamond" w:eastAsia="Times New Roman" w:hAnsi="Garamond" w:cs="Times New Roman"/>
          <w:i/>
          <w:color w:val="000000" w:themeColor="text1"/>
          <w:sz w:val="24"/>
          <w:szCs w:val="24"/>
        </w:rPr>
        <w:t xml:space="preserve">The Cristero Rebellion. The Mexican </w:t>
      </w:r>
      <w:r>
        <w:rPr>
          <w:rFonts w:ascii="Garamond" w:eastAsia="Times New Roman" w:hAnsi="Garamond" w:cs="Times New Roman"/>
          <w:i/>
          <w:color w:val="000000" w:themeColor="text1"/>
          <w:sz w:val="24"/>
          <w:szCs w:val="24"/>
        </w:rPr>
        <w:t>P</w:t>
      </w:r>
      <w:r w:rsidRPr="004A6157">
        <w:rPr>
          <w:rFonts w:ascii="Garamond" w:eastAsia="Times New Roman" w:hAnsi="Garamond" w:cs="Times New Roman"/>
          <w:i/>
          <w:color w:val="000000" w:themeColor="text1"/>
          <w:sz w:val="24"/>
          <w:szCs w:val="24"/>
        </w:rPr>
        <w:t>eople between Church and State</w:t>
      </w:r>
      <w:r>
        <w:rPr>
          <w:rFonts w:ascii="Garamond" w:eastAsia="Times New Roman" w:hAnsi="Garamond" w:cs="Times New Roman"/>
          <w:color w:val="000000" w:themeColor="text1"/>
          <w:sz w:val="24"/>
          <w:szCs w:val="24"/>
        </w:rPr>
        <w:t xml:space="preserve">. </w:t>
      </w:r>
      <w:r w:rsidRPr="009D7A42">
        <w:rPr>
          <w:rFonts w:ascii="Garamond" w:eastAsia="Times New Roman" w:hAnsi="Garamond" w:cs="Times New Roman"/>
          <w:color w:val="000000" w:themeColor="text1"/>
          <w:sz w:val="24"/>
          <w:szCs w:val="24"/>
          <w:lang w:val="es-MX"/>
        </w:rPr>
        <w:t>Cambridge: Cambridge University Press.</w:t>
      </w:r>
    </w:p>
    <w:p w14:paraId="6232FA02" w14:textId="3FB6C00A" w:rsidR="00C873DA" w:rsidRPr="009D7A42" w:rsidRDefault="00FE6A76" w:rsidP="00C873DA">
      <w:pPr>
        <w:pStyle w:val="NoSpacing"/>
        <w:spacing w:line="240" w:lineRule="auto"/>
        <w:ind w:left="426" w:hanging="426"/>
        <w:rPr>
          <w:lang w:val="es-MX"/>
        </w:rPr>
      </w:pPr>
      <w:r>
        <w:rPr>
          <w:lang w:val="es-MX"/>
        </w:rPr>
        <w:t>Sedena (</w:t>
      </w:r>
      <w:r w:rsidR="00C873DA">
        <w:rPr>
          <w:lang w:val="es-MX"/>
        </w:rPr>
        <w:t xml:space="preserve">Secretaría de Defensa Nacional). </w:t>
      </w:r>
      <w:r w:rsidR="00335A46">
        <w:rPr>
          <w:lang w:val="es-MX"/>
        </w:rPr>
        <w:t>Information request</w:t>
      </w:r>
      <w:r w:rsidR="00C873DA" w:rsidRPr="009D7A42">
        <w:rPr>
          <w:lang w:val="es-MX"/>
        </w:rPr>
        <w:t xml:space="preserve"> 0000700002215, April 2016.</w:t>
      </w:r>
    </w:p>
    <w:p w14:paraId="58AE0261" w14:textId="77777777" w:rsidR="00C873DA" w:rsidRPr="009D7A42" w:rsidRDefault="00C873DA" w:rsidP="00C873DA">
      <w:pPr>
        <w:pStyle w:val="NoSpacing"/>
        <w:ind w:left="426" w:hanging="426"/>
        <w:rPr>
          <w:lang w:val="es-MX"/>
        </w:rPr>
      </w:pPr>
    </w:p>
    <w:p w14:paraId="6C65EAC4" w14:textId="2278F9DA" w:rsidR="005E3B50" w:rsidRDefault="004311CE" w:rsidP="00A20E44">
      <w:pPr>
        <w:pStyle w:val="Normal1"/>
        <w:ind w:left="720" w:hanging="720"/>
        <w:rPr>
          <w:rFonts w:ascii="Garamond" w:eastAsia="Times New Roman" w:hAnsi="Garamond" w:cs="Times New Roman"/>
          <w:color w:val="000000" w:themeColor="text1"/>
          <w:sz w:val="24"/>
          <w:szCs w:val="24"/>
          <w:lang w:val="es-MX"/>
        </w:rPr>
      </w:pPr>
      <w:r>
        <w:rPr>
          <w:rFonts w:ascii="Garamond" w:eastAsia="Times New Roman" w:hAnsi="Garamond" w:cs="Times New Roman"/>
          <w:color w:val="000000" w:themeColor="text1"/>
          <w:sz w:val="24"/>
          <w:szCs w:val="24"/>
          <w:lang w:val="es-MX"/>
        </w:rPr>
        <w:t>Univisión</w:t>
      </w:r>
      <w:r w:rsidR="005E3B50" w:rsidRPr="009D7A42">
        <w:rPr>
          <w:rFonts w:ascii="Garamond" w:eastAsia="Times New Roman" w:hAnsi="Garamond" w:cs="Times New Roman"/>
          <w:color w:val="000000" w:themeColor="text1"/>
          <w:sz w:val="24"/>
          <w:szCs w:val="24"/>
          <w:lang w:val="es-MX"/>
        </w:rPr>
        <w:t xml:space="preserve">. </w:t>
      </w:r>
      <w:r w:rsidR="005E3B50">
        <w:rPr>
          <w:rFonts w:ascii="Garamond" w:eastAsia="Times New Roman" w:hAnsi="Garamond" w:cs="Times New Roman"/>
          <w:color w:val="000000" w:themeColor="text1"/>
          <w:sz w:val="24"/>
          <w:szCs w:val="24"/>
          <w:lang w:val="es-MX"/>
        </w:rPr>
        <w:t>2009. “12 sicarios muertos tras enfrentarse con autoridades en Guanajuato</w:t>
      </w:r>
      <w:r w:rsidR="00FE6A76">
        <w:rPr>
          <w:rFonts w:ascii="Garamond" w:eastAsia="Times New Roman" w:hAnsi="Garamond" w:cs="Times New Roman"/>
          <w:color w:val="000000" w:themeColor="text1"/>
          <w:sz w:val="24"/>
          <w:szCs w:val="24"/>
          <w:lang w:val="es-MX"/>
        </w:rPr>
        <w:t>.</w:t>
      </w:r>
      <w:r w:rsidR="005E3B50">
        <w:rPr>
          <w:rFonts w:ascii="Garamond" w:eastAsia="Times New Roman" w:hAnsi="Garamond" w:cs="Times New Roman"/>
          <w:color w:val="000000" w:themeColor="text1"/>
          <w:sz w:val="24"/>
          <w:szCs w:val="24"/>
          <w:lang w:val="es-MX"/>
        </w:rPr>
        <w:t xml:space="preserve">” </w:t>
      </w:r>
      <w:r w:rsidR="005E3B50" w:rsidRPr="004311CE">
        <w:rPr>
          <w:rFonts w:ascii="Garamond" w:eastAsia="Times New Roman" w:hAnsi="Garamond" w:cs="Times New Roman"/>
          <w:i/>
          <w:color w:val="000000" w:themeColor="text1"/>
          <w:sz w:val="24"/>
          <w:szCs w:val="24"/>
          <w:lang w:val="es-MX"/>
        </w:rPr>
        <w:t>Univisión</w:t>
      </w:r>
      <w:r w:rsidR="005E3B50">
        <w:rPr>
          <w:rFonts w:ascii="Garamond" w:eastAsia="Times New Roman" w:hAnsi="Garamond" w:cs="Times New Roman"/>
          <w:color w:val="000000" w:themeColor="text1"/>
          <w:sz w:val="24"/>
          <w:szCs w:val="24"/>
          <w:lang w:val="es-MX"/>
        </w:rPr>
        <w:t xml:space="preserve">, June 26. </w:t>
      </w:r>
    </w:p>
    <w:p w14:paraId="116BF200" w14:textId="75A6A853" w:rsidR="00C873DA" w:rsidRPr="003F0FDA" w:rsidRDefault="00A20E44" w:rsidP="0041139E">
      <w:pPr>
        <w:pStyle w:val="Normal1"/>
        <w:ind w:left="720" w:hanging="720"/>
        <w:rPr>
          <w:lang w:val="es-MX"/>
        </w:rPr>
      </w:pPr>
      <w:r w:rsidRPr="008D3578">
        <w:rPr>
          <w:rFonts w:ascii="Garamond" w:eastAsia="Times New Roman" w:hAnsi="Garamond" w:cs="Times New Roman"/>
          <w:color w:val="000000" w:themeColor="text1"/>
          <w:sz w:val="24"/>
          <w:szCs w:val="24"/>
          <w:lang w:val="es-MX"/>
        </w:rPr>
        <w:t xml:space="preserve">Zepeda, Raúl. 2018. </w:t>
      </w:r>
      <w:r w:rsidRPr="00A20E44">
        <w:rPr>
          <w:rFonts w:ascii="Garamond" w:eastAsia="Times New Roman" w:hAnsi="Garamond" w:cs="Times New Roman"/>
          <w:color w:val="000000" w:themeColor="text1"/>
          <w:sz w:val="24"/>
          <w:szCs w:val="24"/>
          <w:lang w:val="es-MX"/>
        </w:rPr>
        <w:t xml:space="preserve">“Violencia en Tierra Caliente: Desigualdad, desarrollo y escolaridad en la </w:t>
      </w:r>
      <w:r w:rsidR="00FE6A76">
        <w:rPr>
          <w:rFonts w:ascii="Garamond" w:eastAsia="Times New Roman" w:hAnsi="Garamond" w:cs="Times New Roman"/>
          <w:color w:val="000000" w:themeColor="text1"/>
          <w:sz w:val="24"/>
          <w:szCs w:val="24"/>
          <w:lang w:val="es-MX"/>
        </w:rPr>
        <w:t>g</w:t>
      </w:r>
      <w:r w:rsidRPr="00A20E44">
        <w:rPr>
          <w:rFonts w:ascii="Garamond" w:eastAsia="Times New Roman" w:hAnsi="Garamond" w:cs="Times New Roman"/>
          <w:color w:val="000000" w:themeColor="text1"/>
          <w:sz w:val="24"/>
          <w:szCs w:val="24"/>
          <w:lang w:val="es-MX"/>
        </w:rPr>
        <w:t>uerra contra el narcotráfico</w:t>
      </w:r>
      <w:r w:rsidR="00FE6A76">
        <w:rPr>
          <w:rFonts w:ascii="Garamond" w:eastAsia="Times New Roman" w:hAnsi="Garamond" w:cs="Times New Roman"/>
          <w:color w:val="000000" w:themeColor="text1"/>
          <w:sz w:val="24"/>
          <w:szCs w:val="24"/>
          <w:lang w:val="es-MX"/>
        </w:rPr>
        <w:t>.</w:t>
      </w:r>
      <w:r w:rsidRPr="00A20E44">
        <w:rPr>
          <w:rFonts w:ascii="Garamond" w:eastAsia="Times New Roman" w:hAnsi="Garamond" w:cs="Times New Roman"/>
          <w:color w:val="000000" w:themeColor="text1"/>
          <w:sz w:val="24"/>
          <w:szCs w:val="24"/>
          <w:lang w:val="es-MX"/>
        </w:rPr>
        <w:t xml:space="preserve">” </w:t>
      </w:r>
      <w:r w:rsidRPr="00A20E44">
        <w:rPr>
          <w:rFonts w:ascii="Garamond" w:eastAsia="Times New Roman" w:hAnsi="Garamond" w:cs="Times New Roman"/>
          <w:i/>
          <w:color w:val="000000" w:themeColor="text1"/>
          <w:sz w:val="24"/>
          <w:szCs w:val="24"/>
          <w:lang w:val="es-MX"/>
        </w:rPr>
        <w:t>Estudios Sociológicos</w:t>
      </w:r>
      <w:r w:rsidRPr="00A20E44">
        <w:rPr>
          <w:rFonts w:ascii="Garamond" w:eastAsia="Times New Roman" w:hAnsi="Garamond" w:cs="Times New Roman"/>
          <w:color w:val="000000" w:themeColor="text1"/>
          <w:sz w:val="24"/>
          <w:szCs w:val="24"/>
          <w:lang w:val="es-MX"/>
        </w:rPr>
        <w:t xml:space="preserve"> 36(6).</w:t>
      </w:r>
    </w:p>
    <w:p w14:paraId="6FAF112E" w14:textId="3042D176" w:rsidR="002C3151" w:rsidRPr="003F0FDA" w:rsidRDefault="00945B18" w:rsidP="002C3151">
      <w:pPr>
        <w:pStyle w:val="NoSpacing"/>
        <w:ind w:firstLine="0"/>
        <w:rPr>
          <w:lang w:val="es-MX"/>
        </w:rPr>
      </w:pPr>
      <w:r w:rsidRPr="003F0FDA">
        <w:rPr>
          <w:lang w:val="es-MX"/>
        </w:rPr>
        <w:tab/>
        <w:t xml:space="preserve"> </w:t>
      </w:r>
    </w:p>
    <w:sectPr w:rsidR="002C3151" w:rsidRPr="003F0FDA" w:rsidSect="000267A7">
      <w:footerReference w:type="defaul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A12BEB" w16cid:durableId="1EACEDC2"/>
  <w16cid:commentId w16cid:paraId="1BC6AA4F" w16cid:durableId="1EACEC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A2EC" w14:textId="77777777" w:rsidR="00FD203D" w:rsidRDefault="00FD203D" w:rsidP="002C3151">
      <w:pPr>
        <w:spacing w:after="0" w:line="240" w:lineRule="auto"/>
      </w:pPr>
      <w:r>
        <w:separator/>
      </w:r>
    </w:p>
  </w:endnote>
  <w:endnote w:type="continuationSeparator" w:id="0">
    <w:p w14:paraId="664755DA" w14:textId="77777777" w:rsidR="00FD203D" w:rsidRDefault="00FD203D" w:rsidP="002C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33303"/>
      <w:docPartObj>
        <w:docPartGallery w:val="Page Numbers (Bottom of Page)"/>
        <w:docPartUnique/>
      </w:docPartObj>
    </w:sdtPr>
    <w:sdtEndPr>
      <w:rPr>
        <w:rFonts w:ascii="Times New Roman" w:hAnsi="Times New Roman" w:cs="Times New Roman"/>
        <w:noProof/>
      </w:rPr>
    </w:sdtEndPr>
    <w:sdtContent>
      <w:p w14:paraId="63E3B073" w14:textId="17D5884C" w:rsidR="00760B7D" w:rsidRPr="008D3578" w:rsidRDefault="00760B7D">
        <w:pPr>
          <w:pStyle w:val="Footer"/>
          <w:jc w:val="right"/>
          <w:rPr>
            <w:rFonts w:ascii="Times New Roman" w:hAnsi="Times New Roman" w:cs="Times New Roman"/>
          </w:rPr>
        </w:pPr>
        <w:r w:rsidRPr="008D3578">
          <w:rPr>
            <w:rFonts w:ascii="Times New Roman" w:hAnsi="Times New Roman" w:cs="Times New Roman"/>
          </w:rPr>
          <w:fldChar w:fldCharType="begin"/>
        </w:r>
        <w:r w:rsidRPr="008D3578">
          <w:rPr>
            <w:rFonts w:ascii="Times New Roman" w:hAnsi="Times New Roman" w:cs="Times New Roman"/>
          </w:rPr>
          <w:instrText xml:space="preserve"> PAGE   \* MERGEFORMAT </w:instrText>
        </w:r>
        <w:r w:rsidRPr="008D3578">
          <w:rPr>
            <w:rFonts w:ascii="Times New Roman" w:hAnsi="Times New Roman" w:cs="Times New Roman"/>
          </w:rPr>
          <w:fldChar w:fldCharType="separate"/>
        </w:r>
        <w:r w:rsidR="008F3065">
          <w:rPr>
            <w:rFonts w:ascii="Times New Roman" w:hAnsi="Times New Roman" w:cs="Times New Roman"/>
            <w:noProof/>
          </w:rPr>
          <w:t>1</w:t>
        </w:r>
        <w:r w:rsidRPr="008D3578">
          <w:rPr>
            <w:rFonts w:ascii="Times New Roman" w:hAnsi="Times New Roman" w:cs="Times New Roman"/>
            <w:noProof/>
          </w:rPr>
          <w:fldChar w:fldCharType="end"/>
        </w:r>
      </w:p>
    </w:sdtContent>
  </w:sdt>
  <w:p w14:paraId="0C2A6275" w14:textId="77777777" w:rsidR="00760B7D" w:rsidRDefault="00760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751112"/>
      <w:docPartObj>
        <w:docPartGallery w:val="Page Numbers (Bottom of Page)"/>
        <w:docPartUnique/>
      </w:docPartObj>
    </w:sdtPr>
    <w:sdtEndPr>
      <w:rPr>
        <w:noProof/>
      </w:rPr>
    </w:sdtEndPr>
    <w:sdtContent>
      <w:p w14:paraId="415CA86B" w14:textId="4F05C4C8" w:rsidR="00760B7D" w:rsidRDefault="00760B7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D28B19" w14:textId="77777777" w:rsidR="00760B7D" w:rsidRDefault="0076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4ACDF" w14:textId="77777777" w:rsidR="00FD203D" w:rsidRDefault="00FD203D" w:rsidP="002C3151">
      <w:pPr>
        <w:spacing w:after="0" w:line="240" w:lineRule="auto"/>
      </w:pPr>
      <w:r>
        <w:separator/>
      </w:r>
    </w:p>
  </w:footnote>
  <w:footnote w:type="continuationSeparator" w:id="0">
    <w:p w14:paraId="2DCF2A74" w14:textId="77777777" w:rsidR="00FD203D" w:rsidRDefault="00FD203D" w:rsidP="002C3151">
      <w:pPr>
        <w:spacing w:after="0" w:line="240" w:lineRule="auto"/>
      </w:pPr>
      <w:r>
        <w:continuationSeparator/>
      </w:r>
    </w:p>
  </w:footnote>
  <w:footnote w:id="1">
    <w:p w14:paraId="7C25E796" w14:textId="3637D57B" w:rsidR="00760B7D" w:rsidRPr="00DC65D6" w:rsidRDefault="00760B7D" w:rsidP="00DC65D6">
      <w:pPr>
        <w:pStyle w:val="FootnoteText"/>
        <w:spacing w:line="360" w:lineRule="auto"/>
        <w:rPr>
          <w:rFonts w:ascii="Garamond" w:hAnsi="Garamond"/>
        </w:rPr>
      </w:pPr>
      <w:r w:rsidRPr="00DC65D6">
        <w:rPr>
          <w:rStyle w:val="FootnoteReference"/>
          <w:rFonts w:ascii="Garamond" w:hAnsi="Garamond"/>
        </w:rPr>
        <w:footnoteRef/>
      </w:r>
      <w:r w:rsidRPr="00DC65D6">
        <w:rPr>
          <w:rFonts w:ascii="Garamond" w:hAnsi="Garamond"/>
        </w:rPr>
        <w:t xml:space="preserve"> The Tierra Caliente region extends </w:t>
      </w:r>
      <w:r>
        <w:rPr>
          <w:rFonts w:ascii="Garamond" w:hAnsi="Garamond"/>
        </w:rPr>
        <w:t>to the neighboring Mexico State and hence is split into three different states.</w:t>
      </w:r>
      <w:r w:rsidRPr="00DC65D6">
        <w:rPr>
          <w:rFonts w:ascii="Garamond" w:hAnsi="Garamond"/>
        </w:rPr>
        <w:t xml:space="preserve"> </w:t>
      </w:r>
      <w:r>
        <w:rPr>
          <w:rFonts w:ascii="Garamond" w:hAnsi="Garamond"/>
        </w:rPr>
        <w:t>However, w</w:t>
      </w:r>
      <w:r w:rsidRPr="00DC65D6">
        <w:rPr>
          <w:rFonts w:ascii="Garamond" w:hAnsi="Garamond"/>
        </w:rPr>
        <w:t xml:space="preserve">e focus </w:t>
      </w:r>
      <w:r>
        <w:rPr>
          <w:rFonts w:ascii="Garamond" w:hAnsi="Garamond"/>
        </w:rPr>
        <w:t>only on</w:t>
      </w:r>
      <w:r w:rsidRPr="00DC65D6">
        <w:rPr>
          <w:rFonts w:ascii="Garamond" w:hAnsi="Garamond"/>
        </w:rPr>
        <w:t xml:space="preserve"> the comparison between Michoacán and Guerrero.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802"/>
    <w:multiLevelType w:val="hybridMultilevel"/>
    <w:tmpl w:val="FACAC5B8"/>
    <w:lvl w:ilvl="0" w:tplc="29D88766">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85575"/>
    <w:multiLevelType w:val="hybridMultilevel"/>
    <w:tmpl w:val="B58A14C4"/>
    <w:lvl w:ilvl="0" w:tplc="D026E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948DB"/>
    <w:multiLevelType w:val="hybridMultilevel"/>
    <w:tmpl w:val="CFD81B90"/>
    <w:lvl w:ilvl="0" w:tplc="E2D6DB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B04D3"/>
    <w:multiLevelType w:val="hybridMultilevel"/>
    <w:tmpl w:val="781C4BBA"/>
    <w:lvl w:ilvl="0" w:tplc="F9329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82F51"/>
    <w:multiLevelType w:val="hybridMultilevel"/>
    <w:tmpl w:val="281C289C"/>
    <w:lvl w:ilvl="0" w:tplc="6AE68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948C9"/>
    <w:multiLevelType w:val="hybridMultilevel"/>
    <w:tmpl w:val="42DAF2DC"/>
    <w:lvl w:ilvl="0" w:tplc="7CFEB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37"/>
    <w:rsid w:val="000267A7"/>
    <w:rsid w:val="00041978"/>
    <w:rsid w:val="00047E84"/>
    <w:rsid w:val="000C59D9"/>
    <w:rsid w:val="000D0328"/>
    <w:rsid w:val="000D3069"/>
    <w:rsid w:val="00104FF4"/>
    <w:rsid w:val="001240BE"/>
    <w:rsid w:val="00165FE8"/>
    <w:rsid w:val="00175F12"/>
    <w:rsid w:val="00185759"/>
    <w:rsid w:val="001860CD"/>
    <w:rsid w:val="001D02BC"/>
    <w:rsid w:val="001E65F5"/>
    <w:rsid w:val="00203AEE"/>
    <w:rsid w:val="002110E1"/>
    <w:rsid w:val="002248DD"/>
    <w:rsid w:val="002418A2"/>
    <w:rsid w:val="002559F9"/>
    <w:rsid w:val="002627A7"/>
    <w:rsid w:val="00284CA6"/>
    <w:rsid w:val="00295B19"/>
    <w:rsid w:val="002A00E1"/>
    <w:rsid w:val="002C2AA2"/>
    <w:rsid w:val="002C3151"/>
    <w:rsid w:val="00300984"/>
    <w:rsid w:val="00335A46"/>
    <w:rsid w:val="003522CE"/>
    <w:rsid w:val="003564C6"/>
    <w:rsid w:val="00372C46"/>
    <w:rsid w:val="00392337"/>
    <w:rsid w:val="003D08B0"/>
    <w:rsid w:val="003D7BEC"/>
    <w:rsid w:val="003F0FDA"/>
    <w:rsid w:val="00401846"/>
    <w:rsid w:val="0041139E"/>
    <w:rsid w:val="004311CE"/>
    <w:rsid w:val="004834D8"/>
    <w:rsid w:val="00484640"/>
    <w:rsid w:val="004A6157"/>
    <w:rsid w:val="004F1066"/>
    <w:rsid w:val="00504A47"/>
    <w:rsid w:val="00525296"/>
    <w:rsid w:val="005315E9"/>
    <w:rsid w:val="005C2132"/>
    <w:rsid w:val="005E3B50"/>
    <w:rsid w:val="00632C67"/>
    <w:rsid w:val="0064031F"/>
    <w:rsid w:val="00646D27"/>
    <w:rsid w:val="00663143"/>
    <w:rsid w:val="006B4691"/>
    <w:rsid w:val="00711A52"/>
    <w:rsid w:val="0071346E"/>
    <w:rsid w:val="00760B7D"/>
    <w:rsid w:val="00765683"/>
    <w:rsid w:val="00767080"/>
    <w:rsid w:val="00776FAE"/>
    <w:rsid w:val="007B7831"/>
    <w:rsid w:val="007D21B3"/>
    <w:rsid w:val="007F2C7C"/>
    <w:rsid w:val="007F3437"/>
    <w:rsid w:val="008602A6"/>
    <w:rsid w:val="00877B10"/>
    <w:rsid w:val="008833E7"/>
    <w:rsid w:val="008B4F74"/>
    <w:rsid w:val="008C6708"/>
    <w:rsid w:val="008C78B8"/>
    <w:rsid w:val="008D2274"/>
    <w:rsid w:val="008D3578"/>
    <w:rsid w:val="008E4566"/>
    <w:rsid w:val="008E5254"/>
    <w:rsid w:val="008F3065"/>
    <w:rsid w:val="009041A2"/>
    <w:rsid w:val="00930CDB"/>
    <w:rsid w:val="00937FB5"/>
    <w:rsid w:val="00945B18"/>
    <w:rsid w:val="00975F9D"/>
    <w:rsid w:val="009832B3"/>
    <w:rsid w:val="009B43C6"/>
    <w:rsid w:val="009B49D6"/>
    <w:rsid w:val="009C349E"/>
    <w:rsid w:val="009D2397"/>
    <w:rsid w:val="009D7A42"/>
    <w:rsid w:val="009E148C"/>
    <w:rsid w:val="009E153F"/>
    <w:rsid w:val="009E6E12"/>
    <w:rsid w:val="009F070E"/>
    <w:rsid w:val="00A20E44"/>
    <w:rsid w:val="00A42501"/>
    <w:rsid w:val="00A541F0"/>
    <w:rsid w:val="00A54E22"/>
    <w:rsid w:val="00A66659"/>
    <w:rsid w:val="00AF746A"/>
    <w:rsid w:val="00B04572"/>
    <w:rsid w:val="00B146DB"/>
    <w:rsid w:val="00BC141E"/>
    <w:rsid w:val="00BE22B0"/>
    <w:rsid w:val="00BF3A62"/>
    <w:rsid w:val="00BF5F11"/>
    <w:rsid w:val="00C332D5"/>
    <w:rsid w:val="00C62E1D"/>
    <w:rsid w:val="00C81507"/>
    <w:rsid w:val="00C873DA"/>
    <w:rsid w:val="00CC0BEE"/>
    <w:rsid w:val="00D31EA4"/>
    <w:rsid w:val="00D446F2"/>
    <w:rsid w:val="00D51135"/>
    <w:rsid w:val="00D54210"/>
    <w:rsid w:val="00D55FCD"/>
    <w:rsid w:val="00D95312"/>
    <w:rsid w:val="00DA2B61"/>
    <w:rsid w:val="00DB5C46"/>
    <w:rsid w:val="00DC65D6"/>
    <w:rsid w:val="00DC750B"/>
    <w:rsid w:val="00DD261A"/>
    <w:rsid w:val="00DD6E6D"/>
    <w:rsid w:val="00E05A3B"/>
    <w:rsid w:val="00E0638C"/>
    <w:rsid w:val="00E30CFC"/>
    <w:rsid w:val="00E67FAC"/>
    <w:rsid w:val="00EF1D3F"/>
    <w:rsid w:val="00F14771"/>
    <w:rsid w:val="00F30A0E"/>
    <w:rsid w:val="00F53DEE"/>
    <w:rsid w:val="00F70386"/>
    <w:rsid w:val="00F7737F"/>
    <w:rsid w:val="00FB7F46"/>
    <w:rsid w:val="00FC34C6"/>
    <w:rsid w:val="00FC4837"/>
    <w:rsid w:val="00FD203D"/>
    <w:rsid w:val="00FD54CC"/>
    <w:rsid w:val="00FE6A76"/>
    <w:rsid w:val="00FF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221D8"/>
  <w15:docId w15:val="{037E6CB9-CD1B-4066-8DF2-B5F45323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337"/>
    <w:pPr>
      <w:spacing w:after="0" w:line="360" w:lineRule="auto"/>
      <w:ind w:firstLine="720"/>
    </w:pPr>
    <w:rPr>
      <w:rFonts w:ascii="Garamond" w:hAnsi="Garamond"/>
      <w:sz w:val="24"/>
      <w:szCs w:val="24"/>
    </w:rPr>
  </w:style>
  <w:style w:type="character" w:styleId="CommentReference">
    <w:name w:val="annotation reference"/>
    <w:basedOn w:val="DefaultParagraphFont"/>
    <w:uiPriority w:val="99"/>
    <w:semiHidden/>
    <w:unhideWhenUsed/>
    <w:rsid w:val="00392337"/>
    <w:rPr>
      <w:sz w:val="16"/>
      <w:szCs w:val="16"/>
    </w:rPr>
  </w:style>
  <w:style w:type="paragraph" w:styleId="CommentText">
    <w:name w:val="annotation text"/>
    <w:basedOn w:val="Normal"/>
    <w:link w:val="CommentTextChar"/>
    <w:uiPriority w:val="99"/>
    <w:unhideWhenUsed/>
    <w:rsid w:val="00392337"/>
    <w:pPr>
      <w:spacing w:line="240" w:lineRule="auto"/>
    </w:pPr>
    <w:rPr>
      <w:sz w:val="20"/>
      <w:szCs w:val="20"/>
    </w:rPr>
  </w:style>
  <w:style w:type="character" w:customStyle="1" w:styleId="CommentTextChar">
    <w:name w:val="Comment Text Char"/>
    <w:basedOn w:val="DefaultParagraphFont"/>
    <w:link w:val="CommentText"/>
    <w:uiPriority w:val="99"/>
    <w:rsid w:val="00392337"/>
    <w:rPr>
      <w:sz w:val="20"/>
      <w:szCs w:val="20"/>
    </w:rPr>
  </w:style>
  <w:style w:type="paragraph" w:customStyle="1" w:styleId="Sinespaciado1">
    <w:name w:val="Sin espaciado1"/>
    <w:link w:val="SinespaciadoCar"/>
    <w:rsid w:val="00392337"/>
    <w:pPr>
      <w:spacing w:after="0" w:line="240" w:lineRule="auto"/>
    </w:pPr>
    <w:rPr>
      <w:rFonts w:ascii="Calibri" w:eastAsia="Times New Roman" w:hAnsi="Calibri" w:cs="Times New Roman"/>
    </w:rPr>
  </w:style>
  <w:style w:type="character" w:customStyle="1" w:styleId="SinespaciadoCar">
    <w:name w:val="Sin espaciado Car"/>
    <w:link w:val="Sinespaciado1"/>
    <w:locked/>
    <w:rsid w:val="00392337"/>
    <w:rPr>
      <w:rFonts w:ascii="Calibri" w:eastAsia="Times New Roman" w:hAnsi="Calibri" w:cs="Times New Roman"/>
    </w:rPr>
  </w:style>
  <w:style w:type="paragraph" w:styleId="BalloonText">
    <w:name w:val="Balloon Text"/>
    <w:basedOn w:val="Normal"/>
    <w:link w:val="BalloonTextChar"/>
    <w:uiPriority w:val="99"/>
    <w:semiHidden/>
    <w:unhideWhenUsed/>
    <w:rsid w:val="00392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37"/>
    <w:rPr>
      <w:rFonts w:ascii="Segoe UI" w:hAnsi="Segoe UI" w:cs="Segoe UI"/>
      <w:sz w:val="18"/>
      <w:szCs w:val="18"/>
    </w:rPr>
  </w:style>
  <w:style w:type="paragraph" w:styleId="ListParagraph">
    <w:name w:val="List Paragraph"/>
    <w:basedOn w:val="Normal"/>
    <w:uiPriority w:val="34"/>
    <w:qFormat/>
    <w:rsid w:val="00937FB5"/>
    <w:pPr>
      <w:ind w:left="720"/>
      <w:contextualSpacing/>
    </w:pPr>
  </w:style>
  <w:style w:type="paragraph" w:styleId="CommentSubject">
    <w:name w:val="annotation subject"/>
    <w:basedOn w:val="CommentText"/>
    <w:next w:val="CommentText"/>
    <w:link w:val="CommentSubjectChar"/>
    <w:uiPriority w:val="99"/>
    <w:semiHidden/>
    <w:unhideWhenUsed/>
    <w:rsid w:val="00CC0BEE"/>
    <w:rPr>
      <w:b/>
      <w:bCs/>
    </w:rPr>
  </w:style>
  <w:style w:type="character" w:customStyle="1" w:styleId="CommentSubjectChar">
    <w:name w:val="Comment Subject Char"/>
    <w:basedOn w:val="CommentTextChar"/>
    <w:link w:val="CommentSubject"/>
    <w:uiPriority w:val="99"/>
    <w:semiHidden/>
    <w:rsid w:val="00CC0BEE"/>
    <w:rPr>
      <w:b/>
      <w:bCs/>
      <w:sz w:val="20"/>
      <w:szCs w:val="20"/>
    </w:rPr>
  </w:style>
  <w:style w:type="paragraph" w:styleId="Revision">
    <w:name w:val="Revision"/>
    <w:hidden/>
    <w:uiPriority w:val="99"/>
    <w:semiHidden/>
    <w:rsid w:val="00A42501"/>
    <w:pPr>
      <w:spacing w:after="0" w:line="240" w:lineRule="auto"/>
    </w:pPr>
  </w:style>
  <w:style w:type="table" w:styleId="TableGrid">
    <w:name w:val="Table Grid"/>
    <w:basedOn w:val="TableNormal"/>
    <w:uiPriority w:val="39"/>
    <w:rsid w:val="00EF1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C3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151"/>
    <w:rPr>
      <w:sz w:val="20"/>
      <w:szCs w:val="20"/>
    </w:rPr>
  </w:style>
  <w:style w:type="character" w:styleId="FootnoteReference">
    <w:name w:val="footnote reference"/>
    <w:basedOn w:val="DefaultParagraphFont"/>
    <w:uiPriority w:val="99"/>
    <w:semiHidden/>
    <w:unhideWhenUsed/>
    <w:rsid w:val="002C3151"/>
    <w:rPr>
      <w:vertAlign w:val="superscript"/>
    </w:rPr>
  </w:style>
  <w:style w:type="character" w:styleId="Hyperlink">
    <w:name w:val="Hyperlink"/>
    <w:basedOn w:val="DefaultParagraphFont"/>
    <w:uiPriority w:val="99"/>
    <w:unhideWhenUsed/>
    <w:rsid w:val="00C873DA"/>
    <w:rPr>
      <w:color w:val="0563C1" w:themeColor="hyperlink"/>
      <w:u w:val="single"/>
    </w:rPr>
  </w:style>
  <w:style w:type="paragraph" w:customStyle="1" w:styleId="Normal1">
    <w:name w:val="Normal1"/>
    <w:rsid w:val="00A20E44"/>
    <w:pPr>
      <w:widowControl w:val="0"/>
      <w:pBdr>
        <w:top w:val="nil"/>
        <w:left w:val="nil"/>
        <w:bottom w:val="nil"/>
        <w:right w:val="nil"/>
        <w:between w:val="nil"/>
      </w:pBdr>
      <w:spacing w:after="200" w:line="276" w:lineRule="auto"/>
    </w:pPr>
    <w:rPr>
      <w:rFonts w:ascii="Calibri" w:eastAsia="Calibri" w:hAnsi="Calibri" w:cs="Calibri"/>
      <w:color w:val="000000"/>
    </w:rPr>
  </w:style>
  <w:style w:type="paragraph" w:styleId="Header">
    <w:name w:val="header"/>
    <w:basedOn w:val="Normal"/>
    <w:link w:val="HeaderChar"/>
    <w:uiPriority w:val="99"/>
    <w:unhideWhenUsed/>
    <w:rsid w:val="0002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A7"/>
  </w:style>
  <w:style w:type="paragraph" w:styleId="Footer">
    <w:name w:val="footer"/>
    <w:basedOn w:val="Normal"/>
    <w:link w:val="FooterChar"/>
    <w:uiPriority w:val="99"/>
    <w:unhideWhenUsed/>
    <w:rsid w:val="0002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7A7"/>
  </w:style>
  <w:style w:type="character" w:customStyle="1" w:styleId="UnresolvedMention">
    <w:name w:val="Unresolved Mention"/>
    <w:basedOn w:val="DefaultParagraphFont"/>
    <w:uiPriority w:val="99"/>
    <w:semiHidden/>
    <w:unhideWhenUsed/>
    <w:rsid w:val="001860CD"/>
    <w:rPr>
      <w:color w:val="808080"/>
      <w:shd w:val="clear" w:color="auto" w:fill="E6E6E6"/>
    </w:rPr>
  </w:style>
  <w:style w:type="character" w:customStyle="1" w:styleId="apple-converted-space">
    <w:name w:val="apple-converted-space"/>
    <w:basedOn w:val="DefaultParagraphFont"/>
    <w:rsid w:val="00AF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po.gob.mx/es/CONAPO/Indices_de_Marginacion_Publicaci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egi.org.mx/default.aspx" TargetMode="External"/><Relationship Id="rId4" Type="http://schemas.openxmlformats.org/officeDocument/2006/relationships/settings" Target="settings.xml"/><Relationship Id="rId9" Type="http://schemas.openxmlformats.org/officeDocument/2006/relationships/hyperlink" Target="https://www.coneval.org.mx/coordinacion/Paginas/principa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896A-8B06-42CD-BB35-E0FECCE6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3754</Words>
  <Characters>21402</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Notre Dame</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gtrejo</dc:creator>
  <cp:keywords/>
  <dc:description/>
  <cp:lastModifiedBy>gtrejo</cp:lastModifiedBy>
  <cp:revision>2</cp:revision>
  <cp:lastPrinted>2018-05-23T07:14:00Z</cp:lastPrinted>
  <dcterms:created xsi:type="dcterms:W3CDTF">2018-11-13T15:37:00Z</dcterms:created>
  <dcterms:modified xsi:type="dcterms:W3CDTF">2018-11-13T15:37:00Z</dcterms:modified>
</cp:coreProperties>
</file>