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A3A4" w14:textId="2376E4E3" w:rsidR="00A346A1" w:rsidRPr="00646831" w:rsidRDefault="00827C9E" w:rsidP="00D22574">
      <w:pPr>
        <w:spacing w:line="360" w:lineRule="auto"/>
        <w:rPr>
          <w:b/>
          <w:u w:val="single"/>
        </w:rPr>
      </w:pPr>
      <w:r w:rsidRPr="00646831">
        <w:rPr>
          <w:b/>
          <w:u w:val="single"/>
        </w:rPr>
        <w:t>Online Appendix</w:t>
      </w:r>
      <w:r w:rsidR="004E267D">
        <w:rPr>
          <w:rStyle w:val="FootnoteReference"/>
          <w:b/>
          <w:u w:val="single"/>
        </w:rPr>
        <w:footnoteReference w:id="1"/>
      </w:r>
    </w:p>
    <w:p w14:paraId="113A9523" w14:textId="77777777" w:rsidR="00A346A1" w:rsidRPr="00D22574" w:rsidRDefault="00A346A1" w:rsidP="00D22574">
      <w:pPr>
        <w:spacing w:line="360" w:lineRule="auto"/>
      </w:pPr>
    </w:p>
    <w:p w14:paraId="0F7808EE" w14:textId="5168237B" w:rsidR="00827C9E" w:rsidRPr="00D22574" w:rsidRDefault="00827C9E" w:rsidP="00D22574">
      <w:pPr>
        <w:pStyle w:val="Heading1"/>
        <w:spacing w:line="360" w:lineRule="auto"/>
      </w:pPr>
      <w:r w:rsidRPr="00D22574">
        <w:t>Required licensing statement</w:t>
      </w:r>
      <w:r w:rsidR="00186747">
        <w:t>s</w:t>
      </w:r>
    </w:p>
    <w:p w14:paraId="0AFB4232" w14:textId="77777777" w:rsidR="00827C9E" w:rsidRPr="00D22574" w:rsidRDefault="00827C9E" w:rsidP="00D22574">
      <w:pPr>
        <w:spacing w:line="360" w:lineRule="auto"/>
      </w:pPr>
    </w:p>
    <w:p w14:paraId="64272053" w14:textId="2D6AB587" w:rsidR="00827C9E" w:rsidRPr="00D22574" w:rsidRDefault="00827C9E" w:rsidP="00D22574">
      <w:pPr>
        <w:spacing w:line="360" w:lineRule="auto"/>
      </w:pPr>
      <w:r w:rsidRPr="00D22574">
        <w:t xml:space="preserve">This </w:t>
      </w:r>
      <w:r w:rsidR="004C5DBF">
        <w:t>paper</w:t>
      </w:r>
      <w:r w:rsidRPr="00D22574">
        <w:t xml:space="preserve"> makes use of several licensed datasets that require the following disclaimers.</w:t>
      </w:r>
    </w:p>
    <w:p w14:paraId="4C0FF7C7" w14:textId="77777777" w:rsidR="00827C9E" w:rsidRPr="00D22574" w:rsidRDefault="00827C9E" w:rsidP="00D22574">
      <w:pPr>
        <w:pStyle w:val="ListParagraph"/>
        <w:numPr>
          <w:ilvl w:val="0"/>
          <w:numId w:val="2"/>
        </w:numPr>
        <w:spacing w:line="360" w:lineRule="auto"/>
      </w:pPr>
      <w:r w:rsidRPr="00D22574">
        <w:t xml:space="preserve">The paper employs EU-SILC data (European Commission, Eurostat), longitudinal files (October 2017 distribution). Eurostat has no responsibility for the results and conclusions of this paper. </w:t>
      </w:r>
    </w:p>
    <w:p w14:paraId="1BA16F27" w14:textId="77777777" w:rsidR="00827C9E" w:rsidRPr="00D22574" w:rsidRDefault="00827C9E" w:rsidP="00D22574">
      <w:pPr>
        <w:pStyle w:val="ListParagraph"/>
        <w:numPr>
          <w:ilvl w:val="0"/>
          <w:numId w:val="2"/>
        </w:numPr>
        <w:spacing w:line="360" w:lineRule="auto"/>
      </w:pPr>
      <w:r w:rsidRPr="00D22574">
        <w:t>The paper employs data from Eurostat, the European Community Household Panel (ECHP) 1994-2001. The responsibility for all conclusions drawn from the data lies entirely with the author</w:t>
      </w:r>
      <w:r w:rsidR="004C5DBF">
        <w:t>s</w:t>
      </w:r>
      <w:r w:rsidRPr="00D22574">
        <w:t>.</w:t>
      </w:r>
    </w:p>
    <w:p w14:paraId="1B31E730" w14:textId="77777777" w:rsidR="00827C9E" w:rsidRPr="00D22574" w:rsidRDefault="00827C9E" w:rsidP="00D22574">
      <w:pPr>
        <w:pStyle w:val="ListParagraph"/>
        <w:numPr>
          <w:ilvl w:val="0"/>
          <w:numId w:val="2"/>
        </w:numPr>
        <w:spacing w:line="360" w:lineRule="auto"/>
      </w:pPr>
      <w:r w:rsidRPr="00D22574">
        <w:t xml:space="preserve">The paper employs the HILDA-CNEF dataset, an equivalized subset of data from the Household, Income and Labour Dynamics in Australia (HILDA) survey provided through the CNEF project. The HILDA Project </w:t>
      </w:r>
      <w:proofErr w:type="gramStart"/>
      <w:r w:rsidRPr="00D22574">
        <w:t>was initiated</w:t>
      </w:r>
      <w:proofErr w:type="gramEnd"/>
      <w:r w:rsidRPr="00D22574">
        <w:t xml:space="preserve"> and is funded by the Australian Government Department of Families, Housing, Community Services and Indigenous Affairs (FaHCSIA) and is managed by the Melbourne Institute of Applied Economic and Social Research (Melbourne Institute). The findings and views reported in this paper, however, are those of the authors and </w:t>
      </w:r>
      <w:proofErr w:type="gramStart"/>
      <w:r w:rsidRPr="00D22574">
        <w:t>should not be attributed</w:t>
      </w:r>
      <w:proofErr w:type="gramEnd"/>
      <w:r w:rsidRPr="00D22574">
        <w:t xml:space="preserve"> to FaHCSIA, the Melbourne Institute, or Ohio State University. </w:t>
      </w:r>
    </w:p>
    <w:p w14:paraId="647EE2DE" w14:textId="5E7A190F" w:rsidR="00827C9E" w:rsidRDefault="00827C9E" w:rsidP="00D22574">
      <w:pPr>
        <w:pStyle w:val="ListParagraph"/>
        <w:numPr>
          <w:ilvl w:val="0"/>
          <w:numId w:val="2"/>
        </w:numPr>
        <w:spacing w:line="360" w:lineRule="auto"/>
      </w:pPr>
      <w:r w:rsidRPr="00D22574">
        <w:t xml:space="preserve">This study </w:t>
      </w:r>
      <w:proofErr w:type="gramStart"/>
      <w:r w:rsidRPr="00D22574">
        <w:t>has been realized</w:t>
      </w:r>
      <w:proofErr w:type="gramEnd"/>
      <w:r w:rsidRPr="00D22574">
        <w:t xml:space="preserve"> using the data collected by the Swiss Household Panel (SHP), which is based at the Swiss Centre of Expertise in the Social Sciences FORS. The </w:t>
      </w:r>
      <w:proofErr w:type="gramStart"/>
      <w:r w:rsidRPr="00D22574">
        <w:t>project is financed by the Swiss National Science Foundation</w:t>
      </w:r>
      <w:proofErr w:type="gramEnd"/>
      <w:r w:rsidRPr="00D22574">
        <w:t>.</w:t>
      </w:r>
    </w:p>
    <w:p w14:paraId="72D254F5" w14:textId="2F333903" w:rsidR="00827C9E" w:rsidRPr="00D22574" w:rsidRDefault="00827C9E" w:rsidP="00D22574">
      <w:pPr>
        <w:pStyle w:val="ListParagraph"/>
        <w:numPr>
          <w:ilvl w:val="0"/>
          <w:numId w:val="2"/>
        </w:numPr>
        <w:spacing w:line="360" w:lineRule="auto"/>
      </w:pPr>
      <w:r w:rsidRPr="00D22574">
        <w:t xml:space="preserve">The German Socio-Economic Panel Study (SOEP) from the German Institute for Economic Research (DIW), Berlin, were made available through the Cross-National Equivalent File (CNEF), as </w:t>
      </w:r>
      <w:r w:rsidR="00940C09">
        <w:t>were</w:t>
      </w:r>
      <w:r w:rsidR="00940C09" w:rsidRPr="00D22574">
        <w:t xml:space="preserve"> </w:t>
      </w:r>
      <w:r w:rsidRPr="00D22574">
        <w:t>the data for Canada (Canadian Survey of Labor and Income Dynamics; SLID).</w:t>
      </w:r>
    </w:p>
    <w:p w14:paraId="0A1233F1" w14:textId="6463EEE8" w:rsidR="00827C9E" w:rsidRPr="00D22574" w:rsidRDefault="00827C9E" w:rsidP="00D22574">
      <w:pPr>
        <w:pStyle w:val="ListParagraph"/>
        <w:numPr>
          <w:ilvl w:val="0"/>
          <w:numId w:val="2"/>
        </w:numPr>
        <w:spacing w:line="360" w:lineRule="auto"/>
      </w:pPr>
      <w:r w:rsidRPr="00D22574">
        <w:t>U</w:t>
      </w:r>
      <w:r w:rsidR="00940C09">
        <w:t>.</w:t>
      </w:r>
      <w:r w:rsidRPr="00D22574">
        <w:t>S</w:t>
      </w:r>
      <w:r w:rsidR="00940C09">
        <w:t>.</w:t>
      </w:r>
      <w:r w:rsidRPr="00D22574">
        <w:t xml:space="preserve"> estimates </w:t>
      </w:r>
      <w:proofErr w:type="gramStart"/>
      <w:r w:rsidRPr="00D22574">
        <w:t>are based</w:t>
      </w:r>
      <w:proofErr w:type="gramEnd"/>
      <w:r w:rsidRPr="00D22574">
        <w:t xml:space="preserve"> on the Current Population Survey</w:t>
      </w:r>
      <w:r w:rsidR="009C0595" w:rsidRPr="00D22574">
        <w:t xml:space="preserve"> (Flood et al. 2015)</w:t>
      </w:r>
      <w:r w:rsidRPr="00D22574">
        <w:t xml:space="preserve"> or the Panel Study of Income Dynamics (PSID, made available via the CNEF).</w:t>
      </w:r>
    </w:p>
    <w:p w14:paraId="775F5E9E" w14:textId="1ABE4A64" w:rsidR="00827C9E" w:rsidRDefault="00827C9E" w:rsidP="00D22574">
      <w:pPr>
        <w:pStyle w:val="ListParagraph"/>
        <w:numPr>
          <w:ilvl w:val="0"/>
          <w:numId w:val="2"/>
        </w:numPr>
        <w:spacing w:line="360" w:lineRule="auto"/>
      </w:pPr>
      <w:r w:rsidRPr="00D22574">
        <w:lastRenderedPageBreak/>
        <w:t xml:space="preserve">The British Household Panel Study (BHPS) </w:t>
      </w:r>
      <w:proofErr w:type="gramStart"/>
      <w:r w:rsidRPr="00D22574">
        <w:t>was made</w:t>
      </w:r>
      <w:proofErr w:type="gramEnd"/>
      <w:r w:rsidRPr="00D22574">
        <w:t xml:space="preserve"> available through the UK Data Archive. The BHPS is representative only of Great Britain, not the entire United Kingdom.</w:t>
      </w:r>
    </w:p>
    <w:p w14:paraId="11389434" w14:textId="77777777" w:rsidR="004E267D" w:rsidRPr="00D22574" w:rsidRDefault="004E267D" w:rsidP="004E267D">
      <w:pPr>
        <w:spacing w:line="360" w:lineRule="auto"/>
      </w:pPr>
    </w:p>
    <w:p w14:paraId="20BDCAD6" w14:textId="77777777" w:rsidR="003D382B" w:rsidRPr="00D22574" w:rsidRDefault="003D382B" w:rsidP="00D22574">
      <w:pPr>
        <w:pStyle w:val="Heading1"/>
        <w:spacing w:line="360" w:lineRule="auto"/>
      </w:pPr>
      <w:r w:rsidRPr="00D22574">
        <w:t>Country-year</w:t>
      </w:r>
      <w:r w:rsidR="00D22574" w:rsidRPr="00D22574">
        <w:t xml:space="preserve"> coverage </w:t>
      </w:r>
      <w:r w:rsidRPr="00D22574">
        <w:t>and sources</w:t>
      </w:r>
    </w:p>
    <w:p w14:paraId="2C1B3BE6" w14:textId="77777777" w:rsidR="00D810EA" w:rsidRPr="00D22574" w:rsidRDefault="00D810EA" w:rsidP="00D22574">
      <w:pPr>
        <w:spacing w:line="360" w:lineRule="auto"/>
      </w:pPr>
    </w:p>
    <w:p w14:paraId="2BD5BD53" w14:textId="77777777" w:rsidR="00D810EA" w:rsidRPr="00D22574" w:rsidRDefault="00D810EA" w:rsidP="00D22574">
      <w:pPr>
        <w:pStyle w:val="Heading2"/>
        <w:spacing w:line="360" w:lineRule="auto"/>
      </w:pPr>
      <w:r w:rsidRPr="00D22574">
        <w:t>Cross-National Equivalence Files (CNEF)</w:t>
      </w:r>
    </w:p>
    <w:p w14:paraId="41CCD9AA" w14:textId="1DD91307" w:rsidR="00D810EA" w:rsidRPr="00D22574" w:rsidRDefault="00940C09" w:rsidP="00D22574">
      <w:pPr>
        <w:pStyle w:val="ListParagraph"/>
        <w:numPr>
          <w:ilvl w:val="0"/>
          <w:numId w:val="5"/>
        </w:numPr>
        <w:spacing w:line="360" w:lineRule="auto"/>
      </w:pPr>
      <w:r>
        <w:t>Great Britain (</w:t>
      </w:r>
      <w:r w:rsidR="00D810EA" w:rsidRPr="00D22574">
        <w:t>GBR</w:t>
      </w:r>
      <w:r>
        <w:t>)</w:t>
      </w:r>
      <w:r w:rsidR="00D810EA" w:rsidRPr="00D22574">
        <w:t xml:space="preserve"> 1993-2006 (= British Household Panel Survey, BHPS)</w:t>
      </w:r>
    </w:p>
    <w:p w14:paraId="6AC737A8" w14:textId="5B1EFABC" w:rsidR="00D810EA" w:rsidRPr="00D22574" w:rsidRDefault="00940C09" w:rsidP="00D22574">
      <w:pPr>
        <w:pStyle w:val="ListParagraph"/>
        <w:numPr>
          <w:ilvl w:val="0"/>
          <w:numId w:val="5"/>
        </w:numPr>
        <w:spacing w:line="360" w:lineRule="auto"/>
      </w:pPr>
      <w:r>
        <w:t>Germany (</w:t>
      </w:r>
      <w:r w:rsidR="00D810EA" w:rsidRPr="00D22574">
        <w:t>DEU</w:t>
      </w:r>
      <w:r>
        <w:t>)</w:t>
      </w:r>
      <w:r w:rsidR="00D810EA" w:rsidRPr="00D22574">
        <w:t xml:space="preserve"> 1985-201</w:t>
      </w:r>
      <w:r w:rsidR="00EC0738">
        <w:t>7</w:t>
      </w:r>
      <w:r w:rsidR="00D810EA" w:rsidRPr="00D22574">
        <w:t xml:space="preserve"> (= Socio-Economic Panel, SOEP) </w:t>
      </w:r>
    </w:p>
    <w:p w14:paraId="77AF0D42" w14:textId="4E85E58C" w:rsidR="00D810EA" w:rsidRPr="00D22574" w:rsidRDefault="00940C09" w:rsidP="00D22574">
      <w:pPr>
        <w:pStyle w:val="ListParagraph"/>
        <w:numPr>
          <w:ilvl w:val="0"/>
          <w:numId w:val="5"/>
        </w:numPr>
        <w:spacing w:line="360" w:lineRule="auto"/>
      </w:pPr>
      <w:r>
        <w:t>Australia (</w:t>
      </w:r>
      <w:r w:rsidR="00D810EA" w:rsidRPr="00D22574">
        <w:t>AUS</w:t>
      </w:r>
      <w:r>
        <w:t>)</w:t>
      </w:r>
      <w:r w:rsidR="00D810EA" w:rsidRPr="00D22574">
        <w:t xml:space="preserve"> 2002-201</w:t>
      </w:r>
      <w:r w:rsidR="00EC0738">
        <w:t>7</w:t>
      </w:r>
      <w:r w:rsidR="00D810EA" w:rsidRPr="00D22574">
        <w:t xml:space="preserve"> (= Household, Income and Labour Dynamics, HILDA)</w:t>
      </w:r>
    </w:p>
    <w:p w14:paraId="119C861B" w14:textId="01C4113E" w:rsidR="00D810EA" w:rsidRPr="00D22574" w:rsidRDefault="00940C09" w:rsidP="00D22574">
      <w:pPr>
        <w:pStyle w:val="ListParagraph"/>
        <w:numPr>
          <w:ilvl w:val="0"/>
          <w:numId w:val="5"/>
        </w:numPr>
        <w:spacing w:line="360" w:lineRule="auto"/>
      </w:pPr>
      <w:r>
        <w:t>Switzerland (</w:t>
      </w:r>
      <w:r w:rsidR="00D810EA" w:rsidRPr="00D22574">
        <w:t>CHE</w:t>
      </w:r>
      <w:r>
        <w:t>)</w:t>
      </w:r>
      <w:r w:rsidR="00D810EA" w:rsidRPr="00D22574">
        <w:t xml:space="preserve"> 2001-201</w:t>
      </w:r>
      <w:r w:rsidR="00EC0738">
        <w:t>7</w:t>
      </w:r>
      <w:r w:rsidR="00D810EA" w:rsidRPr="00D22574">
        <w:t xml:space="preserve"> (= Swiss Household Panel)</w:t>
      </w:r>
    </w:p>
    <w:p w14:paraId="3CD1674A" w14:textId="4354C8FB" w:rsidR="00D810EA" w:rsidRPr="00D22574" w:rsidRDefault="00940C09" w:rsidP="00D22574">
      <w:pPr>
        <w:pStyle w:val="ListParagraph"/>
        <w:numPr>
          <w:ilvl w:val="0"/>
          <w:numId w:val="5"/>
        </w:numPr>
        <w:spacing w:line="360" w:lineRule="auto"/>
      </w:pPr>
      <w:r>
        <w:t>Canada (</w:t>
      </w:r>
      <w:r w:rsidR="00D810EA" w:rsidRPr="00D22574">
        <w:t>CAN</w:t>
      </w:r>
      <w:r>
        <w:t>)</w:t>
      </w:r>
      <w:r w:rsidR="00D810EA" w:rsidRPr="00D22574">
        <w:t xml:space="preserve"> 1994-2010 (= Survey of Labour and Income Dynamics, SLID)</w:t>
      </w:r>
    </w:p>
    <w:p w14:paraId="4874658A" w14:textId="246EBB93" w:rsidR="00D810EA" w:rsidRPr="00D22574" w:rsidRDefault="00940C09" w:rsidP="00D22574">
      <w:pPr>
        <w:pStyle w:val="ListParagraph"/>
        <w:numPr>
          <w:ilvl w:val="0"/>
          <w:numId w:val="5"/>
        </w:numPr>
        <w:spacing w:line="360" w:lineRule="auto"/>
      </w:pPr>
      <w:r>
        <w:t>United States (</w:t>
      </w:r>
      <w:r w:rsidR="00D810EA" w:rsidRPr="00D22574">
        <w:t>USA</w:t>
      </w:r>
      <w:r>
        <w:t>)</w:t>
      </w:r>
      <w:r w:rsidR="00D810EA" w:rsidRPr="00D22574">
        <w:t xml:space="preserve"> 1971-1997 (= Panel Study of Income Dynamics, PSID) [select analysis]</w:t>
      </w:r>
    </w:p>
    <w:p w14:paraId="346828F0" w14:textId="77777777" w:rsidR="00D810EA" w:rsidRPr="00D22574" w:rsidRDefault="00D810EA" w:rsidP="00D22574">
      <w:pPr>
        <w:spacing w:line="360" w:lineRule="auto"/>
      </w:pPr>
    </w:p>
    <w:p w14:paraId="1AF755CF" w14:textId="77777777" w:rsidR="003D382B" w:rsidRPr="00D22574" w:rsidRDefault="003D382B" w:rsidP="00D22574">
      <w:pPr>
        <w:pStyle w:val="Heading2"/>
        <w:spacing w:line="360" w:lineRule="auto"/>
      </w:pPr>
      <w:r w:rsidRPr="00D22574">
        <w:t>European Community Hous</w:t>
      </w:r>
      <w:r w:rsidR="00D810EA" w:rsidRPr="00D22574">
        <w:t>e</w:t>
      </w:r>
      <w:r w:rsidRPr="00D22574">
        <w:t>hold Panel (ECHP)</w:t>
      </w:r>
    </w:p>
    <w:p w14:paraId="1DA398C7" w14:textId="7F5C436A" w:rsidR="003D382B" w:rsidRPr="00D22574" w:rsidRDefault="00940C09" w:rsidP="00D22574">
      <w:pPr>
        <w:pStyle w:val="ListParagraph"/>
        <w:numPr>
          <w:ilvl w:val="0"/>
          <w:numId w:val="3"/>
        </w:numPr>
        <w:spacing w:line="360" w:lineRule="auto"/>
      </w:pPr>
      <w:r>
        <w:t>Austria (</w:t>
      </w:r>
      <w:r w:rsidR="003D382B" w:rsidRPr="00D22574">
        <w:t>AUT</w:t>
      </w:r>
      <w:r>
        <w:t>)</w:t>
      </w:r>
      <w:r w:rsidR="003D382B" w:rsidRPr="00D22574">
        <w:t xml:space="preserve"> 1995-2000</w:t>
      </w:r>
    </w:p>
    <w:p w14:paraId="2828D513" w14:textId="5747F661" w:rsidR="003D382B" w:rsidRPr="00D22574" w:rsidRDefault="00940C09" w:rsidP="00D22574">
      <w:pPr>
        <w:pStyle w:val="ListParagraph"/>
        <w:numPr>
          <w:ilvl w:val="0"/>
          <w:numId w:val="3"/>
        </w:numPr>
        <w:spacing w:line="360" w:lineRule="auto"/>
      </w:pPr>
      <w:r>
        <w:t>Belgium (</w:t>
      </w:r>
      <w:r w:rsidR="003D382B" w:rsidRPr="00D22574">
        <w:t>BEL</w:t>
      </w:r>
      <w:r>
        <w:t>)</w:t>
      </w:r>
      <w:r w:rsidR="003D382B" w:rsidRPr="00D22574">
        <w:t xml:space="preserve"> 1994-2000</w:t>
      </w:r>
    </w:p>
    <w:p w14:paraId="4182F805" w14:textId="37EF8123" w:rsidR="003D382B" w:rsidRPr="00D22574" w:rsidRDefault="00940C09" w:rsidP="00D22574">
      <w:pPr>
        <w:pStyle w:val="ListParagraph"/>
        <w:numPr>
          <w:ilvl w:val="0"/>
          <w:numId w:val="3"/>
        </w:numPr>
        <w:spacing w:line="360" w:lineRule="auto"/>
      </w:pPr>
      <w:r>
        <w:t>Denmark (</w:t>
      </w:r>
      <w:r w:rsidR="003D382B" w:rsidRPr="00D22574">
        <w:t>DNK</w:t>
      </w:r>
      <w:r>
        <w:t>)</w:t>
      </w:r>
      <w:r w:rsidR="003D382B" w:rsidRPr="00D22574">
        <w:t xml:space="preserve"> 1994-2000</w:t>
      </w:r>
    </w:p>
    <w:p w14:paraId="5871A18B" w14:textId="18D984F0" w:rsidR="003D382B" w:rsidRPr="00D22574" w:rsidRDefault="00940C09" w:rsidP="00D22574">
      <w:pPr>
        <w:pStyle w:val="ListParagraph"/>
        <w:numPr>
          <w:ilvl w:val="0"/>
          <w:numId w:val="3"/>
        </w:numPr>
        <w:spacing w:line="360" w:lineRule="auto"/>
      </w:pPr>
      <w:r>
        <w:t>Spain (</w:t>
      </w:r>
      <w:r w:rsidR="003D382B" w:rsidRPr="00D22574">
        <w:t>ESP</w:t>
      </w:r>
      <w:r>
        <w:t>)</w:t>
      </w:r>
      <w:r w:rsidR="003D382B" w:rsidRPr="00D22574">
        <w:t xml:space="preserve"> 1994-2000</w:t>
      </w:r>
    </w:p>
    <w:p w14:paraId="1A4F4783" w14:textId="4CD09476" w:rsidR="003D382B" w:rsidRPr="00D22574" w:rsidRDefault="00940C09" w:rsidP="00D22574">
      <w:pPr>
        <w:pStyle w:val="ListParagraph"/>
        <w:numPr>
          <w:ilvl w:val="0"/>
          <w:numId w:val="3"/>
        </w:numPr>
        <w:spacing w:line="360" w:lineRule="auto"/>
      </w:pPr>
      <w:r>
        <w:t>Finland (</w:t>
      </w:r>
      <w:r w:rsidR="003D382B" w:rsidRPr="00D22574">
        <w:t>FIN</w:t>
      </w:r>
      <w:r>
        <w:t>)</w:t>
      </w:r>
      <w:r w:rsidR="003D382B" w:rsidRPr="00D22574">
        <w:t xml:space="preserve"> 1996-2000</w:t>
      </w:r>
    </w:p>
    <w:p w14:paraId="6E772349" w14:textId="36101215" w:rsidR="003D382B" w:rsidRPr="00D22574" w:rsidRDefault="00940C09" w:rsidP="00D22574">
      <w:pPr>
        <w:pStyle w:val="ListParagraph"/>
        <w:numPr>
          <w:ilvl w:val="0"/>
          <w:numId w:val="3"/>
        </w:numPr>
        <w:spacing w:line="360" w:lineRule="auto"/>
      </w:pPr>
      <w:r>
        <w:t>France (</w:t>
      </w:r>
      <w:r w:rsidR="003D382B" w:rsidRPr="00D22574">
        <w:t>FRA</w:t>
      </w:r>
      <w:r>
        <w:t>)</w:t>
      </w:r>
      <w:r w:rsidR="003D382B" w:rsidRPr="00D22574">
        <w:t xml:space="preserve"> 1994-2000</w:t>
      </w:r>
    </w:p>
    <w:p w14:paraId="6B919849" w14:textId="0CE19B95" w:rsidR="003D382B" w:rsidRPr="00D22574" w:rsidRDefault="00940C09" w:rsidP="00D22574">
      <w:pPr>
        <w:pStyle w:val="ListParagraph"/>
        <w:numPr>
          <w:ilvl w:val="0"/>
          <w:numId w:val="3"/>
        </w:numPr>
        <w:spacing w:line="360" w:lineRule="auto"/>
      </w:pPr>
      <w:r>
        <w:t>Greece (</w:t>
      </w:r>
      <w:r w:rsidR="003D382B" w:rsidRPr="00D22574">
        <w:t>GRC</w:t>
      </w:r>
      <w:r>
        <w:t>)</w:t>
      </w:r>
      <w:r w:rsidR="003D382B" w:rsidRPr="00D22574">
        <w:t xml:space="preserve"> 1994-2000</w:t>
      </w:r>
    </w:p>
    <w:p w14:paraId="4B8C1098" w14:textId="79E11C57" w:rsidR="003D382B" w:rsidRPr="00D22574" w:rsidRDefault="00940C09" w:rsidP="00D22574">
      <w:pPr>
        <w:pStyle w:val="ListParagraph"/>
        <w:numPr>
          <w:ilvl w:val="0"/>
          <w:numId w:val="3"/>
        </w:numPr>
        <w:spacing w:line="360" w:lineRule="auto"/>
      </w:pPr>
      <w:r>
        <w:t>Ireland (</w:t>
      </w:r>
      <w:r w:rsidR="003D382B" w:rsidRPr="00D22574">
        <w:t>IRL</w:t>
      </w:r>
      <w:r>
        <w:t>)</w:t>
      </w:r>
      <w:r w:rsidR="003D382B" w:rsidRPr="00D22574">
        <w:t xml:space="preserve"> 1994-2000</w:t>
      </w:r>
    </w:p>
    <w:p w14:paraId="57657C98" w14:textId="7058C9B6" w:rsidR="003D382B" w:rsidRPr="00D22574" w:rsidRDefault="00940C09" w:rsidP="00D22574">
      <w:pPr>
        <w:pStyle w:val="ListParagraph"/>
        <w:numPr>
          <w:ilvl w:val="0"/>
          <w:numId w:val="3"/>
        </w:numPr>
        <w:spacing w:line="360" w:lineRule="auto"/>
      </w:pPr>
      <w:r>
        <w:t>Italy (</w:t>
      </w:r>
      <w:r w:rsidR="003D382B" w:rsidRPr="00D22574">
        <w:t>ITA</w:t>
      </w:r>
      <w:r>
        <w:t>)</w:t>
      </w:r>
      <w:r w:rsidR="003D382B" w:rsidRPr="00D22574">
        <w:t xml:space="preserve"> 1994-2000</w:t>
      </w:r>
    </w:p>
    <w:p w14:paraId="6B69CA34" w14:textId="2B1427BB" w:rsidR="003D382B" w:rsidRPr="00D22574" w:rsidRDefault="00940C09" w:rsidP="00D22574">
      <w:pPr>
        <w:pStyle w:val="ListParagraph"/>
        <w:numPr>
          <w:ilvl w:val="0"/>
          <w:numId w:val="3"/>
        </w:numPr>
        <w:spacing w:line="360" w:lineRule="auto"/>
      </w:pPr>
      <w:r>
        <w:t>Netherlands (</w:t>
      </w:r>
      <w:r w:rsidR="003D382B" w:rsidRPr="00D22574">
        <w:t>NLD</w:t>
      </w:r>
      <w:r>
        <w:t>)</w:t>
      </w:r>
      <w:r w:rsidR="003D382B" w:rsidRPr="00D22574">
        <w:t xml:space="preserve"> 1994-2000</w:t>
      </w:r>
    </w:p>
    <w:p w14:paraId="547F17D0" w14:textId="51B63969" w:rsidR="003D382B" w:rsidRPr="00D22574" w:rsidRDefault="00940C09" w:rsidP="00D22574">
      <w:pPr>
        <w:pStyle w:val="ListParagraph"/>
        <w:numPr>
          <w:ilvl w:val="0"/>
          <w:numId w:val="3"/>
        </w:numPr>
        <w:spacing w:line="360" w:lineRule="auto"/>
      </w:pPr>
      <w:r>
        <w:t>Portugal (</w:t>
      </w:r>
      <w:r w:rsidR="003D382B" w:rsidRPr="00D22574">
        <w:t>PRT</w:t>
      </w:r>
      <w:r>
        <w:t>)</w:t>
      </w:r>
      <w:r w:rsidR="003D382B" w:rsidRPr="00D22574">
        <w:t xml:space="preserve"> 1994-2000</w:t>
      </w:r>
    </w:p>
    <w:p w14:paraId="2AC16832" w14:textId="77777777" w:rsidR="003D382B" w:rsidRPr="00D22574" w:rsidRDefault="003D382B" w:rsidP="00D22574">
      <w:pPr>
        <w:spacing w:line="360" w:lineRule="auto"/>
      </w:pPr>
    </w:p>
    <w:p w14:paraId="58C713A4" w14:textId="77777777" w:rsidR="003D382B" w:rsidRPr="00D22574" w:rsidRDefault="003D382B" w:rsidP="00D22574">
      <w:pPr>
        <w:pStyle w:val="Heading2"/>
        <w:spacing w:line="360" w:lineRule="auto"/>
      </w:pPr>
      <w:r w:rsidRPr="00D22574">
        <w:t>Survey of Income and Living Conditions (SILC)</w:t>
      </w:r>
    </w:p>
    <w:p w14:paraId="68494D5F" w14:textId="77777777" w:rsidR="003D382B" w:rsidRPr="00D22574" w:rsidRDefault="003D382B" w:rsidP="00D22574">
      <w:pPr>
        <w:pStyle w:val="ListParagraph"/>
        <w:numPr>
          <w:ilvl w:val="0"/>
          <w:numId w:val="4"/>
        </w:numPr>
        <w:spacing w:line="360" w:lineRule="auto"/>
      </w:pPr>
      <w:r w:rsidRPr="00D22574">
        <w:t>AUT 2004-2014</w:t>
      </w:r>
    </w:p>
    <w:p w14:paraId="5F2A2AB3" w14:textId="77777777" w:rsidR="003D382B" w:rsidRPr="00D22574" w:rsidRDefault="003D382B" w:rsidP="00D22574">
      <w:pPr>
        <w:pStyle w:val="ListParagraph"/>
        <w:numPr>
          <w:ilvl w:val="0"/>
          <w:numId w:val="4"/>
        </w:numPr>
        <w:spacing w:line="360" w:lineRule="auto"/>
      </w:pPr>
      <w:r w:rsidRPr="00D22574">
        <w:t>BEL 2004-2014</w:t>
      </w:r>
    </w:p>
    <w:p w14:paraId="6FB4F229" w14:textId="77777777" w:rsidR="003D382B" w:rsidRPr="00D22574" w:rsidRDefault="003D382B" w:rsidP="00D22574">
      <w:pPr>
        <w:pStyle w:val="ListParagraph"/>
        <w:numPr>
          <w:ilvl w:val="0"/>
          <w:numId w:val="4"/>
        </w:numPr>
        <w:spacing w:line="360" w:lineRule="auto"/>
      </w:pPr>
      <w:r w:rsidRPr="00D22574">
        <w:t>DNK 2003-2014</w:t>
      </w:r>
    </w:p>
    <w:p w14:paraId="0BBB06A2" w14:textId="77777777" w:rsidR="003D382B" w:rsidRPr="00D22574" w:rsidRDefault="003D382B" w:rsidP="00D22574">
      <w:pPr>
        <w:pStyle w:val="ListParagraph"/>
        <w:numPr>
          <w:ilvl w:val="0"/>
          <w:numId w:val="4"/>
        </w:numPr>
        <w:spacing w:line="360" w:lineRule="auto"/>
      </w:pPr>
      <w:r w:rsidRPr="00D22574">
        <w:lastRenderedPageBreak/>
        <w:t>ESP 2004-2014</w:t>
      </w:r>
    </w:p>
    <w:p w14:paraId="20FA3285" w14:textId="77777777" w:rsidR="003D382B" w:rsidRPr="00D22574" w:rsidRDefault="003D382B" w:rsidP="00D22574">
      <w:pPr>
        <w:pStyle w:val="ListParagraph"/>
        <w:numPr>
          <w:ilvl w:val="0"/>
          <w:numId w:val="4"/>
        </w:numPr>
        <w:spacing w:line="360" w:lineRule="auto"/>
      </w:pPr>
      <w:r w:rsidRPr="00D22574">
        <w:t>FIN 2004-2014</w:t>
      </w:r>
    </w:p>
    <w:p w14:paraId="3970DE9A" w14:textId="77777777" w:rsidR="003D382B" w:rsidRPr="00D22574" w:rsidRDefault="003D382B" w:rsidP="00D22574">
      <w:pPr>
        <w:pStyle w:val="ListParagraph"/>
        <w:numPr>
          <w:ilvl w:val="0"/>
          <w:numId w:val="4"/>
        </w:numPr>
        <w:spacing w:line="360" w:lineRule="auto"/>
      </w:pPr>
      <w:r w:rsidRPr="00D22574">
        <w:t>FRA 2005-2014</w:t>
      </w:r>
    </w:p>
    <w:p w14:paraId="3A187BF5" w14:textId="77777777" w:rsidR="003D382B" w:rsidRPr="00D22574" w:rsidRDefault="003D382B" w:rsidP="00D22574">
      <w:pPr>
        <w:pStyle w:val="ListParagraph"/>
        <w:numPr>
          <w:ilvl w:val="0"/>
          <w:numId w:val="4"/>
        </w:numPr>
        <w:spacing w:line="360" w:lineRule="auto"/>
      </w:pPr>
      <w:r w:rsidRPr="00D22574">
        <w:t>GBR 2007-2015</w:t>
      </w:r>
    </w:p>
    <w:p w14:paraId="585840D1" w14:textId="77777777" w:rsidR="003D382B" w:rsidRPr="00D22574" w:rsidRDefault="003D382B" w:rsidP="00D22574">
      <w:pPr>
        <w:pStyle w:val="ListParagraph"/>
        <w:numPr>
          <w:ilvl w:val="0"/>
          <w:numId w:val="4"/>
        </w:numPr>
        <w:spacing w:line="360" w:lineRule="auto"/>
      </w:pPr>
      <w:r w:rsidRPr="00D22574">
        <w:t>GRC 2007-2014</w:t>
      </w:r>
    </w:p>
    <w:p w14:paraId="4CBB7175" w14:textId="77777777" w:rsidR="003D382B" w:rsidRPr="00D22574" w:rsidRDefault="003D382B" w:rsidP="00D22574">
      <w:pPr>
        <w:pStyle w:val="ListParagraph"/>
        <w:numPr>
          <w:ilvl w:val="0"/>
          <w:numId w:val="4"/>
        </w:numPr>
        <w:spacing w:line="360" w:lineRule="auto"/>
      </w:pPr>
      <w:r w:rsidRPr="00D22574">
        <w:t>IRL 2004-2014</w:t>
      </w:r>
    </w:p>
    <w:p w14:paraId="4DFC860C" w14:textId="22B2009D" w:rsidR="003D382B" w:rsidRPr="00D22574" w:rsidRDefault="00940C09" w:rsidP="00D22574">
      <w:pPr>
        <w:pStyle w:val="ListParagraph"/>
        <w:numPr>
          <w:ilvl w:val="0"/>
          <w:numId w:val="4"/>
        </w:numPr>
        <w:spacing w:line="360" w:lineRule="auto"/>
      </w:pPr>
      <w:r>
        <w:t>Iceland (ISL)</w:t>
      </w:r>
      <w:r w:rsidR="003D382B" w:rsidRPr="00D22574">
        <w:t xml:space="preserve"> 2004-2014</w:t>
      </w:r>
    </w:p>
    <w:p w14:paraId="6BAF4D74" w14:textId="77777777" w:rsidR="003D382B" w:rsidRPr="00D22574" w:rsidRDefault="003D382B" w:rsidP="00D22574">
      <w:pPr>
        <w:pStyle w:val="ListParagraph"/>
        <w:numPr>
          <w:ilvl w:val="0"/>
          <w:numId w:val="4"/>
        </w:numPr>
        <w:spacing w:line="360" w:lineRule="auto"/>
      </w:pPr>
      <w:r w:rsidRPr="00D22574">
        <w:t>ITA 2007-2014</w:t>
      </w:r>
    </w:p>
    <w:p w14:paraId="3F3B45D7" w14:textId="618E3905" w:rsidR="003D382B" w:rsidRPr="00D22574" w:rsidRDefault="00940C09" w:rsidP="00D22574">
      <w:pPr>
        <w:pStyle w:val="ListParagraph"/>
        <w:numPr>
          <w:ilvl w:val="0"/>
          <w:numId w:val="4"/>
        </w:numPr>
        <w:spacing w:line="360" w:lineRule="auto"/>
      </w:pPr>
      <w:r>
        <w:t>Luxembourg (</w:t>
      </w:r>
      <w:r w:rsidR="003D382B" w:rsidRPr="00D22574">
        <w:t>LUX</w:t>
      </w:r>
      <w:r>
        <w:t>)</w:t>
      </w:r>
      <w:r w:rsidR="003D382B" w:rsidRPr="00D22574">
        <w:t xml:space="preserve"> 2004-2014</w:t>
      </w:r>
    </w:p>
    <w:p w14:paraId="5FF315C1" w14:textId="77777777" w:rsidR="003D382B" w:rsidRPr="00D22574" w:rsidRDefault="003D382B" w:rsidP="00D22574">
      <w:pPr>
        <w:pStyle w:val="ListParagraph"/>
        <w:numPr>
          <w:ilvl w:val="0"/>
          <w:numId w:val="4"/>
        </w:numPr>
        <w:spacing w:line="360" w:lineRule="auto"/>
      </w:pPr>
      <w:r w:rsidRPr="00D22574">
        <w:t>NLD 2005-2014</w:t>
      </w:r>
    </w:p>
    <w:p w14:paraId="0B96865A" w14:textId="77777777" w:rsidR="003D382B" w:rsidRPr="00D22574" w:rsidRDefault="003D382B" w:rsidP="00D22574">
      <w:pPr>
        <w:pStyle w:val="ListParagraph"/>
        <w:numPr>
          <w:ilvl w:val="0"/>
          <w:numId w:val="4"/>
        </w:numPr>
        <w:spacing w:line="360" w:lineRule="auto"/>
      </w:pPr>
      <w:r w:rsidRPr="00D22574">
        <w:t>NOR 2003-2014</w:t>
      </w:r>
    </w:p>
    <w:p w14:paraId="28ACDA20" w14:textId="77777777" w:rsidR="003D382B" w:rsidRPr="00D22574" w:rsidRDefault="003D382B" w:rsidP="00D22574">
      <w:pPr>
        <w:pStyle w:val="ListParagraph"/>
        <w:numPr>
          <w:ilvl w:val="0"/>
          <w:numId w:val="4"/>
        </w:numPr>
        <w:spacing w:line="360" w:lineRule="auto"/>
      </w:pPr>
      <w:r w:rsidRPr="00D22574">
        <w:t>PRT 2007-2014</w:t>
      </w:r>
    </w:p>
    <w:p w14:paraId="0A38D6A5" w14:textId="15721EDA" w:rsidR="003D382B" w:rsidRPr="00D22574" w:rsidRDefault="00940C09" w:rsidP="00D22574">
      <w:pPr>
        <w:pStyle w:val="ListParagraph"/>
        <w:numPr>
          <w:ilvl w:val="0"/>
          <w:numId w:val="4"/>
        </w:numPr>
        <w:spacing w:line="360" w:lineRule="auto"/>
      </w:pPr>
      <w:r>
        <w:t>Sweden (</w:t>
      </w:r>
      <w:r w:rsidR="003D382B" w:rsidRPr="00D22574">
        <w:t>SWE</w:t>
      </w:r>
      <w:r>
        <w:t>)</w:t>
      </w:r>
      <w:r w:rsidR="003D382B" w:rsidRPr="00D22574">
        <w:t xml:space="preserve"> 2004-2014</w:t>
      </w:r>
    </w:p>
    <w:p w14:paraId="418F2353" w14:textId="77777777" w:rsidR="00D810EA" w:rsidRPr="00D22574" w:rsidRDefault="00D810EA" w:rsidP="00D22574">
      <w:pPr>
        <w:spacing w:line="360" w:lineRule="auto"/>
      </w:pPr>
    </w:p>
    <w:p w14:paraId="2B4B0783" w14:textId="3B5A1AF6" w:rsidR="00963608" w:rsidRPr="00D22574" w:rsidRDefault="00963608" w:rsidP="00D22574">
      <w:pPr>
        <w:pStyle w:val="Heading2"/>
        <w:spacing w:line="360" w:lineRule="auto"/>
      </w:pPr>
      <w:r w:rsidRPr="00D22574">
        <w:t>Current Population Survey (CPS)</w:t>
      </w:r>
      <w:r w:rsidR="00B45183" w:rsidRPr="00152493">
        <w:rPr>
          <w:rStyle w:val="FootnoteReference"/>
        </w:rPr>
        <w:footnoteReference w:id="2"/>
      </w:r>
    </w:p>
    <w:p w14:paraId="786BF6B1" w14:textId="1A2543D2" w:rsidR="003D382B" w:rsidRPr="00D22574" w:rsidRDefault="003D382B" w:rsidP="00D22574">
      <w:pPr>
        <w:pStyle w:val="ListParagraph"/>
        <w:numPr>
          <w:ilvl w:val="0"/>
          <w:numId w:val="6"/>
        </w:numPr>
        <w:spacing w:line="360" w:lineRule="auto"/>
      </w:pPr>
      <w:r w:rsidRPr="00D22574">
        <w:t>USA 1986-201</w:t>
      </w:r>
      <w:r w:rsidR="00EC0738">
        <w:t>2</w:t>
      </w:r>
      <w:r w:rsidRPr="00D22574">
        <w:t xml:space="preserve"> (= Current Population Survey, CPS) [most analys</w:t>
      </w:r>
      <w:r w:rsidR="00A9636E" w:rsidRPr="00D22574">
        <w:t>e</w:t>
      </w:r>
      <w:r w:rsidRPr="00D22574">
        <w:t>s]</w:t>
      </w:r>
    </w:p>
    <w:p w14:paraId="60E3D6CA" w14:textId="77777777" w:rsidR="006D7CEF" w:rsidRPr="00D22574" w:rsidRDefault="006D7CEF" w:rsidP="00D22574">
      <w:pPr>
        <w:spacing w:line="360" w:lineRule="auto"/>
      </w:pPr>
    </w:p>
    <w:p w14:paraId="1FB3F234" w14:textId="34D6BD2E" w:rsidR="002671A9" w:rsidRPr="00D22574" w:rsidRDefault="007470D6" w:rsidP="00D22574">
      <w:pPr>
        <w:spacing w:line="360" w:lineRule="auto"/>
      </w:pPr>
      <w:r w:rsidRPr="00D22574">
        <w:t xml:space="preserve">Most analyses pertaining to the US are based on data from the </w:t>
      </w:r>
      <w:r w:rsidR="00253E41" w:rsidRPr="00D22574">
        <w:t xml:space="preserve">CPS March </w:t>
      </w:r>
      <w:proofErr w:type="gramStart"/>
      <w:r w:rsidR="00253E41" w:rsidRPr="00D22574">
        <w:t>supplement,</w:t>
      </w:r>
      <w:proofErr w:type="gramEnd"/>
      <w:r w:rsidR="00253E41" w:rsidRPr="00D22574">
        <w:t xml:space="preserve"> an annual survey that asks detailed labor force and income questions. It is a large sample of approximately 70,000 households per year and serves as the source for estimating official poverty rates. </w:t>
      </w:r>
      <w:r w:rsidRPr="00D22574">
        <w:t>T</w:t>
      </w:r>
      <w:r w:rsidR="00253E41" w:rsidRPr="00D22574">
        <w:t xml:space="preserve">he March CPS is not a traditional panel survey, in which a set of respondents </w:t>
      </w:r>
      <w:proofErr w:type="gramStart"/>
      <w:r w:rsidR="00253E41" w:rsidRPr="00D22574">
        <w:t>are consistently followed</w:t>
      </w:r>
      <w:proofErr w:type="gramEnd"/>
      <w:r w:rsidR="00253E41" w:rsidRPr="00D22574">
        <w:t xml:space="preserve"> over time. Instead, geographic residences </w:t>
      </w:r>
      <w:proofErr w:type="gramStart"/>
      <w:r w:rsidR="00253E41" w:rsidRPr="00D22574">
        <w:t>are sampled and interviewed on a rotating basis over a period of about a year and a half, regardless of the current occupant</w:t>
      </w:r>
      <w:proofErr w:type="gramEnd"/>
      <w:r w:rsidR="00253E41" w:rsidRPr="00D22574">
        <w:t xml:space="preserve">. Because the survey </w:t>
      </w:r>
      <w:proofErr w:type="gramStart"/>
      <w:r w:rsidR="00253E41" w:rsidRPr="00D22574">
        <w:t>is repeated</w:t>
      </w:r>
      <w:proofErr w:type="gramEnd"/>
      <w:r w:rsidR="00253E41" w:rsidRPr="00D22574">
        <w:t xml:space="preserve"> twice in March, however, it is possible to trace a subset of individuals from one year to the next if the individuals are living in the same housing unit in March of both years. A developed literature exists regarding how to match adjacent years of the CPS March Supplement</w:t>
      </w:r>
      <w:r w:rsidRPr="00D22574">
        <w:t xml:space="preserve"> </w:t>
      </w:r>
      <w:r w:rsidR="002671A9" w:rsidRPr="00D22574">
        <w:t xml:space="preserve">(Feng 2001, 2008; Katz, Tenter, and Sidel 1984; Madrian and Lefgren 2000; Welch 1993). </w:t>
      </w:r>
      <w:r w:rsidR="00253E41" w:rsidRPr="00D22574">
        <w:t xml:space="preserve">Yet there is no method designed </w:t>
      </w:r>
      <w:proofErr w:type="gramStart"/>
      <w:r w:rsidR="00253E41" w:rsidRPr="00D22574">
        <w:t>to comprehensively and uniformly produce</w:t>
      </w:r>
      <w:proofErr w:type="gramEnd"/>
      <w:r w:rsidR="00253E41" w:rsidRPr="00D22574">
        <w:t xml:space="preserve"> a complete </w:t>
      </w:r>
      <w:r w:rsidR="00253E41" w:rsidRPr="00D22574">
        <w:lastRenderedPageBreak/>
        <w:t xml:space="preserve">series of matches </w:t>
      </w:r>
      <w:r w:rsidR="00940C09">
        <w:t>over the CPS’s history</w:t>
      </w:r>
      <w:r w:rsidR="00253E41" w:rsidRPr="00D22574">
        <w:t xml:space="preserve">. Furthermore, as noted by Welch (1993) every study should use its own matching criteria depending on the parameters to </w:t>
      </w:r>
      <w:proofErr w:type="gramStart"/>
      <w:r w:rsidR="00253E41" w:rsidRPr="00D22574">
        <w:t>be measured</w:t>
      </w:r>
      <w:proofErr w:type="gramEnd"/>
      <w:r w:rsidR="00253E41" w:rsidRPr="00D22574">
        <w:t>. Matching algorithms typically take the form of identifying all matches based on anonymous survey identifiers and then validating or invalidating these “naïve” matches (Madrian and Lefgren, 2000) based on observable characteristics. Because we are interested in measuring income instability, it would be problematic to condition potential matches on characteristics highly associated with income volatility—for example, having persistent labor force status or occupational classification.</w:t>
      </w:r>
    </w:p>
    <w:p w14:paraId="555F812B" w14:textId="77777777" w:rsidR="002671A9" w:rsidRPr="00D22574" w:rsidRDefault="002671A9" w:rsidP="00D22574">
      <w:pPr>
        <w:spacing w:line="360" w:lineRule="auto"/>
      </w:pPr>
    </w:p>
    <w:p w14:paraId="4BEB2503" w14:textId="318BA20B" w:rsidR="002671A9" w:rsidRPr="00D22574" w:rsidRDefault="00253E41" w:rsidP="00D22574">
      <w:pPr>
        <w:spacing w:line="360" w:lineRule="auto"/>
      </w:pPr>
      <w:r w:rsidRPr="00D22574">
        <w:t xml:space="preserve">Our matching method </w:t>
      </w:r>
      <w:proofErr w:type="gramStart"/>
      <w:r w:rsidRPr="00D22574">
        <w:t>is motivated</w:t>
      </w:r>
      <w:proofErr w:type="gramEnd"/>
      <w:r w:rsidRPr="00D22574">
        <w:t xml:space="preserve"> by two goals: (1) maximizing potential matches and (2) minimizing any bias introduced by the matching process. The key yardstick for determining whether matches are invalid is the so-called migration flag, which indicates whether someone has moved in the last 12 months—in which case, the individual should not be able to </w:t>
      </w:r>
      <w:proofErr w:type="gramStart"/>
      <w:r w:rsidRPr="00D22574">
        <w:t>be matched</w:t>
      </w:r>
      <w:proofErr w:type="gramEnd"/>
      <w:r w:rsidRPr="00D22574">
        <w:t xml:space="preserve"> in the CPS. However, while limiting the number of mismatches is important, it is at least as important for our analysis that mismatch rates be consistent</w:t>
      </w:r>
      <w:r w:rsidR="00940C09">
        <w:t>,</w:t>
      </w:r>
      <w:r w:rsidRPr="00D22574">
        <w:t xml:space="preserve"> so as not to bias our measure</w:t>
      </w:r>
      <w:r w:rsidR="005932B0">
        <w:t>ment</w:t>
      </w:r>
      <w:r w:rsidRPr="00D22574">
        <w:t xml:space="preserve"> of trends in income instability. At the same time, the CPS data have undergone many changes over the 1986-201</w:t>
      </w:r>
      <w:r w:rsidR="004C5DBF">
        <w:t>2</w:t>
      </w:r>
      <w:r w:rsidRPr="00D22574">
        <w:t xml:space="preserve"> period</w:t>
      </w:r>
      <w:r w:rsidR="00940C09">
        <w:t xml:space="preserve"> we analyze</w:t>
      </w:r>
      <w:r w:rsidRPr="00D22574">
        <w:t>. In particular, the sample size dramatically increased in the early 2000s to allow researchers to study the expansion of children’s health insurance under the State Children’s Health Insurance Program (SCHIP). For the first 3 years of the SCHIP expansion, household identifiers do not uniquely identify households across surveys. Starting in 2005, an additional household identifier is included in the data, which improves the reliability of matches.</w:t>
      </w:r>
    </w:p>
    <w:p w14:paraId="16F7CE7E" w14:textId="77777777" w:rsidR="002671A9" w:rsidRPr="00D22574" w:rsidRDefault="002671A9" w:rsidP="00D22574">
      <w:pPr>
        <w:spacing w:line="360" w:lineRule="auto"/>
      </w:pPr>
    </w:p>
    <w:p w14:paraId="3BB9688D" w14:textId="17C8D2CB" w:rsidR="002671A9" w:rsidRPr="00D22574" w:rsidRDefault="00253E41" w:rsidP="00D22574">
      <w:pPr>
        <w:spacing w:line="360" w:lineRule="auto"/>
      </w:pPr>
      <w:r w:rsidRPr="00D22574">
        <w:t>Given the foregoing, we developed a matching method that uses a distance</w:t>
      </w:r>
      <w:r w:rsidR="002671A9" w:rsidRPr="00D22574">
        <w:t xml:space="preserve"> </w:t>
      </w:r>
      <w:r w:rsidRPr="00D22574">
        <w:t xml:space="preserve">minimization approach to match individuals within households. The household roster in year 1 </w:t>
      </w:r>
      <w:proofErr w:type="gramStart"/>
      <w:r w:rsidRPr="00D22574">
        <w:t>is joined</w:t>
      </w:r>
      <w:proofErr w:type="gramEnd"/>
      <w:r w:rsidRPr="00D22574">
        <w:t xml:space="preserve"> with the roster in year 2 to produce every possible comparison for individuals from both years. Rather than performing a naïve match based on all available identifiers, in other words, we compare all individuals who share a household ID and find those who are most similar. The distance measure used is a weighted score based on a comparison of state, sex, age, race, the individual’s identifying “line number,” and marital status (in order of highest to lowest weight). Line numbers, which are within-household person identifiers (1-39), and marital status are given the </w:t>
      </w:r>
      <w:r w:rsidRPr="00D22574">
        <w:lastRenderedPageBreak/>
        <w:t>lowest weight</w:t>
      </w:r>
      <w:r w:rsidR="004C6FB7">
        <w:t>,</w:t>
      </w:r>
      <w:r w:rsidRPr="00D22574">
        <w:t xml:space="preserve"> because </w:t>
      </w:r>
      <w:r w:rsidR="00940C09">
        <w:t xml:space="preserve">line numbers are missing in some years </w:t>
      </w:r>
      <w:r w:rsidRPr="00D22574">
        <w:t xml:space="preserve">and </w:t>
      </w:r>
      <w:r w:rsidR="00940C09">
        <w:t xml:space="preserve">because </w:t>
      </w:r>
      <w:r w:rsidRPr="00D22574">
        <w:t xml:space="preserve">we do not want to unnecessarily exclude those who experience volatility </w:t>
      </w:r>
      <w:r w:rsidR="004C6FB7">
        <w:t>due to</w:t>
      </w:r>
      <w:r w:rsidRPr="00D22574">
        <w:t xml:space="preserve"> change in family composition.</w:t>
      </w:r>
      <w:r w:rsidR="002671A9" w:rsidRPr="00D22574">
        <w:t xml:space="preserve"> </w:t>
      </w:r>
      <w:r w:rsidRPr="00D22574">
        <w:t xml:space="preserve">Using this weighted score, we consider two individuals a valid match if both are each other’s closest “neighbor” in the household. </w:t>
      </w:r>
      <w:proofErr w:type="gramStart"/>
      <w:r w:rsidRPr="00D22574">
        <w:t>We then perform an additional validation procedure using the magnitude of the distance measure to ensure that the match is actually a close one and not just the best possible within the household</w:t>
      </w:r>
      <w:r w:rsidR="00940C09">
        <w:t xml:space="preserve"> (f</w:t>
      </w:r>
      <w:r w:rsidRPr="00D22574">
        <w:t>or example, a one</w:t>
      </w:r>
      <w:r w:rsidR="004C5DBF">
        <w:t>-</w:t>
      </w:r>
      <w:r w:rsidRPr="00D22574">
        <w:t xml:space="preserve">person dwelling </w:t>
      </w:r>
      <w:r w:rsidR="00940C09">
        <w:t>could</w:t>
      </w:r>
      <w:r w:rsidR="00940C09" w:rsidRPr="00D22574">
        <w:t xml:space="preserve"> </w:t>
      </w:r>
      <w:r w:rsidRPr="00D22574">
        <w:t>match a 30</w:t>
      </w:r>
      <w:r w:rsidR="004C5DBF">
        <w:t>-</w:t>
      </w:r>
      <w:r w:rsidRPr="00D22574">
        <w:t>year old to a 70</w:t>
      </w:r>
      <w:r w:rsidR="004C5DBF">
        <w:t>-</w:t>
      </w:r>
      <w:r w:rsidRPr="00D22574">
        <w:t>year old unless we put some restrictions on the absolute distance allowed between potential matches</w:t>
      </w:r>
      <w:r w:rsidR="00940C09">
        <w:t>—in this case, a reasonable age restriction).</w:t>
      </w:r>
      <w:proofErr w:type="gramEnd"/>
    </w:p>
    <w:p w14:paraId="52ECCC94" w14:textId="77777777" w:rsidR="002671A9" w:rsidRPr="00D22574" w:rsidRDefault="002671A9" w:rsidP="00D22574">
      <w:pPr>
        <w:spacing w:line="360" w:lineRule="auto"/>
      </w:pPr>
    </w:p>
    <w:p w14:paraId="61711E0F" w14:textId="1F60F569" w:rsidR="00672878" w:rsidRPr="00D22574" w:rsidRDefault="00253E41" w:rsidP="00D22574">
      <w:pPr>
        <w:spacing w:line="360" w:lineRule="auto"/>
      </w:pPr>
      <w:r w:rsidRPr="00D22574">
        <w:t xml:space="preserve">The method of matching has several advantages for our purposes. </w:t>
      </w:r>
      <w:r w:rsidR="007D752B">
        <w:t>Most important, it</w:t>
      </w:r>
      <w:r w:rsidR="007D752B" w:rsidRPr="00D22574">
        <w:t xml:space="preserve"> produces a large and stable match rate, and a small and stable mismatch rate.</w:t>
      </w:r>
      <w:r w:rsidR="00CB4A8B">
        <w:t xml:space="preserve"> </w:t>
      </w:r>
      <w:r w:rsidR="007D752B">
        <w:t>B</w:t>
      </w:r>
      <w:r w:rsidRPr="00D22574">
        <w:t xml:space="preserve">ecause we do not require that the line numbers match exactly, we are able </w:t>
      </w:r>
      <w:proofErr w:type="gramStart"/>
      <w:r w:rsidRPr="00D22574">
        <w:t>to reliably match</w:t>
      </w:r>
      <w:proofErr w:type="gramEnd"/>
      <w:r w:rsidRPr="00D22574">
        <w:t xml:space="preserve"> individuals even in years for which line numbers are absent. By considering all possible comparisons, the distance-based approach allows us to find matches without unique person identifiers. </w:t>
      </w:r>
      <w:r w:rsidR="00940C09">
        <w:t>Moreover, because we a</w:t>
      </w:r>
      <w:r w:rsidRPr="00D22574">
        <w:t>pply this method consistently</w:t>
      </w:r>
      <w:r w:rsidR="00940C09">
        <w:t>, we can be certain</w:t>
      </w:r>
      <w:r w:rsidRPr="00D22574">
        <w:t xml:space="preserve"> that any bias created by </w:t>
      </w:r>
      <w:r w:rsidR="00940C09">
        <w:t>it</w:t>
      </w:r>
      <w:r w:rsidRPr="00D22574">
        <w:t xml:space="preserve"> </w:t>
      </w:r>
      <w:proofErr w:type="gramStart"/>
      <w:r w:rsidRPr="00D22574">
        <w:t>is carried</w:t>
      </w:r>
      <w:proofErr w:type="gramEnd"/>
      <w:r w:rsidRPr="00D22574">
        <w:t xml:space="preserve"> through the series and does not affect</w:t>
      </w:r>
      <w:r w:rsidR="007D752B">
        <w:t xml:space="preserve"> only</w:t>
      </w:r>
      <w:r w:rsidRPr="00D22574">
        <w:t xml:space="preserve"> years in which line numbers are missing. </w:t>
      </w:r>
      <w:r w:rsidR="007D752B">
        <w:t>In addition</w:t>
      </w:r>
      <w:r w:rsidRPr="00D22574">
        <w:t>, the use of distance matching provides a solution to the problem of non-unique household IDs. By comparing everyone across households by household ID, the distance</w:t>
      </w:r>
      <w:r w:rsidR="004C6FB7">
        <w:t xml:space="preserve"> </w:t>
      </w:r>
      <w:r w:rsidRPr="00D22574">
        <w:t xml:space="preserve">procedure effectively sorts households based on who is most similar. For continuity, we use this method even when the additional household ID becomes available in 2005. Previous research has attempted to match households in the March supplement to the monthly basic file, as the basic file does not include households who </w:t>
      </w:r>
      <w:proofErr w:type="gramStart"/>
      <w:r w:rsidRPr="00D22574">
        <w:t>are sampled</w:t>
      </w:r>
      <w:proofErr w:type="gramEnd"/>
      <w:r w:rsidRPr="00D22574">
        <w:t xml:space="preserve"> as part of the expansion. We prefer the distance approach because (1) it is unclear that individuals included because of the sample expansion are truly unmatchable across years, and (2) to the extent that we do not trust the household IDs, we do not wish to use them to match to the basic file</w:t>
      </w:r>
      <w:r w:rsidR="00672878" w:rsidRPr="00D22574">
        <w:t xml:space="preserve"> (Madrian and Lefgren 2000)</w:t>
      </w:r>
      <w:r w:rsidRPr="00D22574">
        <w:t xml:space="preserve">.  </w:t>
      </w:r>
    </w:p>
    <w:p w14:paraId="4B9B0C8D" w14:textId="77777777" w:rsidR="006D7CEF" w:rsidRPr="00D22574" w:rsidRDefault="006D7CEF" w:rsidP="00D22574">
      <w:pPr>
        <w:spacing w:line="360" w:lineRule="auto"/>
      </w:pPr>
    </w:p>
    <w:p w14:paraId="163D54AB" w14:textId="450CA9D8" w:rsidR="00827C9E" w:rsidRPr="00D22574" w:rsidRDefault="00827C9E" w:rsidP="00D22574">
      <w:pPr>
        <w:pStyle w:val="Heading1"/>
        <w:spacing w:line="360" w:lineRule="auto"/>
      </w:pPr>
      <w:r w:rsidRPr="00D22574">
        <w:t>Details on Income Variables</w:t>
      </w:r>
      <w:r w:rsidR="00B62ADE">
        <w:rPr>
          <w:rStyle w:val="FootnoteReference"/>
        </w:rPr>
        <w:footnoteReference w:id="3"/>
      </w:r>
    </w:p>
    <w:p w14:paraId="49E5D69F" w14:textId="026EAF13" w:rsidR="00963608" w:rsidRPr="00D22574" w:rsidRDefault="00963608" w:rsidP="00D22574">
      <w:pPr>
        <w:pStyle w:val="BodyText"/>
        <w:spacing w:after="0" w:line="360" w:lineRule="auto"/>
        <w:ind w:firstLine="0"/>
        <w:rPr>
          <w:lang w:val="en-US"/>
        </w:rPr>
      </w:pPr>
      <w:r w:rsidRPr="00D22574">
        <w:rPr>
          <w:lang w:val="en-US"/>
        </w:rPr>
        <w:t xml:space="preserve">For </w:t>
      </w:r>
      <w:r w:rsidR="00A9636E" w:rsidRPr="00D22574">
        <w:rPr>
          <w:lang w:val="en-US"/>
        </w:rPr>
        <w:t>our</w:t>
      </w:r>
      <w:r w:rsidRPr="00D22574">
        <w:rPr>
          <w:lang w:val="en-US"/>
        </w:rPr>
        <w:t xml:space="preserve"> analys</w:t>
      </w:r>
      <w:r w:rsidR="00A9636E" w:rsidRPr="00D22574">
        <w:rPr>
          <w:lang w:val="en-US"/>
        </w:rPr>
        <w:t>e</w:t>
      </w:r>
      <w:r w:rsidRPr="00D22574">
        <w:rPr>
          <w:lang w:val="en-US"/>
        </w:rPr>
        <w:t xml:space="preserve">s, we need to have </w:t>
      </w:r>
      <w:r w:rsidR="004C6FB7">
        <w:rPr>
          <w:lang w:val="en-US"/>
        </w:rPr>
        <w:t>data</w:t>
      </w:r>
      <w:r w:rsidR="004C6FB7" w:rsidRPr="00D22574">
        <w:rPr>
          <w:lang w:val="en-US"/>
        </w:rPr>
        <w:t xml:space="preserve"> </w:t>
      </w:r>
      <w:r w:rsidRPr="00D22574">
        <w:rPr>
          <w:lang w:val="en-US"/>
        </w:rPr>
        <w:t>on market income (MI) and disposable income (DI). The construction of these variables requires some choices, as detailed next.</w:t>
      </w:r>
    </w:p>
    <w:p w14:paraId="11677BF0" w14:textId="77777777" w:rsidR="00D810EA" w:rsidRPr="00D22574" w:rsidRDefault="00D810EA" w:rsidP="00D22574">
      <w:pPr>
        <w:spacing w:line="360" w:lineRule="auto"/>
        <w:rPr>
          <w:lang w:val="x-none"/>
        </w:rPr>
      </w:pPr>
    </w:p>
    <w:p w14:paraId="4A0A686C" w14:textId="77777777" w:rsidR="00D22574" w:rsidRPr="00D22574" w:rsidRDefault="00D22574" w:rsidP="00D22574">
      <w:pPr>
        <w:pStyle w:val="Heading2"/>
        <w:spacing w:line="360" w:lineRule="auto"/>
      </w:pPr>
      <w:r w:rsidRPr="00D22574">
        <w:lastRenderedPageBreak/>
        <w:t>Components of income variables</w:t>
      </w:r>
    </w:p>
    <w:p w14:paraId="0C54E6F5" w14:textId="5DD46179" w:rsidR="00D810EA" w:rsidRPr="00D22574" w:rsidRDefault="007D752B" w:rsidP="00D22574">
      <w:pPr>
        <w:pStyle w:val="Heading3"/>
        <w:spacing w:line="360" w:lineRule="auto"/>
      </w:pPr>
      <w:r>
        <w:t>Cross-National Equivalence Files</w:t>
      </w:r>
      <w:r w:rsidR="00B62ADE">
        <w:t xml:space="preserve"> (CNEF)</w:t>
      </w:r>
    </w:p>
    <w:p w14:paraId="302CF1D0" w14:textId="12556664" w:rsidR="00D810EA" w:rsidRPr="00D22574" w:rsidRDefault="00D810EA" w:rsidP="00D22574">
      <w:pPr>
        <w:pStyle w:val="BodyText"/>
        <w:spacing w:after="0" w:line="360" w:lineRule="auto"/>
        <w:ind w:firstLine="0"/>
        <w:rPr>
          <w:lang w:val="en-US"/>
        </w:rPr>
      </w:pPr>
      <w:r w:rsidRPr="00D22574">
        <w:t xml:space="preserve">For the data from the CNEF, we employ the constructed variables for household pre-government income [i11101] (which represents the combined income before taxes and government transfers of the head, partner, and other family members) and household post-government income [i11102] (the combined income after taxes and government transfers of the head, partner, and other family members). For </w:t>
      </w:r>
      <w:r w:rsidRPr="00D22574">
        <w:rPr>
          <w:lang w:val="en-US"/>
        </w:rPr>
        <w:t xml:space="preserve">Australia, </w:t>
      </w:r>
      <w:r w:rsidRPr="00D22574">
        <w:t>Germany, Switzerland</w:t>
      </w:r>
      <w:r w:rsidRPr="00D22574">
        <w:rPr>
          <w:lang w:val="en-US"/>
        </w:rPr>
        <w:t xml:space="preserve">, and the </w:t>
      </w:r>
      <w:r w:rsidR="007D752B">
        <w:rPr>
          <w:lang w:val="en-US"/>
        </w:rPr>
        <w:t>United Kingdom</w:t>
      </w:r>
      <w:r w:rsidRPr="00D22574">
        <w:t>, we have access to the original data sources. For the sake of comparability, however, we rely on the CNEF</w:t>
      </w:r>
      <w:r w:rsidRPr="00D22574">
        <w:rPr>
          <w:lang w:val="en-US"/>
        </w:rPr>
        <w:t xml:space="preserve">. </w:t>
      </w:r>
    </w:p>
    <w:p w14:paraId="474583DE" w14:textId="77777777" w:rsidR="00D810EA" w:rsidRPr="00D22574" w:rsidRDefault="00D810EA" w:rsidP="00D22574">
      <w:pPr>
        <w:pStyle w:val="BodyText"/>
        <w:spacing w:after="0" w:line="360" w:lineRule="auto"/>
        <w:ind w:firstLine="0"/>
        <w:rPr>
          <w:lang w:val="en-US"/>
        </w:rPr>
      </w:pPr>
    </w:p>
    <w:p w14:paraId="50E0A42E" w14:textId="7A8AB21A" w:rsidR="00D810EA" w:rsidRPr="00D22574" w:rsidRDefault="00D810EA" w:rsidP="00D22574">
      <w:pPr>
        <w:pStyle w:val="BodyText"/>
        <w:spacing w:after="0" w:line="360" w:lineRule="auto"/>
        <w:ind w:firstLine="0"/>
        <w:rPr>
          <w:lang w:val="en-US"/>
        </w:rPr>
      </w:pPr>
      <w:r w:rsidRPr="00D22574">
        <w:rPr>
          <w:lang w:val="en-US"/>
        </w:rPr>
        <w:t xml:space="preserve">The BHPS sample </w:t>
      </w:r>
      <w:proofErr w:type="gramStart"/>
      <w:r w:rsidRPr="00D22574">
        <w:rPr>
          <w:lang w:val="en-US"/>
        </w:rPr>
        <w:t>has been continued</w:t>
      </w:r>
      <w:proofErr w:type="gramEnd"/>
      <w:r w:rsidRPr="00D22574">
        <w:rPr>
          <w:lang w:val="en-US"/>
        </w:rPr>
        <w:t xml:space="preserve"> as a sub-sample in the Understanding Society/ UK Household Longitudinal Study (UKHLS) panel study. However, changes in the collection of income information lead to a break in the series. We therefore do not use UKHLS data, but rely on SILC data for the years after the last wave of the BHPS.</w:t>
      </w:r>
    </w:p>
    <w:p w14:paraId="55074BF5" w14:textId="77777777" w:rsidR="00D810EA" w:rsidRPr="00D22574" w:rsidRDefault="00D810EA" w:rsidP="00D22574">
      <w:pPr>
        <w:pStyle w:val="BodyText"/>
        <w:spacing w:after="0" w:line="360" w:lineRule="auto"/>
        <w:ind w:firstLine="0"/>
      </w:pPr>
    </w:p>
    <w:p w14:paraId="13F9C847" w14:textId="35DF8B3A" w:rsidR="00D810EA" w:rsidRPr="00D22574" w:rsidRDefault="00D810EA" w:rsidP="00D22574">
      <w:pPr>
        <w:pStyle w:val="BodyText"/>
        <w:spacing w:after="0" w:line="360" w:lineRule="auto"/>
        <w:ind w:firstLine="0"/>
        <w:rPr>
          <w:lang w:val="en-US"/>
        </w:rPr>
      </w:pPr>
      <w:r w:rsidRPr="00D22574">
        <w:rPr>
          <w:lang w:val="en-US"/>
        </w:rPr>
        <w:t>For analyses that do not require long-term panels, our U</w:t>
      </w:r>
      <w:r w:rsidR="007D752B">
        <w:rPr>
          <w:lang w:val="en-US"/>
        </w:rPr>
        <w:t>.</w:t>
      </w:r>
      <w:r w:rsidRPr="00D22574">
        <w:rPr>
          <w:lang w:val="en-US"/>
        </w:rPr>
        <w:t>S</w:t>
      </w:r>
      <w:r w:rsidR="007D752B">
        <w:rPr>
          <w:lang w:val="en-US"/>
        </w:rPr>
        <w:t>.</w:t>
      </w:r>
      <w:r w:rsidRPr="00D22574">
        <w:rPr>
          <w:lang w:val="en-US"/>
        </w:rPr>
        <w:t xml:space="preserve"> data source is the CPS (see </w:t>
      </w:r>
      <w:r w:rsidR="004C5DBF">
        <w:rPr>
          <w:lang w:val="en-US"/>
        </w:rPr>
        <w:t>above</w:t>
      </w:r>
      <w:r w:rsidRPr="00D22574">
        <w:rPr>
          <w:lang w:val="en-US"/>
        </w:rPr>
        <w:t>), which allows the construction of one-year panels. However, parts of our analyses use long-term panels, in which case we rely on the PSID, as provided by the CNEF.</w:t>
      </w:r>
      <w:r w:rsidRPr="00152493">
        <w:rPr>
          <w:rStyle w:val="FootnoteReference"/>
        </w:rPr>
        <w:footnoteReference w:id="4"/>
      </w:r>
    </w:p>
    <w:p w14:paraId="70851033" w14:textId="77777777" w:rsidR="00D810EA" w:rsidRPr="00D22574" w:rsidRDefault="00D810EA" w:rsidP="00D22574">
      <w:pPr>
        <w:pStyle w:val="BodyText"/>
        <w:spacing w:after="0" w:line="360" w:lineRule="auto"/>
        <w:ind w:firstLine="0"/>
      </w:pPr>
    </w:p>
    <w:p w14:paraId="3BCB6E83" w14:textId="438D1BE5" w:rsidR="00963608" w:rsidRPr="00D22574" w:rsidRDefault="007D752B" w:rsidP="00D22574">
      <w:pPr>
        <w:pStyle w:val="Heading3"/>
        <w:spacing w:line="360" w:lineRule="auto"/>
      </w:pPr>
      <w:r>
        <w:t xml:space="preserve">European Community Household </w:t>
      </w:r>
      <w:proofErr w:type="gramStart"/>
      <w:r>
        <w:t xml:space="preserve">Panel </w:t>
      </w:r>
      <w:r w:rsidR="00B62ADE">
        <w:t xml:space="preserve"> (</w:t>
      </w:r>
      <w:proofErr w:type="gramEnd"/>
      <w:r w:rsidR="00B62ADE">
        <w:t>ECHP)</w:t>
      </w:r>
    </w:p>
    <w:p w14:paraId="065B6658" w14:textId="2F937CA1" w:rsidR="008D3FFF" w:rsidRPr="00D22574" w:rsidRDefault="00FA40E0" w:rsidP="00D22574">
      <w:pPr>
        <w:spacing w:line="360" w:lineRule="auto"/>
      </w:pPr>
      <w:r w:rsidRPr="00D22574">
        <w:t xml:space="preserve">For most countries, income variables in the ECHP </w:t>
      </w:r>
      <w:proofErr w:type="gramStart"/>
      <w:r w:rsidRPr="00D22574">
        <w:t>are reported</w:t>
      </w:r>
      <w:proofErr w:type="gramEnd"/>
      <w:r w:rsidRPr="00D22574">
        <w:t xml:space="preserve"> net of taxes (</w:t>
      </w:r>
      <w:r w:rsidR="004C5DBF">
        <w:t xml:space="preserve">but </w:t>
      </w:r>
      <w:r w:rsidRPr="00D22574">
        <w:t xml:space="preserve">they include taxes in France and Finland). </w:t>
      </w:r>
      <w:r w:rsidR="008D3FFF" w:rsidRPr="00D22574">
        <w:t xml:space="preserve">We use variable “HI100 Total net household income” as our </w:t>
      </w:r>
      <w:r w:rsidR="005932B0">
        <w:t xml:space="preserve">measure of </w:t>
      </w:r>
      <w:r w:rsidR="008D3FFF" w:rsidRPr="00D22574">
        <w:t>DI. It is the sum of the following variables:</w:t>
      </w:r>
    </w:p>
    <w:p w14:paraId="7B71EDC5" w14:textId="77777777" w:rsidR="008D3FFF" w:rsidRPr="00D22574" w:rsidRDefault="008D3FFF" w:rsidP="00D22574">
      <w:pPr>
        <w:pStyle w:val="ListParagraph"/>
        <w:numPr>
          <w:ilvl w:val="0"/>
          <w:numId w:val="6"/>
        </w:numPr>
        <w:spacing w:line="360" w:lineRule="auto"/>
      </w:pPr>
      <w:r w:rsidRPr="00D22574">
        <w:t>HI111 Wage and salary earnings</w:t>
      </w:r>
    </w:p>
    <w:p w14:paraId="5CBB9A6C" w14:textId="77777777" w:rsidR="008D3FFF" w:rsidRPr="00D22574" w:rsidRDefault="008D3FFF" w:rsidP="00D22574">
      <w:pPr>
        <w:pStyle w:val="ListParagraph"/>
        <w:numPr>
          <w:ilvl w:val="0"/>
          <w:numId w:val="6"/>
        </w:numPr>
        <w:spacing w:line="360" w:lineRule="auto"/>
      </w:pPr>
      <w:r w:rsidRPr="00D22574">
        <w:t>HI112 Self-employment earnings</w:t>
      </w:r>
    </w:p>
    <w:p w14:paraId="242004D1" w14:textId="77777777" w:rsidR="008D3FFF" w:rsidRPr="00D22574" w:rsidRDefault="008D3FFF" w:rsidP="00D22574">
      <w:pPr>
        <w:pStyle w:val="ListParagraph"/>
        <w:numPr>
          <w:ilvl w:val="0"/>
          <w:numId w:val="6"/>
        </w:numPr>
        <w:spacing w:line="360" w:lineRule="auto"/>
      </w:pPr>
      <w:r w:rsidRPr="00D22574">
        <w:lastRenderedPageBreak/>
        <w:t>HI121 Capital income</w:t>
      </w:r>
    </w:p>
    <w:p w14:paraId="7B6588C2" w14:textId="77777777" w:rsidR="008D3FFF" w:rsidRPr="00D22574" w:rsidRDefault="008D3FFF" w:rsidP="00D22574">
      <w:pPr>
        <w:pStyle w:val="ListParagraph"/>
        <w:numPr>
          <w:ilvl w:val="0"/>
          <w:numId w:val="6"/>
        </w:numPr>
        <w:spacing w:line="360" w:lineRule="auto"/>
      </w:pPr>
      <w:r w:rsidRPr="00D22574">
        <w:t>HI122 Property/rental income</w:t>
      </w:r>
    </w:p>
    <w:p w14:paraId="013C7B95" w14:textId="77777777" w:rsidR="008D3FFF" w:rsidRPr="00D22574" w:rsidRDefault="008D3FFF" w:rsidP="00D22574">
      <w:pPr>
        <w:pStyle w:val="ListParagraph"/>
        <w:numPr>
          <w:ilvl w:val="0"/>
          <w:numId w:val="6"/>
        </w:numPr>
        <w:spacing w:line="360" w:lineRule="auto"/>
      </w:pPr>
      <w:r w:rsidRPr="00D22574">
        <w:t>HI123 Private transfers received</w:t>
      </w:r>
    </w:p>
    <w:p w14:paraId="085DB569" w14:textId="77777777" w:rsidR="008D3FFF" w:rsidRPr="00D22574" w:rsidRDefault="008D3FFF" w:rsidP="00D22574">
      <w:pPr>
        <w:pStyle w:val="ListParagraph"/>
        <w:numPr>
          <w:ilvl w:val="0"/>
          <w:numId w:val="6"/>
        </w:numPr>
        <w:spacing w:line="360" w:lineRule="auto"/>
      </w:pPr>
      <w:r w:rsidRPr="00D22574">
        <w:t>HI131 Unemployment related benefits</w:t>
      </w:r>
    </w:p>
    <w:p w14:paraId="0E052C0E" w14:textId="77777777" w:rsidR="008D3FFF" w:rsidRPr="00D22574" w:rsidRDefault="008D3FFF" w:rsidP="00D22574">
      <w:pPr>
        <w:pStyle w:val="ListParagraph"/>
        <w:numPr>
          <w:ilvl w:val="0"/>
          <w:numId w:val="6"/>
        </w:numPr>
        <w:spacing w:line="360" w:lineRule="auto"/>
      </w:pPr>
      <w:r w:rsidRPr="00D22574">
        <w:t>HI132 Old-age/survivors' benefits</w:t>
      </w:r>
    </w:p>
    <w:p w14:paraId="7777C8D2" w14:textId="77777777" w:rsidR="008D3FFF" w:rsidRPr="00D22574" w:rsidRDefault="008D3FFF" w:rsidP="00D22574">
      <w:pPr>
        <w:pStyle w:val="ListParagraph"/>
        <w:numPr>
          <w:ilvl w:val="0"/>
          <w:numId w:val="6"/>
        </w:numPr>
        <w:spacing w:line="360" w:lineRule="auto"/>
      </w:pPr>
      <w:r w:rsidRPr="00D22574">
        <w:t>HI133 Family-related allowances</w:t>
      </w:r>
    </w:p>
    <w:p w14:paraId="49601D88" w14:textId="77777777" w:rsidR="008D3FFF" w:rsidRPr="00D22574" w:rsidRDefault="008D3FFF" w:rsidP="00D22574">
      <w:pPr>
        <w:pStyle w:val="ListParagraph"/>
        <w:numPr>
          <w:ilvl w:val="0"/>
          <w:numId w:val="6"/>
        </w:numPr>
        <w:spacing w:line="360" w:lineRule="auto"/>
      </w:pPr>
      <w:r w:rsidRPr="00D22574">
        <w:t>HI134 Sickness/invalidity benefits</w:t>
      </w:r>
    </w:p>
    <w:p w14:paraId="0759C898" w14:textId="77777777" w:rsidR="008D3FFF" w:rsidRPr="00D22574" w:rsidRDefault="008D3FFF" w:rsidP="00D22574">
      <w:pPr>
        <w:pStyle w:val="ListParagraph"/>
        <w:numPr>
          <w:ilvl w:val="0"/>
          <w:numId w:val="6"/>
        </w:numPr>
        <w:spacing w:line="360" w:lineRule="auto"/>
      </w:pPr>
      <w:r w:rsidRPr="00D22574">
        <w:t>HI135 Education-related allowances</w:t>
      </w:r>
    </w:p>
    <w:p w14:paraId="1A712F0F" w14:textId="77777777" w:rsidR="008D3FFF" w:rsidRPr="00D22574" w:rsidRDefault="008D3FFF" w:rsidP="00D22574">
      <w:pPr>
        <w:pStyle w:val="ListParagraph"/>
        <w:numPr>
          <w:ilvl w:val="0"/>
          <w:numId w:val="6"/>
        </w:numPr>
        <w:spacing w:line="360" w:lineRule="auto"/>
      </w:pPr>
      <w:r w:rsidRPr="00D22574">
        <w:t>HI136 Any other (personal) benefits</w:t>
      </w:r>
    </w:p>
    <w:p w14:paraId="03272300" w14:textId="77777777" w:rsidR="008D3FFF" w:rsidRPr="00D22574" w:rsidRDefault="008D3FFF" w:rsidP="00D22574">
      <w:pPr>
        <w:pStyle w:val="ListParagraph"/>
        <w:numPr>
          <w:ilvl w:val="0"/>
          <w:numId w:val="6"/>
        </w:numPr>
        <w:spacing w:line="360" w:lineRule="auto"/>
      </w:pPr>
      <w:r w:rsidRPr="00D22574">
        <w:t>HI137 Social assistance</w:t>
      </w:r>
    </w:p>
    <w:p w14:paraId="0F767498" w14:textId="77777777" w:rsidR="008D3FFF" w:rsidRPr="00D22574" w:rsidRDefault="008D3FFF" w:rsidP="00D22574">
      <w:pPr>
        <w:pStyle w:val="ListParagraph"/>
        <w:numPr>
          <w:ilvl w:val="0"/>
          <w:numId w:val="6"/>
        </w:numPr>
        <w:spacing w:line="360" w:lineRule="auto"/>
      </w:pPr>
      <w:r w:rsidRPr="00D22574">
        <w:t>HI138 Housing allowance</w:t>
      </w:r>
    </w:p>
    <w:p w14:paraId="4E63AA89" w14:textId="77777777" w:rsidR="008D3FFF" w:rsidRPr="00D22574" w:rsidRDefault="008D3FFF" w:rsidP="00D22574">
      <w:pPr>
        <w:spacing w:line="360" w:lineRule="auto"/>
      </w:pPr>
    </w:p>
    <w:p w14:paraId="609226E7" w14:textId="77777777" w:rsidR="008D3FFF" w:rsidRPr="00D22574" w:rsidRDefault="008D3FFF" w:rsidP="00D22574">
      <w:pPr>
        <w:spacing w:line="360" w:lineRule="auto"/>
      </w:pPr>
      <w:r w:rsidRPr="00D22574">
        <w:t>To derive MI, we take DI, subtract social transfers (variables H131 to HI138), and add taxes (derived from HI020).</w:t>
      </w:r>
      <w:r w:rsidRPr="00152493">
        <w:rPr>
          <w:rStyle w:val="FootnoteReference"/>
        </w:rPr>
        <w:footnoteReference w:id="5"/>
      </w:r>
      <w:r w:rsidRPr="00D22574">
        <w:t xml:space="preserve"> </w:t>
      </w:r>
    </w:p>
    <w:p w14:paraId="61EB63A7" w14:textId="77777777" w:rsidR="008D3FFF" w:rsidRPr="00D22574" w:rsidRDefault="008D3FFF" w:rsidP="00D22574">
      <w:pPr>
        <w:spacing w:line="360" w:lineRule="auto"/>
      </w:pPr>
    </w:p>
    <w:p w14:paraId="1E5AE18D" w14:textId="5AC9A8EB" w:rsidR="00963608" w:rsidRPr="00D22574" w:rsidRDefault="00963608" w:rsidP="00D22574">
      <w:pPr>
        <w:pStyle w:val="Heading3"/>
        <w:spacing w:line="360" w:lineRule="auto"/>
      </w:pPr>
      <w:r w:rsidRPr="00D22574">
        <w:t>S</w:t>
      </w:r>
      <w:r w:rsidR="007D752B">
        <w:t xml:space="preserve">urvey of </w:t>
      </w:r>
      <w:r w:rsidRPr="00D22574">
        <w:t>I</w:t>
      </w:r>
      <w:r w:rsidR="007D752B">
        <w:t xml:space="preserve">ncome and </w:t>
      </w:r>
      <w:r w:rsidRPr="00D22574">
        <w:t>L</w:t>
      </w:r>
      <w:r w:rsidR="007D752B">
        <w:t xml:space="preserve">iving </w:t>
      </w:r>
      <w:r w:rsidRPr="00D22574">
        <w:t>C</w:t>
      </w:r>
      <w:r w:rsidR="007D752B">
        <w:t>onditions</w:t>
      </w:r>
      <w:r w:rsidR="00B62ADE">
        <w:t xml:space="preserve"> (SILC)</w:t>
      </w:r>
    </w:p>
    <w:p w14:paraId="1F8B9692" w14:textId="41E78240" w:rsidR="00963608" w:rsidRPr="00D22574" w:rsidRDefault="00963608" w:rsidP="00D22574">
      <w:pPr>
        <w:pStyle w:val="BodyText"/>
        <w:spacing w:after="0" w:line="360" w:lineRule="auto"/>
        <w:ind w:firstLine="0"/>
      </w:pPr>
      <w:r w:rsidRPr="00D22574">
        <w:t>SILC contains detailed income data. Market income is the sum of cash income from work or property, including employee cash or near</w:t>
      </w:r>
      <w:r w:rsidR="007D752B">
        <w:t>-</w:t>
      </w:r>
      <w:r w:rsidRPr="00D22574">
        <w:t>cash income</w:t>
      </w:r>
      <w:r w:rsidR="007D752B">
        <w:t>;</w:t>
      </w:r>
      <w:r w:rsidRPr="00D22574">
        <w:t xml:space="preserve"> cash benefits or losses from self-employment”</w:t>
      </w:r>
      <w:r w:rsidR="004C6FB7">
        <w:rPr>
          <w:lang w:val="en-US"/>
        </w:rPr>
        <w:t>;</w:t>
      </w:r>
      <w:r w:rsidRPr="00D22574">
        <w:t xml:space="preserve"> income from rental of a property or land</w:t>
      </w:r>
      <w:r w:rsidR="007D752B">
        <w:t>;</w:t>
      </w:r>
      <w:r w:rsidRPr="00D22574">
        <w:t xml:space="preserve"> and interest, dividends,</w:t>
      </w:r>
      <w:r w:rsidR="004C6FB7">
        <w:rPr>
          <w:lang w:val="en-US"/>
        </w:rPr>
        <w:t xml:space="preserve"> and</w:t>
      </w:r>
      <w:r w:rsidRPr="00D22574">
        <w:t xml:space="preserve"> profit</w:t>
      </w:r>
      <w:r w:rsidR="004C6FB7">
        <w:rPr>
          <w:lang w:val="en-US"/>
        </w:rPr>
        <w:t>s</w:t>
      </w:r>
      <w:r w:rsidRPr="00D22574">
        <w:t xml:space="preserve"> from capital investments in unincorporated business. To calculate disposable income, we add transfer income. Person-level variables are aggregated to the household level. Transfer income includes unemployment, old-age, survivors’, sickness, and disability benefits</w:t>
      </w:r>
      <w:r w:rsidR="004C6FB7">
        <w:rPr>
          <w:lang w:val="en-US"/>
        </w:rPr>
        <w:t>;</w:t>
      </w:r>
      <w:r w:rsidRPr="00D22574">
        <w:t xml:space="preserve"> education-related allowances</w:t>
      </w:r>
      <w:r w:rsidR="004C6FB7">
        <w:rPr>
          <w:lang w:val="en-US"/>
        </w:rPr>
        <w:t>;</w:t>
      </w:r>
      <w:r w:rsidRPr="00D22574">
        <w:t xml:space="preserve"> family or child allowances</w:t>
      </w:r>
      <w:r w:rsidR="004C6FB7">
        <w:rPr>
          <w:lang w:val="en-US"/>
        </w:rPr>
        <w:t>;</w:t>
      </w:r>
      <w:r w:rsidRPr="00D22574">
        <w:t xml:space="preserve"> periodic payments to people with insufficient resources (referred to as benefits to reduce “social exclusion not elsewhere classified”)</w:t>
      </w:r>
      <w:r w:rsidR="004C6FB7">
        <w:rPr>
          <w:lang w:val="en-US"/>
        </w:rPr>
        <w:t>;</w:t>
      </w:r>
      <w:r w:rsidRPr="00D22574">
        <w:t xml:space="preserve"> housing allowances</w:t>
      </w:r>
      <w:r w:rsidR="004C6FB7">
        <w:rPr>
          <w:lang w:val="en-US"/>
        </w:rPr>
        <w:t>;</w:t>
      </w:r>
      <w:r w:rsidRPr="00D22574">
        <w:t xml:space="preserve"> regular inter-household cash transfers received</w:t>
      </w:r>
      <w:r w:rsidR="004C6FB7">
        <w:rPr>
          <w:lang w:val="en-US"/>
        </w:rPr>
        <w:t>;</w:t>
      </w:r>
      <w:r w:rsidRPr="00D22574">
        <w:t xml:space="preserve"> and income received by people </w:t>
      </w:r>
      <w:r w:rsidR="007D752B">
        <w:t>younger than</w:t>
      </w:r>
      <w:r w:rsidR="007D752B" w:rsidRPr="00D22574">
        <w:t xml:space="preserve"> </w:t>
      </w:r>
      <w:r w:rsidRPr="00D22574">
        <w:t xml:space="preserve">16. We deduct taxes and alimony payments, including regular taxes on wealth, regular inter-household cash transfers paid, and tax on income and social contributions. We do not use the SILC data for Germany, since we take </w:t>
      </w:r>
      <w:r w:rsidR="007D752B">
        <w:t>the German data</w:t>
      </w:r>
      <w:r w:rsidR="007D752B" w:rsidRPr="00D22574">
        <w:t xml:space="preserve"> </w:t>
      </w:r>
      <w:r w:rsidRPr="00D22574">
        <w:t xml:space="preserve">from the CNEF, which </w:t>
      </w:r>
      <w:r w:rsidRPr="00D22574">
        <w:lastRenderedPageBreak/>
        <w:t>provides longer panels.</w:t>
      </w:r>
      <w:r w:rsidRPr="00D22574">
        <w:rPr>
          <w:lang w:val="en-US"/>
        </w:rPr>
        <w:t xml:space="preserve"> </w:t>
      </w:r>
      <w:r w:rsidR="004C6FB7">
        <w:rPr>
          <w:lang w:val="en-US"/>
        </w:rPr>
        <w:t>As noted earlier (3.1.1), w</w:t>
      </w:r>
      <w:r w:rsidRPr="00D22574">
        <w:rPr>
          <w:lang w:val="en-US"/>
        </w:rPr>
        <w:t>e use SILC data for the UK/GB only after the end of the original BHPS panel study.</w:t>
      </w:r>
    </w:p>
    <w:p w14:paraId="491C294B" w14:textId="77777777" w:rsidR="00963608" w:rsidRPr="00D22574" w:rsidRDefault="00963608" w:rsidP="00D22574">
      <w:pPr>
        <w:pStyle w:val="BodyText"/>
        <w:spacing w:after="0" w:line="360" w:lineRule="auto"/>
        <w:ind w:firstLine="0"/>
      </w:pPr>
    </w:p>
    <w:p w14:paraId="5868FC4F" w14:textId="20CD7C9F" w:rsidR="00963608" w:rsidRPr="00D22574" w:rsidRDefault="007D752B" w:rsidP="00D22574">
      <w:pPr>
        <w:pStyle w:val="Heading3"/>
        <w:spacing w:line="360" w:lineRule="auto"/>
      </w:pPr>
      <w:r>
        <w:t xml:space="preserve">U.S. </w:t>
      </w:r>
      <w:r w:rsidR="00963608" w:rsidRPr="00D22574">
        <w:t>C</w:t>
      </w:r>
      <w:r>
        <w:t xml:space="preserve">urrent Population </w:t>
      </w:r>
      <w:r w:rsidR="00963608" w:rsidRPr="00D22574">
        <w:t>S</w:t>
      </w:r>
      <w:r>
        <w:t>urvey</w:t>
      </w:r>
      <w:r w:rsidR="00B62ADE">
        <w:t xml:space="preserve"> (CPS)</w:t>
      </w:r>
    </w:p>
    <w:p w14:paraId="4EA44947" w14:textId="78A6ECE8" w:rsidR="00F7155B" w:rsidRPr="00D22574" w:rsidRDefault="00F7155B" w:rsidP="00D22574">
      <w:pPr>
        <w:pStyle w:val="BodyText"/>
        <w:spacing w:after="0" w:line="360" w:lineRule="auto"/>
        <w:ind w:firstLine="0"/>
        <w:rPr>
          <w:lang w:val="en-US"/>
        </w:rPr>
      </w:pPr>
      <w:r w:rsidRPr="00D22574">
        <w:rPr>
          <w:lang w:val="en-US"/>
        </w:rPr>
        <w:t xml:space="preserve">Our </w:t>
      </w:r>
      <w:r w:rsidR="004C6FB7">
        <w:rPr>
          <w:lang w:val="en-US"/>
        </w:rPr>
        <w:t xml:space="preserve">measure of </w:t>
      </w:r>
      <w:r w:rsidRPr="00D22574">
        <w:rPr>
          <w:lang w:val="en-US"/>
        </w:rPr>
        <w:t xml:space="preserve">market income for the CPS data </w:t>
      </w:r>
      <w:proofErr w:type="gramStart"/>
      <w:r w:rsidR="00253E41" w:rsidRPr="00D22574">
        <w:t xml:space="preserve">is </w:t>
      </w:r>
      <w:r w:rsidRPr="00D22574">
        <w:rPr>
          <w:lang w:val="en-US"/>
        </w:rPr>
        <w:t>based</w:t>
      </w:r>
      <w:proofErr w:type="gramEnd"/>
      <w:r w:rsidRPr="00D22574">
        <w:rPr>
          <w:lang w:val="en-US"/>
        </w:rPr>
        <w:t xml:space="preserve"> on the CPS’s </w:t>
      </w:r>
      <w:r w:rsidR="00253E41" w:rsidRPr="00D22574">
        <w:t>household gross money income</w:t>
      </w:r>
      <w:r w:rsidRPr="00D22574">
        <w:rPr>
          <w:lang w:val="en-US"/>
        </w:rPr>
        <w:t xml:space="preserve"> variable</w:t>
      </w:r>
      <w:r w:rsidR="00253E41" w:rsidRPr="00D22574">
        <w:t>. Money income includes earned income (wage and salary income from employment), property and asset income, cash transfer payments (e.g.</w:t>
      </w:r>
      <w:r w:rsidR="007D752B">
        <w:t>,</w:t>
      </w:r>
      <w:r w:rsidR="00253E41" w:rsidRPr="00D22574">
        <w:t xml:space="preserve"> Social Security, unemployment benefits, and veterans payments), and self-employment income. It also includes lump-sum and one-time payments, such as catch-up payments from Disability Insurance and settlements and distributions from retirement accounts, to the extent that respondents report these as income. </w:t>
      </w:r>
      <w:r w:rsidRPr="00D22574">
        <w:rPr>
          <w:lang w:val="en-US"/>
        </w:rPr>
        <w:t xml:space="preserve">Our disposable income variable </w:t>
      </w:r>
      <w:r w:rsidRPr="00D22574">
        <w:t>adds in social insurance and transfer income and subtracts tax liabilities (add</w:t>
      </w:r>
      <w:r w:rsidR="00C52D7F">
        <w:rPr>
          <w:lang w:val="en-US"/>
        </w:rPr>
        <w:t>ing</w:t>
      </w:r>
      <w:r w:rsidRPr="00D22574">
        <w:t xml:space="preserve"> in tax credits, for those whose net tax liability is negative). Taxes are imputed using TAXSIM Version 9 at </w:t>
      </w:r>
      <w:r w:rsidRPr="00BC781C">
        <w:t>http://www.nber.org/~taxsim</w:t>
      </w:r>
      <w:r w:rsidRPr="00D22574">
        <w:rPr>
          <w:lang w:val="en-US"/>
        </w:rPr>
        <w:t xml:space="preserve"> </w:t>
      </w:r>
      <w:r w:rsidR="00BD58E0" w:rsidRPr="00D22574">
        <w:t>(Bargain et al. 2011; Feenberg and Coutts 1993)</w:t>
      </w:r>
      <w:r w:rsidRPr="00D22574">
        <w:t>.</w:t>
      </w:r>
    </w:p>
    <w:p w14:paraId="0F9BF5D3" w14:textId="77777777" w:rsidR="00F7155B" w:rsidRPr="00D22574" w:rsidRDefault="00F7155B" w:rsidP="00D22574">
      <w:pPr>
        <w:pStyle w:val="BodyText"/>
        <w:spacing w:after="0" w:line="360" w:lineRule="auto"/>
        <w:ind w:firstLine="0"/>
      </w:pPr>
    </w:p>
    <w:p w14:paraId="6D3248A3" w14:textId="49550AF5" w:rsidR="006D7CEF" w:rsidRPr="00D22574" w:rsidRDefault="006D7CEF" w:rsidP="00D22574">
      <w:pPr>
        <w:pStyle w:val="Heading2"/>
        <w:spacing w:line="360" w:lineRule="auto"/>
      </w:pPr>
      <w:r w:rsidRPr="00D22574">
        <w:t xml:space="preserve">Cleaning </w:t>
      </w:r>
      <w:r w:rsidR="007D752B">
        <w:t>R</w:t>
      </w:r>
      <w:r w:rsidRPr="00D22574">
        <w:t>outines</w:t>
      </w:r>
    </w:p>
    <w:p w14:paraId="3D197CC4" w14:textId="4590D5ED" w:rsidR="00BD58E0" w:rsidRPr="00D22574" w:rsidRDefault="00BD58E0" w:rsidP="00D22574">
      <w:pPr>
        <w:pStyle w:val="BodyText"/>
        <w:spacing w:after="0" w:line="360" w:lineRule="auto"/>
        <w:ind w:firstLine="0"/>
        <w:rPr>
          <w:lang w:val="en-US"/>
        </w:rPr>
      </w:pPr>
      <w:r w:rsidRPr="00D22574">
        <w:rPr>
          <w:lang w:val="en-US"/>
        </w:rPr>
        <w:t>We work with person-level files</w:t>
      </w:r>
      <w:r w:rsidR="00CB4A8B">
        <w:rPr>
          <w:lang w:val="en-US"/>
        </w:rPr>
        <w:t xml:space="preserve"> (respondents aged 25-60</w:t>
      </w:r>
      <w:r w:rsidR="004C6FB7">
        <w:rPr>
          <w:lang w:val="en-US"/>
        </w:rPr>
        <w:t>, except for our analysis or income risk over the life cycle</w:t>
      </w:r>
      <w:r w:rsidR="00CB4A8B">
        <w:rPr>
          <w:lang w:val="en-US"/>
        </w:rPr>
        <w:t>)</w:t>
      </w:r>
      <w:r w:rsidRPr="00D22574">
        <w:rPr>
          <w:lang w:val="en-US"/>
        </w:rPr>
        <w:t xml:space="preserve"> and assign each person </w:t>
      </w:r>
      <w:r w:rsidR="007D752B">
        <w:rPr>
          <w:lang w:val="en-US"/>
        </w:rPr>
        <w:t>his or her</w:t>
      </w:r>
      <w:r w:rsidR="007D752B" w:rsidRPr="00D22574">
        <w:rPr>
          <w:lang w:val="en-US"/>
        </w:rPr>
        <w:t xml:space="preserve"> </w:t>
      </w:r>
      <w:r w:rsidRPr="00D22574">
        <w:rPr>
          <w:lang w:val="en-US"/>
        </w:rPr>
        <w:t>household</w:t>
      </w:r>
      <w:r w:rsidR="009028AF" w:rsidRPr="00D22574">
        <w:rPr>
          <w:lang w:val="en-US"/>
        </w:rPr>
        <w:t>’s</w:t>
      </w:r>
      <w:r w:rsidRPr="00D22574">
        <w:rPr>
          <w:lang w:val="en-US"/>
        </w:rPr>
        <w:t xml:space="preserve"> </w:t>
      </w:r>
      <w:r w:rsidR="009028AF" w:rsidRPr="00D22574">
        <w:rPr>
          <w:lang w:val="en-US"/>
        </w:rPr>
        <w:t xml:space="preserve">(HH) </w:t>
      </w:r>
      <w:r w:rsidRPr="00D22574">
        <w:rPr>
          <w:lang w:val="en-US"/>
        </w:rPr>
        <w:t xml:space="preserve">MI and DI income. </w:t>
      </w:r>
      <w:r w:rsidR="009028AF" w:rsidRPr="00D22574">
        <w:rPr>
          <w:lang w:val="en-US"/>
        </w:rPr>
        <w:t>However, as is common, we adjust HH-level income data by HH size</w:t>
      </w:r>
      <w:r w:rsidR="004C6FB7">
        <w:rPr>
          <w:lang w:val="en-US"/>
        </w:rPr>
        <w:t>,</w:t>
      </w:r>
      <w:r w:rsidR="009028AF" w:rsidRPr="00D22574">
        <w:rPr>
          <w:lang w:val="en-US"/>
        </w:rPr>
        <w:t xml:space="preserve"> divid</w:t>
      </w:r>
      <w:r w:rsidR="004C6FB7">
        <w:rPr>
          <w:lang w:val="en-US"/>
        </w:rPr>
        <w:t>ing</w:t>
      </w:r>
      <w:r w:rsidR="009028AF" w:rsidRPr="00D22574">
        <w:rPr>
          <w:lang w:val="en-US"/>
        </w:rPr>
        <w:t xml:space="preserve"> HH-level incomes by the square root of HH size.</w:t>
      </w:r>
    </w:p>
    <w:p w14:paraId="15D4463E" w14:textId="77777777" w:rsidR="00D22574" w:rsidRPr="00D22574" w:rsidRDefault="00D22574" w:rsidP="00D22574">
      <w:pPr>
        <w:pStyle w:val="BodyText"/>
        <w:spacing w:after="0" w:line="360" w:lineRule="auto"/>
        <w:ind w:firstLine="0"/>
        <w:rPr>
          <w:lang w:val="en-US"/>
        </w:rPr>
      </w:pPr>
      <w:r w:rsidRPr="00D22574">
        <w:rPr>
          <w:lang w:val="en-US"/>
        </w:rPr>
        <w:t>We apply the following standard cleaning routines:</w:t>
      </w:r>
    </w:p>
    <w:p w14:paraId="0B97869A" w14:textId="77777777" w:rsidR="00D22574" w:rsidRPr="00D22574" w:rsidRDefault="00D22574" w:rsidP="00D22574">
      <w:pPr>
        <w:pStyle w:val="BodyText"/>
        <w:numPr>
          <w:ilvl w:val="0"/>
          <w:numId w:val="7"/>
        </w:numPr>
        <w:spacing w:after="0" w:line="360" w:lineRule="auto"/>
        <w:rPr>
          <w:lang w:val="en-US"/>
        </w:rPr>
      </w:pPr>
      <w:r w:rsidRPr="00D22574">
        <w:rPr>
          <w:lang w:val="en-US"/>
        </w:rPr>
        <w:t>Drop negative income values.</w:t>
      </w:r>
    </w:p>
    <w:p w14:paraId="4F137FC3" w14:textId="77777777" w:rsidR="00D22574" w:rsidRPr="00D22574" w:rsidRDefault="00D22574" w:rsidP="00D22574">
      <w:pPr>
        <w:pStyle w:val="BodyText"/>
        <w:numPr>
          <w:ilvl w:val="0"/>
          <w:numId w:val="7"/>
        </w:numPr>
        <w:spacing w:after="0" w:line="360" w:lineRule="auto"/>
        <w:rPr>
          <w:lang w:val="en-US"/>
        </w:rPr>
      </w:pPr>
      <w:r w:rsidRPr="00D22574">
        <w:rPr>
          <w:lang w:val="en-US"/>
        </w:rPr>
        <w:t>Adjust for inflation.</w:t>
      </w:r>
    </w:p>
    <w:p w14:paraId="3A19300F" w14:textId="77777777" w:rsidR="00D22574" w:rsidRPr="00D22574" w:rsidRDefault="00D22574" w:rsidP="00D22574">
      <w:pPr>
        <w:pStyle w:val="BodyText"/>
        <w:numPr>
          <w:ilvl w:val="0"/>
          <w:numId w:val="7"/>
        </w:numPr>
        <w:spacing w:after="0" w:line="360" w:lineRule="auto"/>
        <w:rPr>
          <w:lang w:val="en-US"/>
        </w:rPr>
      </w:pPr>
      <w:r w:rsidRPr="00D22574">
        <w:rPr>
          <w:lang w:val="en-US"/>
        </w:rPr>
        <w:t>Bottom-code non-missing income values at each country-year’s weighted p1.</w:t>
      </w:r>
    </w:p>
    <w:p w14:paraId="73558F94" w14:textId="75BA91FF" w:rsidR="00D22574" w:rsidRDefault="00D22574" w:rsidP="00D22574">
      <w:pPr>
        <w:pStyle w:val="BodyText"/>
        <w:numPr>
          <w:ilvl w:val="0"/>
          <w:numId w:val="7"/>
        </w:numPr>
        <w:spacing w:after="0" w:line="360" w:lineRule="auto"/>
        <w:rPr>
          <w:lang w:val="en-US"/>
        </w:rPr>
      </w:pPr>
      <w:r w:rsidRPr="00D22574">
        <w:rPr>
          <w:lang w:val="en-US"/>
        </w:rPr>
        <w:t>Top-code non-missing income values at each country-year’s weighted p99.</w:t>
      </w:r>
    </w:p>
    <w:p w14:paraId="117FE1D2" w14:textId="12FB4D9E" w:rsidR="00697AE0" w:rsidRDefault="00697AE0">
      <w:pPr>
        <w:rPr>
          <w:lang w:eastAsia="x-none"/>
        </w:rPr>
      </w:pPr>
    </w:p>
    <w:p w14:paraId="22B9725A" w14:textId="2B151EB8" w:rsidR="00ED2357" w:rsidRPr="00D22574" w:rsidRDefault="00ED2357" w:rsidP="00ED2357">
      <w:pPr>
        <w:pStyle w:val="Heading1"/>
        <w:spacing w:line="360" w:lineRule="auto"/>
      </w:pPr>
      <w:r>
        <w:t>Arc percent changes</w:t>
      </w:r>
    </w:p>
    <w:p w14:paraId="01042B05" w14:textId="5258F1E0" w:rsidR="00ED2357" w:rsidRDefault="00ED2357" w:rsidP="00ED2357">
      <w:pPr>
        <w:pStyle w:val="BodyText"/>
        <w:spacing w:after="0" w:line="360" w:lineRule="auto"/>
        <w:ind w:firstLine="0"/>
        <w:rPr>
          <w:lang w:val="en-US"/>
        </w:rPr>
      </w:pPr>
      <w:r w:rsidRPr="00ED2357">
        <w:rPr>
          <w:lang w:val="en-US"/>
        </w:rPr>
        <w:t xml:space="preserve">All results </w:t>
      </w:r>
      <w:proofErr w:type="gramStart"/>
      <w:r w:rsidRPr="00ED2357">
        <w:rPr>
          <w:lang w:val="en-US"/>
        </w:rPr>
        <w:t>are based</w:t>
      </w:r>
      <w:proofErr w:type="gramEnd"/>
      <w:r w:rsidRPr="00ED2357">
        <w:rPr>
          <w:lang w:val="en-US"/>
        </w:rPr>
        <w:t xml:space="preserve"> on arc-percent changes, not percent changes. Arc-percent changes are calculated as 2*(Income[t]-Income [t-1])</w:t>
      </w:r>
      <w:proofErr w:type="gramStart"/>
      <w:r w:rsidRPr="00ED2357">
        <w:rPr>
          <w:lang w:val="en-US"/>
        </w:rPr>
        <w:t>/(</w:t>
      </w:r>
      <w:proofErr w:type="gramEnd"/>
      <w:r w:rsidRPr="00ED2357">
        <w:rPr>
          <w:lang w:val="en-US"/>
        </w:rPr>
        <w:t xml:space="preserve">Income[t]+Income[t-1]). Unlike percent changes, arc-percent changes are bound by minus and plus </w:t>
      </w:r>
      <w:proofErr w:type="gramStart"/>
      <w:r w:rsidRPr="00ED2357">
        <w:rPr>
          <w:lang w:val="en-US"/>
        </w:rPr>
        <w:t>2</w:t>
      </w:r>
      <w:proofErr w:type="gramEnd"/>
      <w:r w:rsidRPr="00ED2357">
        <w:rPr>
          <w:lang w:val="en-US"/>
        </w:rPr>
        <w:t xml:space="preserve">, and they treat gains and losses symmetrically. For example, a respondent doubling her income from </w:t>
      </w:r>
      <w:r w:rsidR="007D752B">
        <w:rPr>
          <w:lang w:val="en-US"/>
        </w:rPr>
        <w:t>$</w:t>
      </w:r>
      <w:r w:rsidRPr="00ED2357">
        <w:rPr>
          <w:lang w:val="en-US"/>
        </w:rPr>
        <w:t xml:space="preserve">50 to </w:t>
      </w:r>
      <w:r w:rsidR="007D752B">
        <w:rPr>
          <w:lang w:val="en-US"/>
        </w:rPr>
        <w:t>$</w:t>
      </w:r>
      <w:r w:rsidRPr="00ED2357">
        <w:rPr>
          <w:lang w:val="en-US"/>
        </w:rPr>
        <w:t xml:space="preserve">100 experiences a 100 percent </w:t>
      </w:r>
      <w:r w:rsidRPr="00ED2357">
        <w:rPr>
          <w:lang w:val="en-US"/>
        </w:rPr>
        <w:lastRenderedPageBreak/>
        <w:t xml:space="preserve">change (but a 67 arc-percent change). A respondent </w:t>
      </w:r>
      <w:proofErr w:type="gramStart"/>
      <w:r w:rsidRPr="00ED2357">
        <w:rPr>
          <w:lang w:val="en-US"/>
        </w:rPr>
        <w:t>with a change in income from 100 USD to 50 USD experiences a 50 percent</w:t>
      </w:r>
      <w:proofErr w:type="gramEnd"/>
      <w:r w:rsidRPr="00ED2357">
        <w:rPr>
          <w:lang w:val="en-US"/>
        </w:rPr>
        <w:t xml:space="preserve"> change (but a 67 arc-percent change). The arc-percent approach treats the change of 50 USD in a symmetric fashion.</w:t>
      </w:r>
    </w:p>
    <w:p w14:paraId="52101762" w14:textId="72203B7C" w:rsidR="00ED2357" w:rsidRDefault="00ED2357" w:rsidP="00697AE0">
      <w:pPr>
        <w:pStyle w:val="BodyText"/>
        <w:spacing w:after="0" w:line="360" w:lineRule="auto"/>
        <w:ind w:firstLine="0"/>
        <w:rPr>
          <w:lang w:val="en-US"/>
        </w:rPr>
      </w:pPr>
    </w:p>
    <w:p w14:paraId="5996F87C" w14:textId="19C4187B" w:rsidR="00152493" w:rsidRDefault="00152493" w:rsidP="00152493">
      <w:pPr>
        <w:pStyle w:val="Heading1"/>
      </w:pPr>
      <w:r>
        <w:t>Triggers</w:t>
      </w:r>
    </w:p>
    <w:p w14:paraId="73F44BB0" w14:textId="3D237115" w:rsidR="00152493" w:rsidRDefault="00152493" w:rsidP="00152493">
      <w:pPr>
        <w:spacing w:line="360" w:lineRule="auto"/>
      </w:pPr>
      <w:r>
        <w:t xml:space="preserve">Based on the small literature on life-events (or “triggers”) that might be associated with income losses </w:t>
      </w:r>
      <w:r w:rsidRPr="008357B0">
        <w:t>(DiPrete and McManus 2000; Gosselin and Zimmerman 2008; Vandecasteele 2010)</w:t>
      </w:r>
      <w:r>
        <w:t>, we focus on a set of triggers that code changes into the following states:</w:t>
      </w:r>
    </w:p>
    <w:p w14:paraId="7E088CDB" w14:textId="77777777" w:rsidR="00152493" w:rsidRDefault="00152493" w:rsidP="00152493">
      <w:pPr>
        <w:pStyle w:val="ListParagraph"/>
        <w:numPr>
          <w:ilvl w:val="0"/>
          <w:numId w:val="9"/>
        </w:numPr>
        <w:spacing w:line="360" w:lineRule="auto"/>
      </w:pPr>
      <w:r>
        <w:t>Unemployment of respondent [</w:t>
      </w:r>
      <w:r w:rsidRPr="001923AF">
        <w:t>pl211</w:t>
      </w:r>
      <w:r>
        <w:t xml:space="preserve">X and </w:t>
      </w:r>
      <w:r w:rsidRPr="001923AF">
        <w:t>pl21</w:t>
      </w:r>
      <w:r>
        <w:t>0X]</w:t>
      </w:r>
    </w:p>
    <w:p w14:paraId="29109962" w14:textId="77777777" w:rsidR="00152493" w:rsidRDefault="00152493" w:rsidP="00152493">
      <w:pPr>
        <w:pStyle w:val="ListParagraph"/>
        <w:numPr>
          <w:ilvl w:val="0"/>
          <w:numId w:val="9"/>
        </w:numPr>
        <w:spacing w:line="360" w:lineRule="auto"/>
      </w:pPr>
      <w:r>
        <w:t>Unemployment of HH member other than respondent [</w:t>
      </w:r>
      <w:r w:rsidRPr="001923AF">
        <w:t>pl211</w:t>
      </w:r>
      <w:r>
        <w:t xml:space="preserve">X and </w:t>
      </w:r>
      <w:r w:rsidRPr="001923AF">
        <w:t>pl21</w:t>
      </w:r>
      <w:r>
        <w:t>0X]</w:t>
      </w:r>
    </w:p>
    <w:p w14:paraId="7CD906C3" w14:textId="77777777" w:rsidR="00152493" w:rsidRDefault="00152493" w:rsidP="00152493">
      <w:pPr>
        <w:pStyle w:val="ListParagraph"/>
        <w:numPr>
          <w:ilvl w:val="0"/>
          <w:numId w:val="9"/>
        </w:numPr>
        <w:spacing w:line="360" w:lineRule="auto"/>
      </w:pPr>
      <w:r>
        <w:t>Loss of spouse or partner, either through divorce, separation, or death [</w:t>
      </w:r>
      <w:r w:rsidRPr="001923AF">
        <w:t>pb190</w:t>
      </w:r>
      <w:r>
        <w:t>]</w:t>
      </w:r>
    </w:p>
    <w:p w14:paraId="2CE54F97" w14:textId="77777777" w:rsidR="00152493" w:rsidRDefault="00152493" w:rsidP="00152493">
      <w:pPr>
        <w:pStyle w:val="ListParagraph"/>
        <w:numPr>
          <w:ilvl w:val="0"/>
          <w:numId w:val="9"/>
        </w:numPr>
        <w:spacing w:line="360" w:lineRule="auto"/>
      </w:pPr>
      <w:r>
        <w:t>Sickness of respondent [</w:t>
      </w:r>
      <w:r w:rsidRPr="000D2B18">
        <w:t>ph010</w:t>
      </w:r>
      <w:r>
        <w:t>]</w:t>
      </w:r>
    </w:p>
    <w:p w14:paraId="742B2B4B" w14:textId="77777777" w:rsidR="00152493" w:rsidRDefault="00152493" w:rsidP="00152493">
      <w:pPr>
        <w:pStyle w:val="ListParagraph"/>
        <w:numPr>
          <w:ilvl w:val="0"/>
          <w:numId w:val="9"/>
        </w:numPr>
        <w:spacing w:line="360" w:lineRule="auto"/>
      </w:pPr>
      <w:r>
        <w:t>Sickness of HH member other than respondent [</w:t>
      </w:r>
      <w:r w:rsidRPr="000D2B18">
        <w:t>ph010</w:t>
      </w:r>
      <w:r>
        <w:t>]</w:t>
      </w:r>
    </w:p>
    <w:p w14:paraId="3728DB7A" w14:textId="77777777" w:rsidR="00152493" w:rsidRDefault="00152493" w:rsidP="00152493">
      <w:pPr>
        <w:pStyle w:val="ListParagraph"/>
        <w:numPr>
          <w:ilvl w:val="0"/>
          <w:numId w:val="9"/>
        </w:numPr>
        <w:spacing w:line="360" w:lineRule="auto"/>
      </w:pPr>
      <w:r>
        <w:t>Changes in HH size (increase or decrease) [</w:t>
      </w:r>
      <w:r w:rsidRPr="001923AF">
        <w:t>hx040</w:t>
      </w:r>
      <w:r>
        <w:t>]</w:t>
      </w:r>
    </w:p>
    <w:p w14:paraId="35789B48" w14:textId="77777777" w:rsidR="00152493" w:rsidRDefault="00152493" w:rsidP="00152493">
      <w:pPr>
        <w:spacing w:line="360" w:lineRule="auto"/>
      </w:pPr>
    </w:p>
    <w:p w14:paraId="6EE9E954" w14:textId="34DB8992" w:rsidR="00152493" w:rsidRDefault="00152493" w:rsidP="00152493">
      <w:pPr>
        <w:spacing w:line="360" w:lineRule="auto"/>
      </w:pPr>
      <w:r>
        <w:t xml:space="preserve">Each of these states </w:t>
      </w:r>
      <w:proofErr w:type="gramStart"/>
      <w:r>
        <w:t>is coded</w:t>
      </w:r>
      <w:proofErr w:type="gramEnd"/>
      <w:r>
        <w:t xml:space="preserve"> as a dichotomous variable, where </w:t>
      </w:r>
      <w:r w:rsidR="00C52D7F">
        <w:t xml:space="preserve">the value of one </w:t>
      </w:r>
      <w:r>
        <w:t>indicate</w:t>
      </w:r>
      <w:r w:rsidR="00C52D7F">
        <w:t>s</w:t>
      </w:r>
      <w:r>
        <w:t xml:space="preserve"> that a respondent is in the </w:t>
      </w:r>
      <w:r w:rsidR="00C52D7F">
        <w:t>“</w:t>
      </w:r>
      <w:r>
        <w:t>bad state</w:t>
      </w:r>
      <w:r w:rsidR="00C52D7F">
        <w:t>”</w:t>
      </w:r>
      <w:r>
        <w:t xml:space="preserve"> (unemployment, sickness, etc.). With panel data for two consecutive years, four patterns are possible:</w:t>
      </w:r>
    </w:p>
    <w:p w14:paraId="1EA922FE" w14:textId="77777777" w:rsidR="00152493" w:rsidRDefault="00152493" w:rsidP="00152493">
      <w:pPr>
        <w:pStyle w:val="ListParagraph"/>
        <w:numPr>
          <w:ilvl w:val="0"/>
          <w:numId w:val="8"/>
        </w:numPr>
        <w:spacing w:line="360" w:lineRule="auto"/>
      </w:pPr>
      <w:r>
        <w:t>(0 0): no trigger event</w:t>
      </w:r>
    </w:p>
    <w:p w14:paraId="59B03E44" w14:textId="77777777" w:rsidR="00152493" w:rsidRDefault="00152493" w:rsidP="00152493">
      <w:pPr>
        <w:pStyle w:val="ListParagraph"/>
        <w:numPr>
          <w:ilvl w:val="0"/>
          <w:numId w:val="8"/>
        </w:numPr>
        <w:spacing w:line="360" w:lineRule="auto"/>
      </w:pPr>
      <w:r>
        <w:t xml:space="preserve">(0 1): transition into bad state = trigger </w:t>
      </w:r>
    </w:p>
    <w:p w14:paraId="5951A84B" w14:textId="77777777" w:rsidR="00152493" w:rsidRDefault="00152493" w:rsidP="00152493">
      <w:pPr>
        <w:pStyle w:val="ListParagraph"/>
        <w:numPr>
          <w:ilvl w:val="0"/>
          <w:numId w:val="8"/>
        </w:numPr>
        <w:spacing w:line="360" w:lineRule="auto"/>
      </w:pPr>
      <w:r>
        <w:t>(1 0): transition out of bad state</w:t>
      </w:r>
    </w:p>
    <w:p w14:paraId="2CB22D2C" w14:textId="77777777" w:rsidR="00152493" w:rsidRDefault="00152493" w:rsidP="00152493">
      <w:pPr>
        <w:pStyle w:val="ListParagraph"/>
        <w:numPr>
          <w:ilvl w:val="0"/>
          <w:numId w:val="8"/>
        </w:numPr>
        <w:spacing w:line="360" w:lineRule="auto"/>
      </w:pPr>
      <w:r>
        <w:t>(1 1): bad state in both time periods</w:t>
      </w:r>
    </w:p>
    <w:p w14:paraId="4A7BC85A" w14:textId="77777777" w:rsidR="00152493" w:rsidRDefault="00152493" w:rsidP="00152493">
      <w:pPr>
        <w:spacing w:line="360" w:lineRule="auto"/>
      </w:pPr>
    </w:p>
    <w:p w14:paraId="09C1F698" w14:textId="30FB71A3" w:rsidR="00152493" w:rsidRDefault="00152493" w:rsidP="00152493">
      <w:pPr>
        <w:spacing w:line="360" w:lineRule="auto"/>
      </w:pPr>
      <w:r>
        <w:t xml:space="preserve">We analyze the association between </w:t>
      </w:r>
      <w:r w:rsidR="00C52D7F">
        <w:t>MI</w:t>
      </w:r>
      <w:r>
        <w:t xml:space="preserve"> </w:t>
      </w:r>
      <w:proofErr w:type="gramStart"/>
      <w:r>
        <w:t>or</w:t>
      </w:r>
      <w:proofErr w:type="gramEnd"/>
      <w:r>
        <w:t xml:space="preserve"> </w:t>
      </w:r>
      <w:r w:rsidR="00C52D7F">
        <w:t>DI</w:t>
      </w:r>
      <w:r>
        <w:t xml:space="preserve"> and triggers by regressing the former on the latter, for each trigger separately, and presenting the coefficients as odds ratios (see below).</w:t>
      </w:r>
      <w:r>
        <w:rPr>
          <w:rStyle w:val="FootnoteReference"/>
        </w:rPr>
        <w:footnoteReference w:id="6"/>
      </w:r>
      <w:r>
        <w:t xml:space="preserve"> The results in the main text are based on comparisons </w:t>
      </w:r>
      <w:r w:rsidR="00C52D7F">
        <w:t xml:space="preserve">between </w:t>
      </w:r>
      <w:r>
        <w:t xml:space="preserve">(0 1) </w:t>
      </w:r>
      <w:r w:rsidR="00C52D7F">
        <w:t>and</w:t>
      </w:r>
      <w:r>
        <w:t xml:space="preserve"> (0 0)</w:t>
      </w:r>
      <w:r w:rsidR="00C52D7F">
        <w:t xml:space="preserve">, </w:t>
      </w:r>
      <w:r>
        <w:t>(1 0)</w:t>
      </w:r>
      <w:r w:rsidR="00C52D7F">
        <w:t>,</w:t>
      </w:r>
      <w:r>
        <w:t xml:space="preserve"> or (1 1). In principle, we could have estimated odds ratios for each of the patterns, but we did not have the space to present these more detailed results. Alternatively, we could have focused on the sample </w:t>
      </w:r>
      <w:r>
        <w:lastRenderedPageBreak/>
        <w:t>of (0 0) and (0 1) only or restricted the sample in other ways (</w:t>
      </w:r>
      <w:r w:rsidR="00C52D7F">
        <w:t>e.g.</w:t>
      </w:r>
      <w:r>
        <w:t xml:space="preserve">, by estimating odds ratios for the unemployment trigger on a sample that only includes respondents </w:t>
      </w:r>
      <w:r w:rsidR="00C52D7F">
        <w:t xml:space="preserve">who </w:t>
      </w:r>
      <w:r>
        <w:t>were previously full-time employed). This would generally lead to higher odds ratios, as well as higher rates of incidence. However, we not only wanted to keep the sample size as large as possible. We also believe that a natural next step for future research is to estimate models in which several triggers</w:t>
      </w:r>
      <w:r w:rsidR="004C6FB7">
        <w:t>—</w:t>
      </w:r>
      <w:r>
        <w:t>and their plausible interactions</w:t>
      </w:r>
      <w:r w:rsidR="004C6FB7">
        <w:t>—</w:t>
      </w:r>
      <w:r>
        <w:t xml:space="preserve">are included at the same time. </w:t>
      </w:r>
      <w:r w:rsidR="00C52D7F">
        <w:t xml:space="preserve">Inclusive models of this sort </w:t>
      </w:r>
      <w:r>
        <w:t xml:space="preserve">will require the </w:t>
      </w:r>
      <w:r w:rsidR="004C6FB7">
        <w:t>“</w:t>
      </w:r>
      <w:r>
        <w:t>large sample approach</w:t>
      </w:r>
      <w:r w:rsidR="004C6FB7">
        <w:t>”</w:t>
      </w:r>
      <w:r>
        <w:t xml:space="preserve"> we have chosen here. </w:t>
      </w:r>
    </w:p>
    <w:p w14:paraId="711DED26" w14:textId="77777777" w:rsidR="00152493" w:rsidRDefault="00152493" w:rsidP="00152493">
      <w:pPr>
        <w:spacing w:line="360" w:lineRule="auto"/>
      </w:pPr>
    </w:p>
    <w:p w14:paraId="241FB308" w14:textId="7B70AA49" w:rsidR="00152493" w:rsidRDefault="00152493" w:rsidP="00152493">
      <w:pPr>
        <w:spacing w:line="360" w:lineRule="auto"/>
      </w:pPr>
      <w:r>
        <w:t xml:space="preserve">In the main text, we provide a rough estimate of the percentage of market income drops that are associated with a subset of </w:t>
      </w:r>
      <w:r w:rsidR="00C52D7F">
        <w:t xml:space="preserve">the </w:t>
      </w:r>
      <w:r>
        <w:t xml:space="preserve">triggers mentioned above, namely </w:t>
      </w:r>
      <w:r w:rsidRPr="000E0AAC">
        <w:t>unemployment (self, others in HH), changes in HH size</w:t>
      </w:r>
      <w:r>
        <w:t xml:space="preserve"> (increase or decrease</w:t>
      </w:r>
      <w:r w:rsidRPr="000E0AAC">
        <w:t xml:space="preserve">, loss of spouse/partner, </w:t>
      </w:r>
      <w:r>
        <w:t xml:space="preserve">and </w:t>
      </w:r>
      <w:r w:rsidRPr="000E0AAC">
        <w:t>bad health (self, others in HH)</w:t>
      </w:r>
      <w:r w:rsidR="004C6FB7">
        <w:t>)</w:t>
      </w:r>
      <w:r w:rsidRPr="000E0AAC">
        <w:t>.</w:t>
      </w:r>
      <w:r>
        <w:t xml:space="preserve"> For each of these triggers, we calculate the percentage of respondents coded as having experienced the trigger, conditional on having experienced a large income drop. Our rough estimate (“</w:t>
      </w:r>
      <w:r w:rsidRPr="000E0AAC">
        <w:t>40</w:t>
      </w:r>
      <w:r w:rsidR="00C52D7F">
        <w:t xml:space="preserve"> to </w:t>
      </w:r>
      <w:r w:rsidRPr="000E0AAC">
        <w:t>50</w:t>
      </w:r>
      <w:r w:rsidR="00C52D7F">
        <w:t xml:space="preserve"> percent</w:t>
      </w:r>
      <w:r w:rsidRPr="000E0AAC">
        <w:t xml:space="preserve"> of all large household income losses occur in conjunction with our measured triggers</w:t>
      </w:r>
      <w:r>
        <w:t>”) is the sum of these percentages.</w:t>
      </w:r>
      <w:r w:rsidR="00910BCD">
        <w:rPr>
          <w:rStyle w:val="FootnoteReference"/>
        </w:rPr>
        <w:footnoteReference w:id="7"/>
      </w:r>
      <w:r>
        <w:t xml:space="preserve"> We stress again that this is only a very rough </w:t>
      </w:r>
      <w:r w:rsidR="004C6FB7">
        <w:t>“</w:t>
      </w:r>
      <w:r>
        <w:t>back-of-the-envelope</w:t>
      </w:r>
      <w:r w:rsidR="004C6FB7">
        <w:t>”</w:t>
      </w:r>
      <w:r>
        <w:t xml:space="preserve"> estimate.</w:t>
      </w:r>
    </w:p>
    <w:p w14:paraId="6F2406DB" w14:textId="77777777" w:rsidR="00152493" w:rsidRDefault="00152493" w:rsidP="00152493">
      <w:pPr>
        <w:spacing w:line="360" w:lineRule="auto"/>
      </w:pPr>
    </w:p>
    <w:p w14:paraId="5427EE4D" w14:textId="60CF6E9E" w:rsidR="00152493" w:rsidRDefault="00152493" w:rsidP="00152493">
      <w:pPr>
        <w:spacing w:line="360" w:lineRule="auto"/>
      </w:pPr>
      <w:r>
        <w:t>One challenge with the analysis of the relationship between events (“triggers”) and income dynamics is that the reference period</w:t>
      </w:r>
      <w:r w:rsidR="00C52D7F">
        <w:t>s</w:t>
      </w:r>
      <w:r>
        <w:t xml:space="preserve"> for income and events </w:t>
      </w:r>
      <w:r w:rsidR="00C52D7F">
        <w:t xml:space="preserve">are </w:t>
      </w:r>
      <w:r>
        <w:t>not always identical. Many variables in the EU-SILC (and most other panel studies) refer to the time of interview (the reference period is “current/at the time of the interview”). Reported income, however, refers to the last calendar year (except in Ireland</w:t>
      </w:r>
      <w:r w:rsidR="004C6FB7">
        <w:t xml:space="preserve">, </w:t>
      </w:r>
      <w:r>
        <w:t>where it is the 12 months before the interview</w:t>
      </w:r>
      <w:r w:rsidR="004C6FB7">
        <w:t xml:space="preserve">; </w:t>
      </w:r>
      <w:r>
        <w:t>and</w:t>
      </w:r>
      <w:r w:rsidR="004C6FB7">
        <w:t xml:space="preserve"> in</w:t>
      </w:r>
      <w:r>
        <w:t xml:space="preserve"> the UK</w:t>
      </w:r>
      <w:r w:rsidR="004C6FB7">
        <w:t xml:space="preserve">, </w:t>
      </w:r>
      <w:r>
        <w:t xml:space="preserve">where it is the current calendar year). Fortunately, information on HH size and employment status is available for </w:t>
      </w:r>
      <w:r w:rsidR="004C6FB7">
        <w:t xml:space="preserve">the </w:t>
      </w:r>
      <w:r>
        <w:t xml:space="preserve">income reference period. Subjective health and marital status, however, do not refer to the income reference period. In these cases, we match a respondent’s state with either the previous income reference period, or the current income reference period, depending on whether the interview occurred before or after July. This </w:t>
      </w:r>
      <w:r>
        <w:lastRenderedPageBreak/>
        <w:t xml:space="preserve">maximize the overlap between the reference periods in case they are different, although the overlap will still be only partial. </w:t>
      </w:r>
    </w:p>
    <w:p w14:paraId="28214E9D" w14:textId="77777777" w:rsidR="00152493" w:rsidRDefault="00152493" w:rsidP="00697AE0">
      <w:pPr>
        <w:pStyle w:val="BodyText"/>
        <w:spacing w:after="0" w:line="360" w:lineRule="auto"/>
        <w:ind w:firstLine="0"/>
        <w:rPr>
          <w:lang w:val="en-US"/>
        </w:rPr>
      </w:pPr>
    </w:p>
    <w:p w14:paraId="2D273FA7" w14:textId="34A937A6" w:rsidR="000D1367" w:rsidRPr="00D22574" w:rsidRDefault="000D1367" w:rsidP="000D1367">
      <w:pPr>
        <w:pStyle w:val="Heading1"/>
        <w:spacing w:line="360" w:lineRule="auto"/>
      </w:pPr>
      <w:r>
        <w:t>Robustness</w:t>
      </w:r>
    </w:p>
    <w:p w14:paraId="5EA88317" w14:textId="10D3979E" w:rsidR="00866405" w:rsidRDefault="000D1367" w:rsidP="000D1367">
      <w:pPr>
        <w:pStyle w:val="BodyText"/>
        <w:spacing w:after="0" w:line="360" w:lineRule="auto"/>
        <w:ind w:firstLine="0"/>
        <w:rPr>
          <w:lang w:val="en-US"/>
        </w:rPr>
      </w:pPr>
      <w:r>
        <w:rPr>
          <w:lang w:val="en-US"/>
        </w:rPr>
        <w:t>Throughout the paper, we use 25</w:t>
      </w:r>
      <w:r w:rsidR="00C52D7F">
        <w:rPr>
          <w:lang w:val="en-US"/>
        </w:rPr>
        <w:t xml:space="preserve"> percent</w:t>
      </w:r>
      <w:r>
        <w:rPr>
          <w:lang w:val="en-US"/>
        </w:rPr>
        <w:t xml:space="preserve"> arc income losses as the </w:t>
      </w:r>
      <w:r w:rsidR="00B0121E">
        <w:rPr>
          <w:lang w:val="en-US"/>
        </w:rPr>
        <w:t xml:space="preserve">threshold at </w:t>
      </w:r>
      <w:r>
        <w:rPr>
          <w:lang w:val="en-US"/>
        </w:rPr>
        <w:t xml:space="preserve">which we </w:t>
      </w:r>
      <w:r w:rsidR="00B0121E">
        <w:rPr>
          <w:lang w:val="en-US"/>
        </w:rPr>
        <w:t xml:space="preserve">say </w:t>
      </w:r>
      <w:r>
        <w:rPr>
          <w:lang w:val="en-US"/>
        </w:rPr>
        <w:t xml:space="preserve">a respondent </w:t>
      </w:r>
      <w:r w:rsidR="00B0121E">
        <w:rPr>
          <w:lang w:val="en-US"/>
        </w:rPr>
        <w:t xml:space="preserve">has experienced </w:t>
      </w:r>
      <w:r w:rsidR="007D752B">
        <w:rPr>
          <w:lang w:val="en-US"/>
        </w:rPr>
        <w:t>a</w:t>
      </w:r>
      <w:r>
        <w:rPr>
          <w:lang w:val="en-US"/>
        </w:rPr>
        <w:t xml:space="preserve"> </w:t>
      </w:r>
      <w:r w:rsidR="007D752B">
        <w:rPr>
          <w:lang w:val="en-US"/>
        </w:rPr>
        <w:t>“large” income loss</w:t>
      </w:r>
      <w:r>
        <w:rPr>
          <w:lang w:val="en-US"/>
        </w:rPr>
        <w:t xml:space="preserve">. </w:t>
      </w:r>
      <w:r w:rsidR="00391C15">
        <w:rPr>
          <w:lang w:val="en-US"/>
        </w:rPr>
        <w:t>As discussed, there are good reasons for this particular cut-off</w:t>
      </w:r>
      <w:r w:rsidR="007D752B">
        <w:rPr>
          <w:lang w:val="en-US"/>
        </w:rPr>
        <w:t xml:space="preserve">. Nonetheless, </w:t>
      </w:r>
      <w:r w:rsidR="00866405">
        <w:rPr>
          <w:lang w:val="en-US"/>
        </w:rPr>
        <w:t xml:space="preserve">the </w:t>
      </w:r>
      <w:r w:rsidR="00B0121E">
        <w:rPr>
          <w:lang w:val="en-US"/>
        </w:rPr>
        <w:t>specific</w:t>
      </w:r>
      <w:r w:rsidR="00866405">
        <w:rPr>
          <w:lang w:val="en-US"/>
        </w:rPr>
        <w:t xml:space="preserve"> </w:t>
      </w:r>
      <w:r w:rsidR="00B0121E">
        <w:rPr>
          <w:lang w:val="en-US"/>
        </w:rPr>
        <w:t xml:space="preserve">loss threshold chosen </w:t>
      </w:r>
      <w:r w:rsidR="00866405">
        <w:rPr>
          <w:lang w:val="en-US"/>
        </w:rPr>
        <w:t xml:space="preserve">does not </w:t>
      </w:r>
      <w:r w:rsidR="007D752B">
        <w:rPr>
          <w:lang w:val="en-US"/>
        </w:rPr>
        <w:t>have much of an effect on</w:t>
      </w:r>
      <w:r w:rsidR="00866405">
        <w:rPr>
          <w:lang w:val="en-US"/>
        </w:rPr>
        <w:t xml:space="preserve"> </w:t>
      </w:r>
      <w:r w:rsidR="00B0121E">
        <w:rPr>
          <w:lang w:val="en-US"/>
        </w:rPr>
        <w:t xml:space="preserve">our </w:t>
      </w:r>
      <w:r w:rsidR="00866405">
        <w:rPr>
          <w:lang w:val="en-US"/>
        </w:rPr>
        <w:t xml:space="preserve">cross-national </w:t>
      </w:r>
      <w:r w:rsidR="00B0121E">
        <w:rPr>
          <w:lang w:val="en-US"/>
        </w:rPr>
        <w:t>comparisons</w:t>
      </w:r>
      <w:r w:rsidR="00866405">
        <w:rPr>
          <w:lang w:val="en-US"/>
        </w:rPr>
        <w:t xml:space="preserve">, simply because the correlation between indicators based on different cut-off points is </w:t>
      </w:r>
      <w:r w:rsidR="00F83B80">
        <w:rPr>
          <w:lang w:val="en-US"/>
        </w:rPr>
        <w:t>very high, as the following table shows.</w:t>
      </w:r>
    </w:p>
    <w:p w14:paraId="0FBC4D64" w14:textId="77777777" w:rsidR="00697AE0" w:rsidRDefault="00697AE0" w:rsidP="00697AE0">
      <w:pPr>
        <w:pStyle w:val="BodyText"/>
        <w:spacing w:after="0" w:line="360" w:lineRule="auto"/>
        <w:ind w:firstLine="0"/>
        <w:rPr>
          <w:lang w:val="en-US"/>
        </w:rPr>
      </w:pPr>
    </w:p>
    <w:p w14:paraId="2A0F85AC" w14:textId="77777777" w:rsidR="00B0121E" w:rsidRDefault="00B0121E" w:rsidP="00697AE0">
      <w:pPr>
        <w:pStyle w:val="BodyText"/>
        <w:spacing w:after="0" w:line="360" w:lineRule="auto"/>
        <w:ind w:firstLine="0"/>
        <w:rPr>
          <w:lang w:val="en-US"/>
        </w:rPr>
      </w:pPr>
    </w:p>
    <w:p w14:paraId="3087DB39" w14:textId="77777777" w:rsidR="00B0121E" w:rsidRDefault="00B0121E" w:rsidP="00697AE0">
      <w:pPr>
        <w:pStyle w:val="BodyText"/>
        <w:spacing w:after="0" w:line="360" w:lineRule="auto"/>
        <w:ind w:firstLine="0"/>
        <w:rPr>
          <w:lang w:val="en-US"/>
        </w:rPr>
      </w:pPr>
    </w:p>
    <w:p w14:paraId="7C68AA6D" w14:textId="06460B9F" w:rsidR="00697AE0" w:rsidRPr="003B501B" w:rsidRDefault="00697AE0" w:rsidP="00697AE0">
      <w:pPr>
        <w:pStyle w:val="Caption"/>
        <w:spacing w:after="0" w:line="480" w:lineRule="auto"/>
        <w:rPr>
          <w:color w:val="auto"/>
          <w:sz w:val="24"/>
          <w:szCs w:val="24"/>
        </w:rPr>
      </w:pPr>
      <w:bookmarkStart w:id="0" w:name="_Ref477702473"/>
      <w:r w:rsidRPr="003B501B">
        <w:rPr>
          <w:color w:val="auto"/>
          <w:sz w:val="24"/>
          <w:szCs w:val="24"/>
        </w:rPr>
        <w:t xml:space="preserve">Table </w:t>
      </w:r>
      <w:r w:rsidR="002342F2">
        <w:rPr>
          <w:noProof/>
          <w:color w:val="auto"/>
          <w:sz w:val="24"/>
          <w:szCs w:val="24"/>
        </w:rPr>
        <w:t>1</w:t>
      </w:r>
      <w:bookmarkEnd w:id="0"/>
      <w:r w:rsidRPr="003B501B">
        <w:rPr>
          <w:color w:val="auto"/>
          <w:sz w:val="24"/>
          <w:szCs w:val="24"/>
        </w:rPr>
        <w:t xml:space="preserve">: </w:t>
      </w:r>
      <w:r>
        <w:rPr>
          <w:color w:val="auto"/>
          <w:sz w:val="24"/>
          <w:szCs w:val="24"/>
        </w:rPr>
        <w:t>Correlation between of key variables with different cut-off points (10/25/</w:t>
      </w:r>
      <w:proofErr w:type="gramStart"/>
      <w:r>
        <w:rPr>
          <w:color w:val="auto"/>
          <w:sz w:val="24"/>
          <w:szCs w:val="24"/>
        </w:rPr>
        <w:t>50%</w:t>
      </w:r>
      <w:proofErr w:type="gramEnd"/>
      <w:r>
        <w:rPr>
          <w:color w:val="auto"/>
          <w:sz w:val="24"/>
          <w:szCs w:val="24"/>
        </w:rPr>
        <w:t>)</w:t>
      </w:r>
    </w:p>
    <w:tbl>
      <w:tblPr>
        <w:tblStyle w:val="Style1"/>
        <w:tblW w:w="5000" w:type="pct"/>
        <w:tblLayout w:type="fixed"/>
        <w:tblLook w:val="04A0" w:firstRow="1" w:lastRow="0" w:firstColumn="1" w:lastColumn="0" w:noHBand="0" w:noVBand="1"/>
      </w:tblPr>
      <w:tblGrid>
        <w:gridCol w:w="315"/>
        <w:gridCol w:w="2393"/>
        <w:gridCol w:w="832"/>
        <w:gridCol w:w="832"/>
        <w:gridCol w:w="832"/>
        <w:gridCol w:w="832"/>
        <w:gridCol w:w="831"/>
        <w:gridCol w:w="831"/>
        <w:gridCol w:w="831"/>
        <w:gridCol w:w="831"/>
      </w:tblGrid>
      <w:tr w:rsidR="00697AE0" w:rsidRPr="00BC4A11" w14:paraId="7C15A60D" w14:textId="77777777" w:rsidTr="005B6C3F">
        <w:trPr>
          <w:cnfStyle w:val="100000000000" w:firstRow="1" w:lastRow="0" w:firstColumn="0" w:lastColumn="0" w:oddVBand="0" w:evenVBand="0" w:oddHBand="0" w:evenHBand="0" w:firstRowFirstColumn="0" w:firstRowLastColumn="0" w:lastRowFirstColumn="0" w:lastRowLastColumn="0"/>
          <w:trHeight w:val="290"/>
        </w:trPr>
        <w:tc>
          <w:tcPr>
            <w:tcW w:w="168" w:type="pct"/>
          </w:tcPr>
          <w:p w14:paraId="565F0777" w14:textId="77777777" w:rsidR="00697AE0" w:rsidRPr="00BC4A11" w:rsidRDefault="00697AE0" w:rsidP="00940C09">
            <w:pPr>
              <w:jc w:val="right"/>
              <w:rPr>
                <w:color w:val="auto"/>
              </w:rPr>
            </w:pPr>
          </w:p>
        </w:tc>
        <w:tc>
          <w:tcPr>
            <w:tcW w:w="1277" w:type="pct"/>
            <w:noWrap/>
          </w:tcPr>
          <w:p w14:paraId="16AE416A" w14:textId="77777777" w:rsidR="00697AE0" w:rsidRPr="00BC4A11" w:rsidRDefault="00697AE0" w:rsidP="00940C09">
            <w:pPr>
              <w:jc w:val="right"/>
              <w:rPr>
                <w:color w:val="auto"/>
              </w:rPr>
            </w:pPr>
          </w:p>
        </w:tc>
        <w:tc>
          <w:tcPr>
            <w:tcW w:w="444" w:type="pct"/>
            <w:noWrap/>
            <w:vAlign w:val="center"/>
          </w:tcPr>
          <w:p w14:paraId="3610498A" w14:textId="77777777" w:rsidR="00697AE0" w:rsidRPr="002342F2" w:rsidRDefault="00697AE0">
            <w:pPr>
              <w:jc w:val="right"/>
              <w:rPr>
                <w:color w:val="auto"/>
              </w:rPr>
            </w:pPr>
            <w:r w:rsidRPr="002342F2">
              <w:t>1</w:t>
            </w:r>
          </w:p>
        </w:tc>
        <w:tc>
          <w:tcPr>
            <w:tcW w:w="444" w:type="pct"/>
            <w:noWrap/>
            <w:vAlign w:val="center"/>
          </w:tcPr>
          <w:p w14:paraId="29E1F84B" w14:textId="77777777" w:rsidR="00697AE0" w:rsidRPr="002342F2" w:rsidRDefault="00697AE0">
            <w:pPr>
              <w:jc w:val="right"/>
              <w:rPr>
                <w:color w:val="auto"/>
              </w:rPr>
            </w:pPr>
            <w:r w:rsidRPr="002342F2">
              <w:t>2</w:t>
            </w:r>
          </w:p>
        </w:tc>
        <w:tc>
          <w:tcPr>
            <w:tcW w:w="444" w:type="pct"/>
            <w:noWrap/>
            <w:vAlign w:val="center"/>
          </w:tcPr>
          <w:p w14:paraId="5CFF21D2" w14:textId="77777777" w:rsidR="00697AE0" w:rsidRPr="002342F2" w:rsidRDefault="00697AE0">
            <w:pPr>
              <w:jc w:val="right"/>
              <w:rPr>
                <w:color w:val="auto"/>
              </w:rPr>
            </w:pPr>
            <w:r w:rsidRPr="002342F2">
              <w:t>3</w:t>
            </w:r>
          </w:p>
        </w:tc>
        <w:tc>
          <w:tcPr>
            <w:tcW w:w="444" w:type="pct"/>
            <w:noWrap/>
            <w:vAlign w:val="center"/>
          </w:tcPr>
          <w:p w14:paraId="42C1678E" w14:textId="77777777" w:rsidR="00697AE0" w:rsidRPr="002342F2" w:rsidRDefault="00697AE0">
            <w:pPr>
              <w:jc w:val="right"/>
              <w:rPr>
                <w:color w:val="auto"/>
              </w:rPr>
            </w:pPr>
            <w:r w:rsidRPr="002342F2">
              <w:t>4</w:t>
            </w:r>
          </w:p>
        </w:tc>
        <w:tc>
          <w:tcPr>
            <w:tcW w:w="444" w:type="pct"/>
            <w:noWrap/>
            <w:vAlign w:val="center"/>
          </w:tcPr>
          <w:p w14:paraId="10AE8C81" w14:textId="77777777" w:rsidR="00697AE0" w:rsidRPr="002342F2" w:rsidRDefault="00697AE0">
            <w:pPr>
              <w:jc w:val="right"/>
              <w:rPr>
                <w:color w:val="auto"/>
              </w:rPr>
            </w:pPr>
            <w:r w:rsidRPr="002342F2">
              <w:t>5</w:t>
            </w:r>
          </w:p>
        </w:tc>
        <w:tc>
          <w:tcPr>
            <w:tcW w:w="444" w:type="pct"/>
            <w:noWrap/>
            <w:vAlign w:val="center"/>
          </w:tcPr>
          <w:p w14:paraId="1350E325" w14:textId="77777777" w:rsidR="00697AE0" w:rsidRPr="002342F2" w:rsidRDefault="00697AE0">
            <w:pPr>
              <w:jc w:val="right"/>
              <w:rPr>
                <w:color w:val="auto"/>
              </w:rPr>
            </w:pPr>
            <w:r w:rsidRPr="002342F2">
              <w:t>6</w:t>
            </w:r>
          </w:p>
        </w:tc>
        <w:tc>
          <w:tcPr>
            <w:tcW w:w="444" w:type="pct"/>
            <w:noWrap/>
            <w:vAlign w:val="center"/>
          </w:tcPr>
          <w:p w14:paraId="2126B159" w14:textId="77777777" w:rsidR="00697AE0" w:rsidRPr="002342F2" w:rsidRDefault="00697AE0">
            <w:pPr>
              <w:jc w:val="right"/>
              <w:rPr>
                <w:color w:val="auto"/>
              </w:rPr>
            </w:pPr>
            <w:r w:rsidRPr="002342F2">
              <w:t>7</w:t>
            </w:r>
          </w:p>
        </w:tc>
        <w:tc>
          <w:tcPr>
            <w:tcW w:w="444" w:type="pct"/>
            <w:noWrap/>
            <w:vAlign w:val="center"/>
          </w:tcPr>
          <w:p w14:paraId="646E71EE" w14:textId="77777777" w:rsidR="00697AE0" w:rsidRPr="002342F2" w:rsidRDefault="00697AE0">
            <w:pPr>
              <w:jc w:val="right"/>
              <w:rPr>
                <w:color w:val="auto"/>
              </w:rPr>
            </w:pPr>
            <w:r w:rsidRPr="002342F2">
              <w:t>8</w:t>
            </w:r>
          </w:p>
        </w:tc>
      </w:tr>
      <w:tr w:rsidR="002342F2" w:rsidRPr="00BC4A11" w14:paraId="0470C3D8" w14:textId="77777777" w:rsidTr="005B6C3F">
        <w:trPr>
          <w:trHeight w:val="290"/>
        </w:trPr>
        <w:tc>
          <w:tcPr>
            <w:tcW w:w="168" w:type="pct"/>
          </w:tcPr>
          <w:p w14:paraId="659044D2" w14:textId="77777777" w:rsidR="002342F2" w:rsidRPr="00BC4A11" w:rsidRDefault="002342F2" w:rsidP="002342F2">
            <w:pPr>
              <w:rPr>
                <w:color w:val="000000"/>
              </w:rPr>
            </w:pPr>
            <w:r>
              <w:rPr>
                <w:color w:val="000000"/>
              </w:rPr>
              <w:t>1</w:t>
            </w:r>
          </w:p>
        </w:tc>
        <w:tc>
          <w:tcPr>
            <w:tcW w:w="1277" w:type="pct"/>
            <w:noWrap/>
            <w:hideMark/>
          </w:tcPr>
          <w:p w14:paraId="6AAD0F1E" w14:textId="77777777" w:rsidR="002342F2" w:rsidRPr="00BC4A11" w:rsidRDefault="002342F2" w:rsidP="002342F2">
            <w:pPr>
              <w:rPr>
                <w:color w:val="000000"/>
              </w:rPr>
            </w:pPr>
            <w:r>
              <w:rPr>
                <w:color w:val="000000"/>
              </w:rPr>
              <w:t>10%+ drop (MI)</w:t>
            </w:r>
          </w:p>
        </w:tc>
        <w:tc>
          <w:tcPr>
            <w:tcW w:w="444" w:type="pct"/>
            <w:noWrap/>
            <w:vAlign w:val="center"/>
          </w:tcPr>
          <w:p w14:paraId="0C29E225" w14:textId="28904652" w:rsidR="002342F2" w:rsidRPr="002342F2" w:rsidRDefault="002342F2">
            <w:pPr>
              <w:jc w:val="right"/>
              <w:rPr>
                <w:b/>
                <w:color w:val="000000"/>
              </w:rPr>
            </w:pPr>
            <w:r w:rsidRPr="005B6C3F">
              <w:rPr>
                <w:color w:val="000000"/>
                <w:sz w:val="22"/>
                <w:szCs w:val="22"/>
              </w:rPr>
              <w:t>1</w:t>
            </w:r>
          </w:p>
        </w:tc>
        <w:tc>
          <w:tcPr>
            <w:tcW w:w="444" w:type="pct"/>
            <w:noWrap/>
            <w:vAlign w:val="center"/>
          </w:tcPr>
          <w:p w14:paraId="3DD55CAA" w14:textId="77777777" w:rsidR="002342F2" w:rsidRPr="002342F2" w:rsidRDefault="002342F2">
            <w:pPr>
              <w:jc w:val="right"/>
              <w:rPr>
                <w:b/>
                <w:color w:val="000000"/>
              </w:rPr>
            </w:pPr>
          </w:p>
        </w:tc>
        <w:tc>
          <w:tcPr>
            <w:tcW w:w="444" w:type="pct"/>
            <w:noWrap/>
            <w:vAlign w:val="center"/>
          </w:tcPr>
          <w:p w14:paraId="3D50BA94" w14:textId="77777777" w:rsidR="002342F2" w:rsidRPr="002342F2" w:rsidRDefault="002342F2" w:rsidP="005B6C3F">
            <w:pPr>
              <w:jc w:val="right"/>
              <w:rPr>
                <w:b/>
              </w:rPr>
            </w:pPr>
          </w:p>
        </w:tc>
        <w:tc>
          <w:tcPr>
            <w:tcW w:w="444" w:type="pct"/>
            <w:noWrap/>
            <w:vAlign w:val="center"/>
          </w:tcPr>
          <w:p w14:paraId="5D128AEB" w14:textId="77777777" w:rsidR="002342F2" w:rsidRPr="002342F2" w:rsidRDefault="002342F2" w:rsidP="005B6C3F">
            <w:pPr>
              <w:jc w:val="right"/>
            </w:pPr>
          </w:p>
        </w:tc>
        <w:tc>
          <w:tcPr>
            <w:tcW w:w="444" w:type="pct"/>
            <w:noWrap/>
            <w:vAlign w:val="center"/>
          </w:tcPr>
          <w:p w14:paraId="2B683A54" w14:textId="77777777" w:rsidR="002342F2" w:rsidRPr="002342F2" w:rsidRDefault="002342F2" w:rsidP="005B6C3F">
            <w:pPr>
              <w:jc w:val="right"/>
            </w:pPr>
          </w:p>
        </w:tc>
        <w:tc>
          <w:tcPr>
            <w:tcW w:w="444" w:type="pct"/>
            <w:noWrap/>
            <w:vAlign w:val="center"/>
          </w:tcPr>
          <w:p w14:paraId="58928400" w14:textId="77777777" w:rsidR="002342F2" w:rsidRPr="002342F2" w:rsidRDefault="002342F2" w:rsidP="005B6C3F">
            <w:pPr>
              <w:jc w:val="right"/>
            </w:pPr>
          </w:p>
        </w:tc>
        <w:tc>
          <w:tcPr>
            <w:tcW w:w="444" w:type="pct"/>
            <w:noWrap/>
            <w:vAlign w:val="center"/>
          </w:tcPr>
          <w:p w14:paraId="07DEEBE4" w14:textId="77777777" w:rsidR="002342F2" w:rsidRPr="002342F2" w:rsidRDefault="002342F2" w:rsidP="005B6C3F">
            <w:pPr>
              <w:jc w:val="right"/>
            </w:pPr>
          </w:p>
        </w:tc>
        <w:tc>
          <w:tcPr>
            <w:tcW w:w="444" w:type="pct"/>
            <w:noWrap/>
            <w:vAlign w:val="center"/>
          </w:tcPr>
          <w:p w14:paraId="0E0C2EEC" w14:textId="77777777" w:rsidR="002342F2" w:rsidRPr="002342F2" w:rsidRDefault="002342F2" w:rsidP="005B6C3F">
            <w:pPr>
              <w:jc w:val="right"/>
            </w:pPr>
          </w:p>
        </w:tc>
      </w:tr>
      <w:tr w:rsidR="002342F2" w:rsidRPr="00BC4A11" w14:paraId="2AB6B4E1" w14:textId="77777777" w:rsidTr="005B6C3F">
        <w:trPr>
          <w:trHeight w:val="290"/>
        </w:trPr>
        <w:tc>
          <w:tcPr>
            <w:tcW w:w="168" w:type="pct"/>
          </w:tcPr>
          <w:p w14:paraId="7515DA1B" w14:textId="77777777" w:rsidR="002342F2" w:rsidRPr="00BC4A11" w:rsidRDefault="002342F2" w:rsidP="002342F2">
            <w:pPr>
              <w:rPr>
                <w:color w:val="000000"/>
              </w:rPr>
            </w:pPr>
            <w:r>
              <w:rPr>
                <w:color w:val="000000"/>
              </w:rPr>
              <w:t>2</w:t>
            </w:r>
          </w:p>
        </w:tc>
        <w:tc>
          <w:tcPr>
            <w:tcW w:w="1277" w:type="pct"/>
            <w:noWrap/>
            <w:hideMark/>
          </w:tcPr>
          <w:p w14:paraId="625D3731" w14:textId="77777777" w:rsidR="002342F2" w:rsidRPr="00BC4A11" w:rsidRDefault="002342F2" w:rsidP="002342F2">
            <w:pPr>
              <w:rPr>
                <w:color w:val="000000"/>
              </w:rPr>
            </w:pPr>
            <w:r>
              <w:rPr>
                <w:color w:val="000000"/>
              </w:rPr>
              <w:t>25%+ drop (MI)</w:t>
            </w:r>
          </w:p>
        </w:tc>
        <w:tc>
          <w:tcPr>
            <w:tcW w:w="444" w:type="pct"/>
            <w:noWrap/>
            <w:vAlign w:val="center"/>
          </w:tcPr>
          <w:p w14:paraId="2D1B3688" w14:textId="41E67F59" w:rsidR="002342F2" w:rsidRPr="002342F2" w:rsidRDefault="002342F2">
            <w:pPr>
              <w:jc w:val="right"/>
              <w:rPr>
                <w:b/>
                <w:color w:val="000000"/>
              </w:rPr>
            </w:pPr>
            <w:r w:rsidRPr="005B6C3F">
              <w:rPr>
                <w:color w:val="000000"/>
                <w:sz w:val="22"/>
                <w:szCs w:val="22"/>
              </w:rPr>
              <w:t>0.94</w:t>
            </w:r>
          </w:p>
        </w:tc>
        <w:tc>
          <w:tcPr>
            <w:tcW w:w="444" w:type="pct"/>
            <w:noWrap/>
            <w:vAlign w:val="center"/>
          </w:tcPr>
          <w:p w14:paraId="0807D02F" w14:textId="42B03EB7" w:rsidR="002342F2" w:rsidRPr="002342F2" w:rsidRDefault="002342F2">
            <w:pPr>
              <w:jc w:val="right"/>
              <w:rPr>
                <w:b/>
                <w:color w:val="000000"/>
              </w:rPr>
            </w:pPr>
            <w:r w:rsidRPr="005B6C3F">
              <w:rPr>
                <w:color w:val="000000"/>
                <w:sz w:val="22"/>
                <w:szCs w:val="22"/>
              </w:rPr>
              <w:t>1</w:t>
            </w:r>
          </w:p>
        </w:tc>
        <w:tc>
          <w:tcPr>
            <w:tcW w:w="444" w:type="pct"/>
            <w:noWrap/>
            <w:vAlign w:val="center"/>
          </w:tcPr>
          <w:p w14:paraId="2ECA4735" w14:textId="77777777" w:rsidR="002342F2" w:rsidRPr="002342F2" w:rsidRDefault="002342F2">
            <w:pPr>
              <w:jc w:val="right"/>
              <w:rPr>
                <w:b/>
                <w:color w:val="000000"/>
              </w:rPr>
            </w:pPr>
          </w:p>
        </w:tc>
        <w:tc>
          <w:tcPr>
            <w:tcW w:w="444" w:type="pct"/>
            <w:noWrap/>
            <w:vAlign w:val="center"/>
          </w:tcPr>
          <w:p w14:paraId="211A9592" w14:textId="77777777" w:rsidR="002342F2" w:rsidRPr="002342F2" w:rsidRDefault="002342F2" w:rsidP="005B6C3F">
            <w:pPr>
              <w:jc w:val="right"/>
            </w:pPr>
          </w:p>
        </w:tc>
        <w:tc>
          <w:tcPr>
            <w:tcW w:w="444" w:type="pct"/>
            <w:noWrap/>
            <w:vAlign w:val="center"/>
          </w:tcPr>
          <w:p w14:paraId="13E8C94D" w14:textId="77777777" w:rsidR="002342F2" w:rsidRPr="002342F2" w:rsidRDefault="002342F2" w:rsidP="005B6C3F">
            <w:pPr>
              <w:jc w:val="right"/>
            </w:pPr>
          </w:p>
        </w:tc>
        <w:tc>
          <w:tcPr>
            <w:tcW w:w="444" w:type="pct"/>
            <w:noWrap/>
            <w:vAlign w:val="center"/>
          </w:tcPr>
          <w:p w14:paraId="647F387B" w14:textId="77777777" w:rsidR="002342F2" w:rsidRPr="002342F2" w:rsidRDefault="002342F2" w:rsidP="005B6C3F">
            <w:pPr>
              <w:jc w:val="right"/>
            </w:pPr>
          </w:p>
        </w:tc>
        <w:tc>
          <w:tcPr>
            <w:tcW w:w="444" w:type="pct"/>
            <w:noWrap/>
            <w:vAlign w:val="center"/>
          </w:tcPr>
          <w:p w14:paraId="7FA6B8A5" w14:textId="77777777" w:rsidR="002342F2" w:rsidRPr="002342F2" w:rsidRDefault="002342F2" w:rsidP="005B6C3F">
            <w:pPr>
              <w:jc w:val="right"/>
            </w:pPr>
          </w:p>
        </w:tc>
        <w:tc>
          <w:tcPr>
            <w:tcW w:w="444" w:type="pct"/>
            <w:noWrap/>
            <w:vAlign w:val="center"/>
          </w:tcPr>
          <w:p w14:paraId="3A069CB6" w14:textId="77777777" w:rsidR="002342F2" w:rsidRPr="002342F2" w:rsidRDefault="002342F2" w:rsidP="005B6C3F">
            <w:pPr>
              <w:jc w:val="right"/>
            </w:pPr>
          </w:p>
        </w:tc>
      </w:tr>
      <w:tr w:rsidR="002342F2" w:rsidRPr="00BC4A11" w14:paraId="7A3FED99" w14:textId="77777777" w:rsidTr="005B6C3F">
        <w:trPr>
          <w:trHeight w:val="290"/>
        </w:trPr>
        <w:tc>
          <w:tcPr>
            <w:tcW w:w="168" w:type="pct"/>
          </w:tcPr>
          <w:p w14:paraId="3E45EF82" w14:textId="77777777" w:rsidR="002342F2" w:rsidRPr="00BC4A11" w:rsidRDefault="002342F2" w:rsidP="002342F2">
            <w:pPr>
              <w:rPr>
                <w:color w:val="000000"/>
              </w:rPr>
            </w:pPr>
            <w:r>
              <w:rPr>
                <w:color w:val="000000"/>
              </w:rPr>
              <w:t>3</w:t>
            </w:r>
          </w:p>
        </w:tc>
        <w:tc>
          <w:tcPr>
            <w:tcW w:w="1277" w:type="pct"/>
            <w:noWrap/>
            <w:hideMark/>
          </w:tcPr>
          <w:p w14:paraId="1C022AEA" w14:textId="77777777" w:rsidR="002342F2" w:rsidRPr="00BC4A11" w:rsidRDefault="002342F2" w:rsidP="002342F2">
            <w:pPr>
              <w:rPr>
                <w:color w:val="000000"/>
              </w:rPr>
            </w:pPr>
            <w:r>
              <w:rPr>
                <w:color w:val="000000"/>
              </w:rPr>
              <w:t>50%+ drop (MI)</w:t>
            </w:r>
          </w:p>
        </w:tc>
        <w:tc>
          <w:tcPr>
            <w:tcW w:w="444" w:type="pct"/>
            <w:noWrap/>
            <w:vAlign w:val="center"/>
          </w:tcPr>
          <w:p w14:paraId="1A3520F0" w14:textId="7E62D3F5" w:rsidR="002342F2" w:rsidRPr="002342F2" w:rsidRDefault="002342F2">
            <w:pPr>
              <w:jc w:val="right"/>
              <w:rPr>
                <w:b/>
                <w:color w:val="000000"/>
              </w:rPr>
            </w:pPr>
            <w:r w:rsidRPr="005B6C3F">
              <w:rPr>
                <w:color w:val="000000"/>
                <w:sz w:val="22"/>
                <w:szCs w:val="22"/>
              </w:rPr>
              <w:t>0.83</w:t>
            </w:r>
          </w:p>
        </w:tc>
        <w:tc>
          <w:tcPr>
            <w:tcW w:w="444" w:type="pct"/>
            <w:noWrap/>
            <w:vAlign w:val="center"/>
          </w:tcPr>
          <w:p w14:paraId="033D4712" w14:textId="306A6A45" w:rsidR="002342F2" w:rsidRPr="002342F2" w:rsidRDefault="002342F2">
            <w:pPr>
              <w:jc w:val="right"/>
              <w:rPr>
                <w:b/>
                <w:color w:val="000000"/>
              </w:rPr>
            </w:pPr>
            <w:r w:rsidRPr="005B6C3F">
              <w:rPr>
                <w:color w:val="000000"/>
                <w:sz w:val="22"/>
                <w:szCs w:val="22"/>
              </w:rPr>
              <w:t>0.95</w:t>
            </w:r>
          </w:p>
        </w:tc>
        <w:tc>
          <w:tcPr>
            <w:tcW w:w="444" w:type="pct"/>
            <w:noWrap/>
            <w:vAlign w:val="center"/>
          </w:tcPr>
          <w:p w14:paraId="60DC33A3" w14:textId="7D7BB41A" w:rsidR="002342F2" w:rsidRPr="002342F2" w:rsidRDefault="002342F2">
            <w:pPr>
              <w:jc w:val="right"/>
              <w:rPr>
                <w:b/>
                <w:color w:val="000000"/>
              </w:rPr>
            </w:pPr>
            <w:r w:rsidRPr="005B6C3F">
              <w:rPr>
                <w:color w:val="000000"/>
                <w:sz w:val="22"/>
                <w:szCs w:val="22"/>
              </w:rPr>
              <w:t>1</w:t>
            </w:r>
          </w:p>
        </w:tc>
        <w:tc>
          <w:tcPr>
            <w:tcW w:w="444" w:type="pct"/>
            <w:noWrap/>
            <w:vAlign w:val="center"/>
          </w:tcPr>
          <w:p w14:paraId="7AB5D399" w14:textId="77777777" w:rsidR="002342F2" w:rsidRPr="002342F2" w:rsidRDefault="002342F2">
            <w:pPr>
              <w:jc w:val="right"/>
              <w:rPr>
                <w:color w:val="000000"/>
              </w:rPr>
            </w:pPr>
          </w:p>
        </w:tc>
        <w:tc>
          <w:tcPr>
            <w:tcW w:w="444" w:type="pct"/>
            <w:noWrap/>
            <w:vAlign w:val="center"/>
          </w:tcPr>
          <w:p w14:paraId="2C838E31" w14:textId="77777777" w:rsidR="002342F2" w:rsidRPr="002342F2" w:rsidRDefault="002342F2" w:rsidP="005B6C3F">
            <w:pPr>
              <w:jc w:val="right"/>
            </w:pPr>
          </w:p>
        </w:tc>
        <w:tc>
          <w:tcPr>
            <w:tcW w:w="444" w:type="pct"/>
            <w:noWrap/>
            <w:vAlign w:val="center"/>
          </w:tcPr>
          <w:p w14:paraId="4DF2C025" w14:textId="77777777" w:rsidR="002342F2" w:rsidRPr="002342F2" w:rsidRDefault="002342F2" w:rsidP="005B6C3F">
            <w:pPr>
              <w:jc w:val="right"/>
            </w:pPr>
          </w:p>
        </w:tc>
        <w:tc>
          <w:tcPr>
            <w:tcW w:w="444" w:type="pct"/>
            <w:noWrap/>
            <w:vAlign w:val="center"/>
          </w:tcPr>
          <w:p w14:paraId="74C23D2E" w14:textId="77777777" w:rsidR="002342F2" w:rsidRPr="002342F2" w:rsidRDefault="002342F2" w:rsidP="005B6C3F">
            <w:pPr>
              <w:jc w:val="right"/>
            </w:pPr>
          </w:p>
        </w:tc>
        <w:tc>
          <w:tcPr>
            <w:tcW w:w="444" w:type="pct"/>
            <w:noWrap/>
            <w:vAlign w:val="center"/>
          </w:tcPr>
          <w:p w14:paraId="5AB20392" w14:textId="77777777" w:rsidR="002342F2" w:rsidRPr="002342F2" w:rsidRDefault="002342F2" w:rsidP="005B6C3F">
            <w:pPr>
              <w:jc w:val="right"/>
            </w:pPr>
          </w:p>
        </w:tc>
      </w:tr>
      <w:tr w:rsidR="002342F2" w:rsidRPr="00BC4A11" w14:paraId="5F11C791" w14:textId="77777777" w:rsidTr="005B6C3F">
        <w:trPr>
          <w:trHeight w:val="290"/>
        </w:trPr>
        <w:tc>
          <w:tcPr>
            <w:tcW w:w="168" w:type="pct"/>
          </w:tcPr>
          <w:p w14:paraId="018B0690" w14:textId="77777777" w:rsidR="002342F2" w:rsidRPr="00BC4A11" w:rsidRDefault="002342F2" w:rsidP="002342F2">
            <w:pPr>
              <w:rPr>
                <w:color w:val="000000"/>
              </w:rPr>
            </w:pPr>
            <w:r>
              <w:rPr>
                <w:color w:val="000000"/>
              </w:rPr>
              <w:t>4</w:t>
            </w:r>
          </w:p>
        </w:tc>
        <w:tc>
          <w:tcPr>
            <w:tcW w:w="1277" w:type="pct"/>
            <w:noWrap/>
            <w:hideMark/>
          </w:tcPr>
          <w:p w14:paraId="4D877F14" w14:textId="77777777" w:rsidR="002342F2" w:rsidRPr="00BC4A11" w:rsidRDefault="002342F2" w:rsidP="002342F2">
            <w:pPr>
              <w:rPr>
                <w:color w:val="000000"/>
              </w:rPr>
            </w:pPr>
            <w:r>
              <w:rPr>
                <w:color w:val="000000"/>
              </w:rPr>
              <w:t>10%+ drop (DI)</w:t>
            </w:r>
          </w:p>
        </w:tc>
        <w:tc>
          <w:tcPr>
            <w:tcW w:w="444" w:type="pct"/>
            <w:noWrap/>
            <w:vAlign w:val="center"/>
          </w:tcPr>
          <w:p w14:paraId="62230805" w14:textId="0DB93DE3" w:rsidR="002342F2" w:rsidRPr="002342F2" w:rsidRDefault="002342F2">
            <w:pPr>
              <w:jc w:val="right"/>
              <w:rPr>
                <w:color w:val="000000"/>
              </w:rPr>
            </w:pPr>
            <w:r w:rsidRPr="005B6C3F">
              <w:rPr>
                <w:color w:val="000000"/>
                <w:sz w:val="22"/>
                <w:szCs w:val="22"/>
              </w:rPr>
              <w:t>0.90</w:t>
            </w:r>
          </w:p>
        </w:tc>
        <w:tc>
          <w:tcPr>
            <w:tcW w:w="444" w:type="pct"/>
            <w:noWrap/>
            <w:vAlign w:val="center"/>
          </w:tcPr>
          <w:p w14:paraId="74F78061" w14:textId="1687EB6F" w:rsidR="002342F2" w:rsidRPr="002342F2" w:rsidRDefault="002342F2">
            <w:pPr>
              <w:jc w:val="right"/>
              <w:rPr>
                <w:color w:val="000000"/>
              </w:rPr>
            </w:pPr>
            <w:r w:rsidRPr="005B6C3F">
              <w:rPr>
                <w:color w:val="000000"/>
                <w:sz w:val="22"/>
                <w:szCs w:val="22"/>
              </w:rPr>
              <w:t>0.85</w:t>
            </w:r>
          </w:p>
        </w:tc>
        <w:tc>
          <w:tcPr>
            <w:tcW w:w="444" w:type="pct"/>
            <w:noWrap/>
            <w:vAlign w:val="center"/>
          </w:tcPr>
          <w:p w14:paraId="5604FDE7" w14:textId="775FBD1D" w:rsidR="002342F2" w:rsidRPr="002342F2" w:rsidRDefault="002342F2">
            <w:pPr>
              <w:jc w:val="right"/>
              <w:rPr>
                <w:color w:val="000000"/>
              </w:rPr>
            </w:pPr>
            <w:r w:rsidRPr="005B6C3F">
              <w:rPr>
                <w:color w:val="000000"/>
                <w:sz w:val="22"/>
                <w:szCs w:val="22"/>
              </w:rPr>
              <w:t>0.76</w:t>
            </w:r>
          </w:p>
        </w:tc>
        <w:tc>
          <w:tcPr>
            <w:tcW w:w="444" w:type="pct"/>
            <w:noWrap/>
            <w:vAlign w:val="center"/>
          </w:tcPr>
          <w:p w14:paraId="188D59B7" w14:textId="2EE6FFCA" w:rsidR="002342F2" w:rsidRPr="002342F2" w:rsidRDefault="002342F2">
            <w:pPr>
              <w:jc w:val="right"/>
              <w:rPr>
                <w:b/>
                <w:color w:val="000000"/>
              </w:rPr>
            </w:pPr>
            <w:r w:rsidRPr="005B6C3F">
              <w:rPr>
                <w:color w:val="000000"/>
                <w:sz w:val="22"/>
                <w:szCs w:val="22"/>
              </w:rPr>
              <w:t>1</w:t>
            </w:r>
          </w:p>
        </w:tc>
        <w:tc>
          <w:tcPr>
            <w:tcW w:w="444" w:type="pct"/>
            <w:noWrap/>
            <w:vAlign w:val="center"/>
          </w:tcPr>
          <w:p w14:paraId="01B7904F" w14:textId="77777777" w:rsidR="002342F2" w:rsidRPr="002342F2" w:rsidRDefault="002342F2">
            <w:pPr>
              <w:jc w:val="right"/>
              <w:rPr>
                <w:b/>
                <w:color w:val="000000"/>
              </w:rPr>
            </w:pPr>
          </w:p>
        </w:tc>
        <w:tc>
          <w:tcPr>
            <w:tcW w:w="444" w:type="pct"/>
            <w:noWrap/>
            <w:vAlign w:val="center"/>
          </w:tcPr>
          <w:p w14:paraId="7A27DD78" w14:textId="77777777" w:rsidR="002342F2" w:rsidRPr="002342F2" w:rsidRDefault="002342F2" w:rsidP="005B6C3F">
            <w:pPr>
              <w:jc w:val="right"/>
              <w:rPr>
                <w:b/>
              </w:rPr>
            </w:pPr>
          </w:p>
        </w:tc>
        <w:tc>
          <w:tcPr>
            <w:tcW w:w="444" w:type="pct"/>
            <w:noWrap/>
            <w:vAlign w:val="center"/>
          </w:tcPr>
          <w:p w14:paraId="66683C54" w14:textId="77777777" w:rsidR="002342F2" w:rsidRPr="002342F2" w:rsidRDefault="002342F2" w:rsidP="005B6C3F">
            <w:pPr>
              <w:jc w:val="right"/>
            </w:pPr>
          </w:p>
        </w:tc>
        <w:tc>
          <w:tcPr>
            <w:tcW w:w="444" w:type="pct"/>
            <w:noWrap/>
            <w:vAlign w:val="center"/>
          </w:tcPr>
          <w:p w14:paraId="47DF5D79" w14:textId="77777777" w:rsidR="002342F2" w:rsidRPr="002342F2" w:rsidRDefault="002342F2" w:rsidP="005B6C3F">
            <w:pPr>
              <w:jc w:val="right"/>
            </w:pPr>
          </w:p>
        </w:tc>
      </w:tr>
      <w:tr w:rsidR="002342F2" w:rsidRPr="00BC4A11" w14:paraId="4E8C140D" w14:textId="77777777" w:rsidTr="005B6C3F">
        <w:trPr>
          <w:trHeight w:val="290"/>
        </w:trPr>
        <w:tc>
          <w:tcPr>
            <w:tcW w:w="168" w:type="pct"/>
          </w:tcPr>
          <w:p w14:paraId="4821F2FF" w14:textId="77777777" w:rsidR="002342F2" w:rsidRPr="00BC4A11" w:rsidRDefault="002342F2" w:rsidP="002342F2">
            <w:pPr>
              <w:rPr>
                <w:color w:val="000000"/>
              </w:rPr>
            </w:pPr>
            <w:r>
              <w:rPr>
                <w:color w:val="000000"/>
              </w:rPr>
              <w:t>5</w:t>
            </w:r>
          </w:p>
        </w:tc>
        <w:tc>
          <w:tcPr>
            <w:tcW w:w="1277" w:type="pct"/>
            <w:noWrap/>
            <w:hideMark/>
          </w:tcPr>
          <w:p w14:paraId="5973FB00" w14:textId="77777777" w:rsidR="002342F2" w:rsidRPr="00BC4A11" w:rsidRDefault="002342F2" w:rsidP="002342F2">
            <w:pPr>
              <w:rPr>
                <w:color w:val="000000"/>
              </w:rPr>
            </w:pPr>
            <w:r>
              <w:rPr>
                <w:color w:val="000000"/>
              </w:rPr>
              <w:t>25%+ drop (DI)</w:t>
            </w:r>
          </w:p>
        </w:tc>
        <w:tc>
          <w:tcPr>
            <w:tcW w:w="444" w:type="pct"/>
            <w:noWrap/>
            <w:vAlign w:val="center"/>
          </w:tcPr>
          <w:p w14:paraId="51710B16" w14:textId="6EEFC4C4" w:rsidR="002342F2" w:rsidRPr="002342F2" w:rsidRDefault="002342F2">
            <w:pPr>
              <w:jc w:val="right"/>
              <w:rPr>
                <w:color w:val="000000"/>
              </w:rPr>
            </w:pPr>
            <w:r w:rsidRPr="005B6C3F">
              <w:rPr>
                <w:color w:val="000000"/>
                <w:sz w:val="22"/>
                <w:szCs w:val="22"/>
              </w:rPr>
              <w:t>0.85</w:t>
            </w:r>
          </w:p>
        </w:tc>
        <w:tc>
          <w:tcPr>
            <w:tcW w:w="444" w:type="pct"/>
            <w:noWrap/>
            <w:vAlign w:val="center"/>
          </w:tcPr>
          <w:p w14:paraId="78C32DE5" w14:textId="7F5C91FA" w:rsidR="002342F2" w:rsidRPr="002342F2" w:rsidRDefault="002342F2">
            <w:pPr>
              <w:jc w:val="right"/>
              <w:rPr>
                <w:color w:val="000000"/>
              </w:rPr>
            </w:pPr>
            <w:r w:rsidRPr="005B6C3F">
              <w:rPr>
                <w:color w:val="000000"/>
                <w:sz w:val="22"/>
                <w:szCs w:val="22"/>
              </w:rPr>
              <w:t>0.86</w:t>
            </w:r>
          </w:p>
        </w:tc>
        <w:tc>
          <w:tcPr>
            <w:tcW w:w="444" w:type="pct"/>
            <w:noWrap/>
            <w:vAlign w:val="center"/>
          </w:tcPr>
          <w:p w14:paraId="72C4A166" w14:textId="1D5930EA" w:rsidR="002342F2" w:rsidRPr="002342F2" w:rsidRDefault="002342F2">
            <w:pPr>
              <w:jc w:val="right"/>
              <w:rPr>
                <w:color w:val="000000"/>
              </w:rPr>
            </w:pPr>
            <w:r w:rsidRPr="005B6C3F">
              <w:rPr>
                <w:color w:val="000000"/>
                <w:sz w:val="22"/>
                <w:szCs w:val="22"/>
              </w:rPr>
              <w:t>0.82</w:t>
            </w:r>
          </w:p>
        </w:tc>
        <w:tc>
          <w:tcPr>
            <w:tcW w:w="444" w:type="pct"/>
            <w:noWrap/>
            <w:vAlign w:val="center"/>
          </w:tcPr>
          <w:p w14:paraId="7C70C5F4" w14:textId="01B635B0" w:rsidR="002342F2" w:rsidRPr="002342F2" w:rsidRDefault="002342F2">
            <w:pPr>
              <w:jc w:val="right"/>
              <w:rPr>
                <w:b/>
                <w:color w:val="000000"/>
              </w:rPr>
            </w:pPr>
            <w:r w:rsidRPr="005B6C3F">
              <w:rPr>
                <w:color w:val="000000"/>
                <w:sz w:val="22"/>
                <w:szCs w:val="22"/>
              </w:rPr>
              <w:t>0.95</w:t>
            </w:r>
          </w:p>
        </w:tc>
        <w:tc>
          <w:tcPr>
            <w:tcW w:w="444" w:type="pct"/>
            <w:noWrap/>
            <w:vAlign w:val="center"/>
          </w:tcPr>
          <w:p w14:paraId="0D67243E" w14:textId="463648A6" w:rsidR="002342F2" w:rsidRPr="002342F2" w:rsidRDefault="002342F2">
            <w:pPr>
              <w:jc w:val="right"/>
              <w:rPr>
                <w:b/>
                <w:color w:val="000000"/>
              </w:rPr>
            </w:pPr>
            <w:r w:rsidRPr="005B6C3F">
              <w:rPr>
                <w:color w:val="000000"/>
                <w:sz w:val="22"/>
                <w:szCs w:val="22"/>
              </w:rPr>
              <w:t>1</w:t>
            </w:r>
          </w:p>
        </w:tc>
        <w:tc>
          <w:tcPr>
            <w:tcW w:w="444" w:type="pct"/>
            <w:noWrap/>
            <w:vAlign w:val="center"/>
          </w:tcPr>
          <w:p w14:paraId="48E62914" w14:textId="77777777" w:rsidR="002342F2" w:rsidRPr="002342F2" w:rsidRDefault="002342F2">
            <w:pPr>
              <w:jc w:val="right"/>
              <w:rPr>
                <w:b/>
                <w:color w:val="000000"/>
              </w:rPr>
            </w:pPr>
          </w:p>
        </w:tc>
        <w:tc>
          <w:tcPr>
            <w:tcW w:w="444" w:type="pct"/>
            <w:noWrap/>
            <w:vAlign w:val="center"/>
          </w:tcPr>
          <w:p w14:paraId="40C2B3D7" w14:textId="77777777" w:rsidR="002342F2" w:rsidRPr="002342F2" w:rsidRDefault="002342F2" w:rsidP="005B6C3F">
            <w:pPr>
              <w:jc w:val="right"/>
            </w:pPr>
          </w:p>
        </w:tc>
        <w:tc>
          <w:tcPr>
            <w:tcW w:w="444" w:type="pct"/>
            <w:noWrap/>
            <w:vAlign w:val="center"/>
          </w:tcPr>
          <w:p w14:paraId="087A1534" w14:textId="77777777" w:rsidR="002342F2" w:rsidRPr="002342F2" w:rsidRDefault="002342F2" w:rsidP="005B6C3F">
            <w:pPr>
              <w:jc w:val="right"/>
            </w:pPr>
          </w:p>
        </w:tc>
      </w:tr>
      <w:tr w:rsidR="002342F2" w:rsidRPr="00BC4A11" w14:paraId="2B7E8AA0" w14:textId="77777777" w:rsidTr="005B6C3F">
        <w:trPr>
          <w:trHeight w:val="290"/>
        </w:trPr>
        <w:tc>
          <w:tcPr>
            <w:tcW w:w="168" w:type="pct"/>
          </w:tcPr>
          <w:p w14:paraId="6EEA1E59" w14:textId="77777777" w:rsidR="002342F2" w:rsidRPr="00BC4A11" w:rsidRDefault="002342F2" w:rsidP="002342F2">
            <w:pPr>
              <w:rPr>
                <w:color w:val="000000"/>
              </w:rPr>
            </w:pPr>
            <w:r>
              <w:rPr>
                <w:color w:val="000000"/>
              </w:rPr>
              <w:t>6</w:t>
            </w:r>
          </w:p>
        </w:tc>
        <w:tc>
          <w:tcPr>
            <w:tcW w:w="1277" w:type="pct"/>
            <w:noWrap/>
            <w:hideMark/>
          </w:tcPr>
          <w:p w14:paraId="269B1E31" w14:textId="77777777" w:rsidR="002342F2" w:rsidRPr="00BC4A11" w:rsidRDefault="002342F2" w:rsidP="002342F2">
            <w:pPr>
              <w:rPr>
                <w:color w:val="000000"/>
              </w:rPr>
            </w:pPr>
            <w:r>
              <w:rPr>
                <w:color w:val="000000"/>
              </w:rPr>
              <w:t>50%+ drop (DI)</w:t>
            </w:r>
          </w:p>
        </w:tc>
        <w:tc>
          <w:tcPr>
            <w:tcW w:w="444" w:type="pct"/>
            <w:noWrap/>
            <w:vAlign w:val="center"/>
          </w:tcPr>
          <w:p w14:paraId="27E1F9F8" w14:textId="2B8DEC7D" w:rsidR="002342F2" w:rsidRPr="002342F2" w:rsidRDefault="002342F2">
            <w:pPr>
              <w:jc w:val="right"/>
              <w:rPr>
                <w:color w:val="000000"/>
              </w:rPr>
            </w:pPr>
            <w:r w:rsidRPr="005B6C3F">
              <w:rPr>
                <w:color w:val="000000"/>
                <w:sz w:val="22"/>
                <w:szCs w:val="22"/>
              </w:rPr>
              <w:t>0.75</w:t>
            </w:r>
          </w:p>
        </w:tc>
        <w:tc>
          <w:tcPr>
            <w:tcW w:w="444" w:type="pct"/>
            <w:noWrap/>
            <w:vAlign w:val="center"/>
          </w:tcPr>
          <w:p w14:paraId="233F7377" w14:textId="7EB63C44" w:rsidR="002342F2" w:rsidRPr="002342F2" w:rsidRDefault="002342F2">
            <w:pPr>
              <w:jc w:val="right"/>
              <w:rPr>
                <w:color w:val="000000"/>
              </w:rPr>
            </w:pPr>
            <w:r w:rsidRPr="005B6C3F">
              <w:rPr>
                <w:color w:val="000000"/>
                <w:sz w:val="22"/>
                <w:szCs w:val="22"/>
              </w:rPr>
              <w:t>0.81</w:t>
            </w:r>
          </w:p>
        </w:tc>
        <w:tc>
          <w:tcPr>
            <w:tcW w:w="444" w:type="pct"/>
            <w:noWrap/>
            <w:vAlign w:val="center"/>
          </w:tcPr>
          <w:p w14:paraId="543D63F0" w14:textId="3032FA22" w:rsidR="002342F2" w:rsidRPr="002342F2" w:rsidRDefault="002342F2">
            <w:pPr>
              <w:jc w:val="right"/>
              <w:rPr>
                <w:color w:val="000000"/>
              </w:rPr>
            </w:pPr>
            <w:r w:rsidRPr="005B6C3F">
              <w:rPr>
                <w:color w:val="000000"/>
                <w:sz w:val="22"/>
                <w:szCs w:val="22"/>
              </w:rPr>
              <w:t>0.81</w:t>
            </w:r>
          </w:p>
        </w:tc>
        <w:tc>
          <w:tcPr>
            <w:tcW w:w="444" w:type="pct"/>
            <w:noWrap/>
            <w:vAlign w:val="center"/>
          </w:tcPr>
          <w:p w14:paraId="522FC182" w14:textId="2EB2C6E4" w:rsidR="002342F2" w:rsidRPr="002342F2" w:rsidRDefault="002342F2">
            <w:pPr>
              <w:jc w:val="right"/>
              <w:rPr>
                <w:b/>
                <w:color w:val="000000"/>
              </w:rPr>
            </w:pPr>
            <w:r w:rsidRPr="005B6C3F">
              <w:rPr>
                <w:color w:val="000000"/>
                <w:sz w:val="22"/>
                <w:szCs w:val="22"/>
              </w:rPr>
              <w:t>0.85</w:t>
            </w:r>
          </w:p>
        </w:tc>
        <w:tc>
          <w:tcPr>
            <w:tcW w:w="444" w:type="pct"/>
            <w:noWrap/>
            <w:vAlign w:val="center"/>
          </w:tcPr>
          <w:p w14:paraId="0D1F7178" w14:textId="1B84D8D2" w:rsidR="002342F2" w:rsidRPr="002342F2" w:rsidRDefault="002342F2">
            <w:pPr>
              <w:jc w:val="right"/>
              <w:rPr>
                <w:b/>
                <w:color w:val="000000"/>
              </w:rPr>
            </w:pPr>
            <w:r w:rsidRPr="005B6C3F">
              <w:rPr>
                <w:color w:val="000000"/>
                <w:sz w:val="22"/>
                <w:szCs w:val="22"/>
              </w:rPr>
              <w:t>0.96</w:t>
            </w:r>
          </w:p>
        </w:tc>
        <w:tc>
          <w:tcPr>
            <w:tcW w:w="444" w:type="pct"/>
            <w:noWrap/>
            <w:vAlign w:val="center"/>
          </w:tcPr>
          <w:p w14:paraId="0A50C8E3" w14:textId="527EA869" w:rsidR="002342F2" w:rsidRPr="002342F2" w:rsidRDefault="002342F2">
            <w:pPr>
              <w:jc w:val="right"/>
              <w:rPr>
                <w:b/>
                <w:color w:val="000000"/>
              </w:rPr>
            </w:pPr>
            <w:r w:rsidRPr="005B6C3F">
              <w:rPr>
                <w:color w:val="000000"/>
                <w:sz w:val="22"/>
                <w:szCs w:val="22"/>
              </w:rPr>
              <w:t>1</w:t>
            </w:r>
          </w:p>
        </w:tc>
        <w:tc>
          <w:tcPr>
            <w:tcW w:w="444" w:type="pct"/>
            <w:noWrap/>
            <w:vAlign w:val="center"/>
          </w:tcPr>
          <w:p w14:paraId="58375A18" w14:textId="77777777" w:rsidR="002342F2" w:rsidRPr="002342F2" w:rsidRDefault="002342F2">
            <w:pPr>
              <w:jc w:val="right"/>
              <w:rPr>
                <w:color w:val="000000"/>
              </w:rPr>
            </w:pPr>
          </w:p>
        </w:tc>
        <w:tc>
          <w:tcPr>
            <w:tcW w:w="444" w:type="pct"/>
            <w:noWrap/>
            <w:vAlign w:val="center"/>
          </w:tcPr>
          <w:p w14:paraId="5E883C4F" w14:textId="77777777" w:rsidR="002342F2" w:rsidRPr="002342F2" w:rsidRDefault="002342F2" w:rsidP="005B6C3F">
            <w:pPr>
              <w:jc w:val="right"/>
            </w:pPr>
          </w:p>
        </w:tc>
      </w:tr>
      <w:tr w:rsidR="002342F2" w:rsidRPr="00BC4A11" w14:paraId="792992D4" w14:textId="77777777" w:rsidTr="005B6C3F">
        <w:trPr>
          <w:trHeight w:val="290"/>
        </w:trPr>
        <w:tc>
          <w:tcPr>
            <w:tcW w:w="168" w:type="pct"/>
          </w:tcPr>
          <w:p w14:paraId="3098F37E" w14:textId="77777777" w:rsidR="002342F2" w:rsidRPr="00BC4A11" w:rsidRDefault="002342F2" w:rsidP="002342F2">
            <w:pPr>
              <w:rPr>
                <w:color w:val="000000"/>
              </w:rPr>
            </w:pPr>
            <w:r>
              <w:rPr>
                <w:color w:val="000000"/>
              </w:rPr>
              <w:t>7</w:t>
            </w:r>
          </w:p>
        </w:tc>
        <w:tc>
          <w:tcPr>
            <w:tcW w:w="1277" w:type="pct"/>
            <w:noWrap/>
            <w:hideMark/>
          </w:tcPr>
          <w:p w14:paraId="76C1FAAB" w14:textId="77777777" w:rsidR="002342F2" w:rsidRPr="00BC4A11" w:rsidRDefault="002342F2" w:rsidP="002342F2">
            <w:pPr>
              <w:rPr>
                <w:color w:val="000000"/>
              </w:rPr>
            </w:pPr>
            <w:r>
              <w:rPr>
                <w:color w:val="000000"/>
              </w:rPr>
              <w:t>Risk reduction (10%)</w:t>
            </w:r>
          </w:p>
        </w:tc>
        <w:tc>
          <w:tcPr>
            <w:tcW w:w="444" w:type="pct"/>
            <w:noWrap/>
            <w:vAlign w:val="center"/>
          </w:tcPr>
          <w:p w14:paraId="0ABA606B" w14:textId="600F9FDB" w:rsidR="002342F2" w:rsidRPr="002342F2" w:rsidRDefault="002342F2">
            <w:pPr>
              <w:jc w:val="right"/>
              <w:rPr>
                <w:color w:val="000000"/>
              </w:rPr>
            </w:pPr>
            <w:r w:rsidRPr="005B6C3F">
              <w:rPr>
                <w:color w:val="000000"/>
                <w:sz w:val="22"/>
                <w:szCs w:val="22"/>
              </w:rPr>
              <w:t>0.40</w:t>
            </w:r>
          </w:p>
        </w:tc>
        <w:tc>
          <w:tcPr>
            <w:tcW w:w="444" w:type="pct"/>
            <w:noWrap/>
            <w:vAlign w:val="center"/>
          </w:tcPr>
          <w:p w14:paraId="2B11AABC" w14:textId="52747AFC" w:rsidR="002342F2" w:rsidRPr="002342F2" w:rsidRDefault="002342F2">
            <w:pPr>
              <w:jc w:val="right"/>
              <w:rPr>
                <w:color w:val="000000"/>
              </w:rPr>
            </w:pPr>
            <w:r w:rsidRPr="005B6C3F">
              <w:rPr>
                <w:color w:val="000000"/>
                <w:sz w:val="22"/>
                <w:szCs w:val="22"/>
              </w:rPr>
              <w:t>0.39</w:t>
            </w:r>
          </w:p>
        </w:tc>
        <w:tc>
          <w:tcPr>
            <w:tcW w:w="444" w:type="pct"/>
            <w:noWrap/>
            <w:vAlign w:val="center"/>
          </w:tcPr>
          <w:p w14:paraId="5FCFBB2C" w14:textId="599EFB00" w:rsidR="002342F2" w:rsidRPr="002342F2" w:rsidRDefault="002342F2">
            <w:pPr>
              <w:jc w:val="right"/>
              <w:rPr>
                <w:color w:val="000000"/>
              </w:rPr>
            </w:pPr>
            <w:r w:rsidRPr="005B6C3F">
              <w:rPr>
                <w:color w:val="000000"/>
                <w:sz w:val="22"/>
                <w:szCs w:val="22"/>
              </w:rPr>
              <w:t>0.39</w:t>
            </w:r>
          </w:p>
        </w:tc>
        <w:tc>
          <w:tcPr>
            <w:tcW w:w="444" w:type="pct"/>
            <w:noWrap/>
            <w:vAlign w:val="center"/>
          </w:tcPr>
          <w:p w14:paraId="3F4C6EC3" w14:textId="43100697" w:rsidR="002342F2" w:rsidRPr="002342F2" w:rsidRDefault="002342F2">
            <w:pPr>
              <w:jc w:val="right"/>
              <w:rPr>
                <w:color w:val="000000"/>
              </w:rPr>
            </w:pPr>
            <w:r w:rsidRPr="005B6C3F">
              <w:rPr>
                <w:color w:val="000000"/>
                <w:sz w:val="22"/>
                <w:szCs w:val="22"/>
              </w:rPr>
              <w:t>0.62</w:t>
            </w:r>
          </w:p>
        </w:tc>
        <w:tc>
          <w:tcPr>
            <w:tcW w:w="444" w:type="pct"/>
            <w:noWrap/>
            <w:vAlign w:val="center"/>
          </w:tcPr>
          <w:p w14:paraId="7241F844" w14:textId="58D9B5A8" w:rsidR="002342F2" w:rsidRPr="002342F2" w:rsidRDefault="002342F2">
            <w:pPr>
              <w:jc w:val="right"/>
              <w:rPr>
                <w:color w:val="000000"/>
              </w:rPr>
            </w:pPr>
            <w:r w:rsidRPr="005B6C3F">
              <w:rPr>
                <w:color w:val="000000"/>
                <w:sz w:val="22"/>
                <w:szCs w:val="22"/>
              </w:rPr>
              <w:t>0.54</w:t>
            </w:r>
          </w:p>
        </w:tc>
        <w:tc>
          <w:tcPr>
            <w:tcW w:w="444" w:type="pct"/>
            <w:noWrap/>
            <w:vAlign w:val="center"/>
          </w:tcPr>
          <w:p w14:paraId="67DE4934" w14:textId="331ACFF7" w:rsidR="002342F2" w:rsidRPr="002342F2" w:rsidRDefault="002342F2">
            <w:pPr>
              <w:jc w:val="right"/>
              <w:rPr>
                <w:color w:val="000000"/>
              </w:rPr>
            </w:pPr>
            <w:r w:rsidRPr="005B6C3F">
              <w:rPr>
                <w:color w:val="000000"/>
                <w:sz w:val="22"/>
                <w:szCs w:val="22"/>
              </w:rPr>
              <w:t>0.47</w:t>
            </w:r>
          </w:p>
        </w:tc>
        <w:tc>
          <w:tcPr>
            <w:tcW w:w="444" w:type="pct"/>
            <w:noWrap/>
            <w:vAlign w:val="center"/>
          </w:tcPr>
          <w:p w14:paraId="55AB3D82" w14:textId="26A8F9B8" w:rsidR="002342F2" w:rsidRPr="002342F2" w:rsidRDefault="002342F2">
            <w:pPr>
              <w:jc w:val="right"/>
              <w:rPr>
                <w:b/>
                <w:color w:val="000000"/>
              </w:rPr>
            </w:pPr>
            <w:r w:rsidRPr="005B6C3F">
              <w:rPr>
                <w:color w:val="000000"/>
                <w:sz w:val="22"/>
                <w:szCs w:val="22"/>
              </w:rPr>
              <w:t>1</w:t>
            </w:r>
          </w:p>
        </w:tc>
        <w:tc>
          <w:tcPr>
            <w:tcW w:w="444" w:type="pct"/>
            <w:noWrap/>
            <w:vAlign w:val="center"/>
          </w:tcPr>
          <w:p w14:paraId="25639A77" w14:textId="77777777" w:rsidR="002342F2" w:rsidRPr="002342F2" w:rsidRDefault="002342F2">
            <w:pPr>
              <w:jc w:val="right"/>
              <w:rPr>
                <w:b/>
                <w:color w:val="000000"/>
              </w:rPr>
            </w:pPr>
          </w:p>
        </w:tc>
      </w:tr>
      <w:tr w:rsidR="002342F2" w:rsidRPr="00BC4A11" w14:paraId="2C2A9750" w14:textId="77777777" w:rsidTr="005B6C3F">
        <w:trPr>
          <w:trHeight w:val="290"/>
        </w:trPr>
        <w:tc>
          <w:tcPr>
            <w:tcW w:w="168" w:type="pct"/>
          </w:tcPr>
          <w:p w14:paraId="4AF2D9C8" w14:textId="77777777" w:rsidR="002342F2" w:rsidRPr="00BC4A11" w:rsidRDefault="002342F2" w:rsidP="002342F2">
            <w:pPr>
              <w:rPr>
                <w:color w:val="000000"/>
              </w:rPr>
            </w:pPr>
            <w:r>
              <w:rPr>
                <w:color w:val="000000"/>
              </w:rPr>
              <w:t>8</w:t>
            </w:r>
          </w:p>
        </w:tc>
        <w:tc>
          <w:tcPr>
            <w:tcW w:w="1277" w:type="pct"/>
            <w:noWrap/>
            <w:hideMark/>
          </w:tcPr>
          <w:p w14:paraId="6199B6C7" w14:textId="77777777" w:rsidR="002342F2" w:rsidRPr="00BC4A11" w:rsidRDefault="002342F2" w:rsidP="002342F2">
            <w:pPr>
              <w:rPr>
                <w:color w:val="000000"/>
              </w:rPr>
            </w:pPr>
            <w:r>
              <w:rPr>
                <w:color w:val="000000"/>
              </w:rPr>
              <w:t>Risk reduction (25%)</w:t>
            </w:r>
          </w:p>
        </w:tc>
        <w:tc>
          <w:tcPr>
            <w:tcW w:w="444" w:type="pct"/>
            <w:noWrap/>
            <w:vAlign w:val="center"/>
          </w:tcPr>
          <w:p w14:paraId="6105EA6D" w14:textId="3B80CA28" w:rsidR="002342F2" w:rsidRPr="002342F2" w:rsidRDefault="002342F2">
            <w:pPr>
              <w:jc w:val="right"/>
              <w:rPr>
                <w:color w:val="000000"/>
              </w:rPr>
            </w:pPr>
            <w:r w:rsidRPr="005B6C3F">
              <w:rPr>
                <w:color w:val="000000"/>
                <w:sz w:val="22"/>
                <w:szCs w:val="22"/>
              </w:rPr>
              <w:t>0.51</w:t>
            </w:r>
          </w:p>
        </w:tc>
        <w:tc>
          <w:tcPr>
            <w:tcW w:w="444" w:type="pct"/>
            <w:noWrap/>
            <w:vAlign w:val="center"/>
          </w:tcPr>
          <w:p w14:paraId="3AFF3449" w14:textId="56D830DA" w:rsidR="002342F2" w:rsidRPr="002342F2" w:rsidRDefault="002342F2">
            <w:pPr>
              <w:jc w:val="right"/>
              <w:rPr>
                <w:color w:val="000000"/>
              </w:rPr>
            </w:pPr>
            <w:r w:rsidRPr="005B6C3F">
              <w:rPr>
                <w:color w:val="000000"/>
                <w:sz w:val="22"/>
                <w:szCs w:val="22"/>
              </w:rPr>
              <w:t>0.50</w:t>
            </w:r>
          </w:p>
        </w:tc>
        <w:tc>
          <w:tcPr>
            <w:tcW w:w="444" w:type="pct"/>
            <w:noWrap/>
            <w:vAlign w:val="center"/>
          </w:tcPr>
          <w:p w14:paraId="6B85A271" w14:textId="3ED7109C" w:rsidR="002342F2" w:rsidRPr="002342F2" w:rsidRDefault="002342F2">
            <w:pPr>
              <w:jc w:val="right"/>
              <w:rPr>
                <w:color w:val="000000"/>
              </w:rPr>
            </w:pPr>
            <w:r w:rsidRPr="005B6C3F">
              <w:rPr>
                <w:color w:val="000000"/>
                <w:sz w:val="22"/>
                <w:szCs w:val="22"/>
              </w:rPr>
              <w:t>0.50</w:t>
            </w:r>
          </w:p>
        </w:tc>
        <w:tc>
          <w:tcPr>
            <w:tcW w:w="444" w:type="pct"/>
            <w:noWrap/>
            <w:vAlign w:val="center"/>
          </w:tcPr>
          <w:p w14:paraId="00B5C5A9" w14:textId="5BA4FC59" w:rsidR="002342F2" w:rsidRPr="002342F2" w:rsidRDefault="002342F2">
            <w:pPr>
              <w:jc w:val="right"/>
              <w:rPr>
                <w:color w:val="000000"/>
              </w:rPr>
            </w:pPr>
            <w:r w:rsidRPr="005B6C3F">
              <w:rPr>
                <w:color w:val="000000"/>
                <w:sz w:val="22"/>
                <w:szCs w:val="22"/>
              </w:rPr>
              <w:t>0.69</w:t>
            </w:r>
          </w:p>
        </w:tc>
        <w:tc>
          <w:tcPr>
            <w:tcW w:w="444" w:type="pct"/>
            <w:noWrap/>
            <w:vAlign w:val="center"/>
          </w:tcPr>
          <w:p w14:paraId="586C9A91" w14:textId="6371CDB4" w:rsidR="002342F2" w:rsidRPr="002342F2" w:rsidRDefault="002342F2">
            <w:pPr>
              <w:jc w:val="right"/>
              <w:rPr>
                <w:color w:val="000000"/>
              </w:rPr>
            </w:pPr>
            <w:r w:rsidRPr="005B6C3F">
              <w:rPr>
                <w:color w:val="000000"/>
                <w:sz w:val="22"/>
                <w:szCs w:val="22"/>
              </w:rPr>
              <w:t>0.70</w:t>
            </w:r>
          </w:p>
        </w:tc>
        <w:tc>
          <w:tcPr>
            <w:tcW w:w="444" w:type="pct"/>
            <w:noWrap/>
            <w:vAlign w:val="center"/>
          </w:tcPr>
          <w:p w14:paraId="59729307" w14:textId="1FED5765" w:rsidR="002342F2" w:rsidRPr="002342F2" w:rsidRDefault="002342F2">
            <w:pPr>
              <w:jc w:val="right"/>
              <w:rPr>
                <w:color w:val="000000"/>
              </w:rPr>
            </w:pPr>
            <w:r w:rsidRPr="005B6C3F">
              <w:rPr>
                <w:color w:val="000000"/>
                <w:sz w:val="22"/>
                <w:szCs w:val="22"/>
              </w:rPr>
              <w:t>0.65</w:t>
            </w:r>
          </w:p>
        </w:tc>
        <w:tc>
          <w:tcPr>
            <w:tcW w:w="444" w:type="pct"/>
            <w:noWrap/>
            <w:vAlign w:val="center"/>
          </w:tcPr>
          <w:p w14:paraId="1B7F5D7E" w14:textId="6F3E91D5" w:rsidR="002342F2" w:rsidRPr="002342F2" w:rsidRDefault="002342F2">
            <w:pPr>
              <w:jc w:val="right"/>
              <w:rPr>
                <w:b/>
                <w:color w:val="000000"/>
              </w:rPr>
            </w:pPr>
            <w:r w:rsidRPr="005B6C3F">
              <w:rPr>
                <w:color w:val="000000"/>
                <w:sz w:val="22"/>
                <w:szCs w:val="22"/>
              </w:rPr>
              <w:t>0.89</w:t>
            </w:r>
          </w:p>
        </w:tc>
        <w:tc>
          <w:tcPr>
            <w:tcW w:w="444" w:type="pct"/>
            <w:noWrap/>
            <w:vAlign w:val="center"/>
          </w:tcPr>
          <w:p w14:paraId="00327E79" w14:textId="4E6D97E8" w:rsidR="002342F2" w:rsidRPr="002342F2" w:rsidRDefault="002342F2">
            <w:pPr>
              <w:jc w:val="right"/>
              <w:rPr>
                <w:b/>
                <w:color w:val="000000"/>
              </w:rPr>
            </w:pPr>
            <w:r w:rsidRPr="005B6C3F">
              <w:rPr>
                <w:color w:val="000000"/>
                <w:sz w:val="22"/>
                <w:szCs w:val="22"/>
              </w:rPr>
              <w:t>1</w:t>
            </w:r>
          </w:p>
        </w:tc>
      </w:tr>
      <w:tr w:rsidR="002342F2" w:rsidRPr="00BC4A11" w14:paraId="509C85D1" w14:textId="77777777" w:rsidTr="005B6C3F">
        <w:trPr>
          <w:trHeight w:val="290"/>
        </w:trPr>
        <w:tc>
          <w:tcPr>
            <w:tcW w:w="168" w:type="pct"/>
          </w:tcPr>
          <w:p w14:paraId="78FBAA1B" w14:textId="77777777" w:rsidR="002342F2" w:rsidRPr="00BC4A11" w:rsidRDefault="002342F2" w:rsidP="002342F2">
            <w:pPr>
              <w:rPr>
                <w:color w:val="000000"/>
              </w:rPr>
            </w:pPr>
            <w:r>
              <w:rPr>
                <w:color w:val="000000"/>
              </w:rPr>
              <w:t>9</w:t>
            </w:r>
          </w:p>
        </w:tc>
        <w:tc>
          <w:tcPr>
            <w:tcW w:w="1277" w:type="pct"/>
            <w:noWrap/>
            <w:hideMark/>
          </w:tcPr>
          <w:p w14:paraId="69B9D86C" w14:textId="77777777" w:rsidR="002342F2" w:rsidRPr="00BC4A11" w:rsidRDefault="002342F2" w:rsidP="002342F2">
            <w:pPr>
              <w:rPr>
                <w:color w:val="000000"/>
              </w:rPr>
            </w:pPr>
            <w:r>
              <w:rPr>
                <w:color w:val="000000"/>
              </w:rPr>
              <w:t>Risk reduction (50%)</w:t>
            </w:r>
          </w:p>
        </w:tc>
        <w:tc>
          <w:tcPr>
            <w:tcW w:w="444" w:type="pct"/>
            <w:noWrap/>
            <w:vAlign w:val="center"/>
          </w:tcPr>
          <w:p w14:paraId="19B0A8F0" w14:textId="5D697F1D" w:rsidR="002342F2" w:rsidRPr="002342F2" w:rsidRDefault="002342F2">
            <w:pPr>
              <w:jc w:val="right"/>
              <w:rPr>
                <w:color w:val="000000"/>
              </w:rPr>
            </w:pPr>
            <w:r w:rsidRPr="005B6C3F">
              <w:rPr>
                <w:color w:val="000000"/>
                <w:sz w:val="22"/>
                <w:szCs w:val="22"/>
              </w:rPr>
              <w:t>0.51</w:t>
            </w:r>
          </w:p>
        </w:tc>
        <w:tc>
          <w:tcPr>
            <w:tcW w:w="444" w:type="pct"/>
            <w:noWrap/>
            <w:vAlign w:val="center"/>
          </w:tcPr>
          <w:p w14:paraId="294DC2C6" w14:textId="333E6197" w:rsidR="002342F2" w:rsidRPr="002342F2" w:rsidRDefault="002342F2">
            <w:pPr>
              <w:jc w:val="right"/>
              <w:rPr>
                <w:color w:val="000000"/>
              </w:rPr>
            </w:pPr>
            <w:r w:rsidRPr="005B6C3F">
              <w:rPr>
                <w:color w:val="000000"/>
                <w:sz w:val="22"/>
                <w:szCs w:val="22"/>
              </w:rPr>
              <w:t>0.53</w:t>
            </w:r>
          </w:p>
        </w:tc>
        <w:tc>
          <w:tcPr>
            <w:tcW w:w="444" w:type="pct"/>
            <w:noWrap/>
            <w:vAlign w:val="center"/>
          </w:tcPr>
          <w:p w14:paraId="2735F9A0" w14:textId="7B32A077" w:rsidR="002342F2" w:rsidRPr="002342F2" w:rsidRDefault="002342F2">
            <w:pPr>
              <w:jc w:val="right"/>
              <w:rPr>
                <w:color w:val="000000"/>
              </w:rPr>
            </w:pPr>
            <w:r w:rsidRPr="005B6C3F">
              <w:rPr>
                <w:color w:val="000000"/>
                <w:sz w:val="22"/>
                <w:szCs w:val="22"/>
              </w:rPr>
              <w:t>0.51</w:t>
            </w:r>
          </w:p>
        </w:tc>
        <w:tc>
          <w:tcPr>
            <w:tcW w:w="444" w:type="pct"/>
            <w:noWrap/>
            <w:vAlign w:val="center"/>
          </w:tcPr>
          <w:p w14:paraId="5CB644D7" w14:textId="6042E16D" w:rsidR="002342F2" w:rsidRPr="002342F2" w:rsidRDefault="002342F2">
            <w:pPr>
              <w:jc w:val="right"/>
              <w:rPr>
                <w:color w:val="000000"/>
              </w:rPr>
            </w:pPr>
            <w:r w:rsidRPr="005B6C3F">
              <w:rPr>
                <w:color w:val="000000"/>
                <w:sz w:val="22"/>
                <w:szCs w:val="22"/>
              </w:rPr>
              <w:t>0.66</w:t>
            </w:r>
          </w:p>
        </w:tc>
        <w:tc>
          <w:tcPr>
            <w:tcW w:w="444" w:type="pct"/>
            <w:noWrap/>
            <w:vAlign w:val="center"/>
          </w:tcPr>
          <w:p w14:paraId="577BE484" w14:textId="00CEF788" w:rsidR="002342F2" w:rsidRPr="002342F2" w:rsidRDefault="002342F2">
            <w:pPr>
              <w:jc w:val="right"/>
              <w:rPr>
                <w:color w:val="000000"/>
              </w:rPr>
            </w:pPr>
            <w:r w:rsidRPr="005B6C3F">
              <w:rPr>
                <w:color w:val="000000"/>
                <w:sz w:val="22"/>
                <w:szCs w:val="22"/>
              </w:rPr>
              <w:t>0.71</w:t>
            </w:r>
          </w:p>
        </w:tc>
        <w:tc>
          <w:tcPr>
            <w:tcW w:w="444" w:type="pct"/>
            <w:noWrap/>
            <w:vAlign w:val="center"/>
          </w:tcPr>
          <w:p w14:paraId="46FA71D2" w14:textId="1EFAC339" w:rsidR="002342F2" w:rsidRPr="002342F2" w:rsidRDefault="002342F2">
            <w:pPr>
              <w:jc w:val="right"/>
              <w:rPr>
                <w:color w:val="000000"/>
              </w:rPr>
            </w:pPr>
            <w:r w:rsidRPr="005B6C3F">
              <w:rPr>
                <w:color w:val="000000"/>
                <w:sz w:val="22"/>
                <w:szCs w:val="22"/>
              </w:rPr>
              <w:t>0.74</w:t>
            </w:r>
          </w:p>
        </w:tc>
        <w:tc>
          <w:tcPr>
            <w:tcW w:w="444" w:type="pct"/>
            <w:noWrap/>
            <w:vAlign w:val="center"/>
          </w:tcPr>
          <w:p w14:paraId="10ED6547" w14:textId="152018A2" w:rsidR="002342F2" w:rsidRPr="002342F2" w:rsidRDefault="002342F2">
            <w:pPr>
              <w:jc w:val="right"/>
              <w:rPr>
                <w:b/>
                <w:color w:val="000000"/>
              </w:rPr>
            </w:pPr>
            <w:r w:rsidRPr="005B6C3F">
              <w:rPr>
                <w:color w:val="000000"/>
                <w:sz w:val="22"/>
                <w:szCs w:val="22"/>
              </w:rPr>
              <w:t>0.74</w:t>
            </w:r>
          </w:p>
        </w:tc>
        <w:tc>
          <w:tcPr>
            <w:tcW w:w="444" w:type="pct"/>
            <w:noWrap/>
            <w:vAlign w:val="center"/>
          </w:tcPr>
          <w:p w14:paraId="7E52FC0D" w14:textId="0B5DC34D" w:rsidR="002342F2" w:rsidRPr="002342F2" w:rsidRDefault="002342F2">
            <w:pPr>
              <w:jc w:val="right"/>
              <w:rPr>
                <w:b/>
                <w:color w:val="000000"/>
              </w:rPr>
            </w:pPr>
            <w:r w:rsidRPr="005B6C3F">
              <w:rPr>
                <w:color w:val="000000"/>
                <w:sz w:val="22"/>
                <w:szCs w:val="22"/>
              </w:rPr>
              <w:t>0.88</w:t>
            </w:r>
          </w:p>
        </w:tc>
      </w:tr>
    </w:tbl>
    <w:p w14:paraId="1FC68FF3" w14:textId="271A24E6" w:rsidR="00697AE0" w:rsidRDefault="00697AE0" w:rsidP="00697AE0">
      <w:pPr>
        <w:pStyle w:val="BodyText"/>
        <w:spacing w:after="0" w:line="360" w:lineRule="auto"/>
        <w:ind w:firstLine="0"/>
        <w:rPr>
          <w:lang w:val="en-US"/>
        </w:rPr>
      </w:pPr>
      <w:r>
        <w:rPr>
          <w:lang w:val="en-US"/>
        </w:rPr>
        <w:t>Note: All correlations are significant at p&lt;=0.0</w:t>
      </w:r>
      <w:r w:rsidR="002342F2">
        <w:rPr>
          <w:lang w:val="en-US"/>
        </w:rPr>
        <w:t>1</w:t>
      </w:r>
    </w:p>
    <w:p w14:paraId="1F8D1BC5" w14:textId="77777777" w:rsidR="00697AE0" w:rsidRDefault="00697AE0" w:rsidP="00697AE0">
      <w:pPr>
        <w:pStyle w:val="BodyText"/>
        <w:spacing w:after="0" w:line="360" w:lineRule="auto"/>
        <w:ind w:firstLine="0"/>
        <w:rPr>
          <w:lang w:val="en-US"/>
        </w:rPr>
      </w:pPr>
    </w:p>
    <w:p w14:paraId="5BB9C9B3" w14:textId="4C613E5A" w:rsidR="000D1367" w:rsidRPr="00697AE0" w:rsidRDefault="00C52D7F" w:rsidP="00697AE0">
      <w:pPr>
        <w:pStyle w:val="BodyText"/>
        <w:spacing w:after="0" w:line="360" w:lineRule="auto"/>
        <w:ind w:firstLine="0"/>
        <w:rPr>
          <w:lang w:val="en-US"/>
        </w:rPr>
      </w:pPr>
      <w:r>
        <w:rPr>
          <w:lang w:val="en-US"/>
        </w:rPr>
        <w:t>Not surprisingly, then,</w:t>
      </w:r>
      <w:r w:rsidR="00697AE0">
        <w:rPr>
          <w:lang w:val="en-US"/>
        </w:rPr>
        <w:t xml:space="preserve"> the figures we report in the paper (based on 25%+ income losses) generalize to different cut-off points</w:t>
      </w:r>
      <w:r w:rsidR="00866F6D">
        <w:rPr>
          <w:lang w:val="en-US"/>
        </w:rPr>
        <w:t xml:space="preserve">. </w:t>
      </w:r>
      <w:r w:rsidR="00B0121E">
        <w:rPr>
          <w:lang w:val="en-US"/>
        </w:rPr>
        <w:t>To illustrate</w:t>
      </w:r>
      <w:r w:rsidR="00866F6D">
        <w:rPr>
          <w:lang w:val="en-US"/>
        </w:rPr>
        <w:t>, we</w:t>
      </w:r>
      <w:r w:rsidR="00B0121E">
        <w:rPr>
          <w:lang w:val="en-US"/>
        </w:rPr>
        <w:t xml:space="preserve"> </w:t>
      </w:r>
      <w:r w:rsidR="00866F6D">
        <w:rPr>
          <w:lang w:val="en-US"/>
        </w:rPr>
        <w:t xml:space="preserve">reproduce </w:t>
      </w:r>
      <w:r w:rsidR="00EC0738">
        <w:rPr>
          <w:lang w:val="en-US"/>
        </w:rPr>
        <w:t xml:space="preserve">all </w:t>
      </w:r>
      <w:r w:rsidR="00866F6D">
        <w:rPr>
          <w:lang w:val="en-US"/>
        </w:rPr>
        <w:t>figures in the paper using a 50%+ cutoff</w:t>
      </w:r>
      <w:r w:rsidR="00697AE0">
        <w:rPr>
          <w:lang w:val="en-US"/>
        </w:rPr>
        <w:t>.</w:t>
      </w:r>
      <w:r w:rsidR="00B0121E">
        <w:rPr>
          <w:lang w:val="en-US"/>
        </w:rPr>
        <w:t xml:space="preserve"> Though the incidence of losses is obviously lower when a higher threshold </w:t>
      </w:r>
      <w:proofErr w:type="gramStart"/>
      <w:r w:rsidR="00B0121E">
        <w:rPr>
          <w:lang w:val="en-US"/>
        </w:rPr>
        <w:t>is chosen</w:t>
      </w:r>
      <w:proofErr w:type="gramEnd"/>
      <w:r w:rsidR="00B0121E">
        <w:rPr>
          <w:lang w:val="en-US"/>
        </w:rPr>
        <w:t xml:space="preserve">, the relative ranking of countries, over-time trends within nations, and direction and magnitude of the correlation between countries’ loss levels and their social policies are all </w:t>
      </w:r>
      <w:r w:rsidR="00EC0738">
        <w:rPr>
          <w:lang w:val="en-US"/>
        </w:rPr>
        <w:t>similar</w:t>
      </w:r>
      <w:r w:rsidR="00B0121E">
        <w:rPr>
          <w:lang w:val="en-US"/>
        </w:rPr>
        <w:t>.</w:t>
      </w:r>
    </w:p>
    <w:p w14:paraId="19A9B8F2" w14:textId="42158D13" w:rsidR="00866F6D" w:rsidRDefault="00866F6D">
      <w:r>
        <w:br w:type="page"/>
      </w:r>
    </w:p>
    <w:p w14:paraId="4FD1E85E" w14:textId="77777777" w:rsidR="00DB44FD" w:rsidRDefault="00DB44FD"/>
    <w:p w14:paraId="1F28CAD2" w14:textId="46537B13" w:rsidR="00DB44FD" w:rsidRDefault="00DB44FD" w:rsidP="00DB44FD">
      <w:pPr>
        <w:pStyle w:val="Heading1"/>
      </w:pPr>
      <w:r>
        <w:t>Figures</w:t>
      </w:r>
      <w:r w:rsidR="00BC4A11">
        <w:t xml:space="preserve"> (robustness)</w:t>
      </w:r>
    </w:p>
    <w:p w14:paraId="7AF9A8E3" w14:textId="77777777" w:rsidR="00DB44FD" w:rsidRDefault="00DB44FD" w:rsidP="00DB44FD">
      <w:pPr>
        <w:spacing w:line="480" w:lineRule="auto"/>
      </w:pPr>
    </w:p>
    <w:p w14:paraId="56D0FB0F" w14:textId="2C71D65D" w:rsidR="00DB44FD" w:rsidRPr="003B501B" w:rsidRDefault="00DB44FD" w:rsidP="00DB44FD">
      <w:pPr>
        <w:pStyle w:val="Caption"/>
        <w:spacing w:after="0" w:line="480" w:lineRule="auto"/>
        <w:rPr>
          <w:color w:val="auto"/>
          <w:sz w:val="24"/>
          <w:szCs w:val="24"/>
        </w:rPr>
      </w:pPr>
      <w:bookmarkStart w:id="1" w:name="_Ref477702209"/>
      <w:r w:rsidRPr="003B501B">
        <w:rPr>
          <w:color w:val="auto"/>
          <w:sz w:val="24"/>
          <w:szCs w:val="24"/>
        </w:rPr>
        <w:t xml:space="preserve">Figure </w:t>
      </w:r>
      <w:r w:rsidR="002342F2">
        <w:rPr>
          <w:noProof/>
          <w:color w:val="auto"/>
          <w:sz w:val="24"/>
          <w:szCs w:val="24"/>
        </w:rPr>
        <w:t>1</w:t>
      </w:r>
      <w:bookmarkEnd w:id="1"/>
      <w:r w:rsidRPr="003B501B">
        <w:rPr>
          <w:color w:val="auto"/>
          <w:sz w:val="24"/>
          <w:szCs w:val="24"/>
        </w:rPr>
        <w:t>: Prevalence of large income losses</w:t>
      </w:r>
      <w:r w:rsidR="004261E8">
        <w:rPr>
          <w:color w:val="auto"/>
          <w:sz w:val="24"/>
          <w:szCs w:val="24"/>
        </w:rPr>
        <w:t xml:space="preserve"> (50%)</w:t>
      </w:r>
    </w:p>
    <w:p w14:paraId="480B734A" w14:textId="49A1EF0B" w:rsidR="004261E8" w:rsidRDefault="00EC0738" w:rsidP="00866F6D">
      <w:pPr>
        <w:spacing w:line="480" w:lineRule="auto"/>
        <w:jc w:val="center"/>
      </w:pPr>
      <w:r>
        <w:rPr>
          <w:noProof/>
        </w:rPr>
        <w:drawing>
          <wp:inline distT="0" distB="0" distL="0" distR="0" wp14:anchorId="2EF9C8EB" wp14:editId="637CB148">
            <wp:extent cx="4705350" cy="7056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50.emf"/>
                    <pic:cNvPicPr/>
                  </pic:nvPicPr>
                  <pic:blipFill>
                    <a:blip r:embed="rId8">
                      <a:extLst>
                        <a:ext uri="{28A0092B-C50C-407E-A947-70E740481C1C}">
                          <a14:useLocalDpi xmlns:a14="http://schemas.microsoft.com/office/drawing/2010/main" val="0"/>
                        </a:ext>
                      </a:extLst>
                    </a:blip>
                    <a:stretch>
                      <a:fillRect/>
                    </a:stretch>
                  </pic:blipFill>
                  <pic:spPr>
                    <a:xfrm>
                      <a:off x="0" y="0"/>
                      <a:ext cx="4710058" cy="7063299"/>
                    </a:xfrm>
                    <a:prstGeom prst="rect">
                      <a:avLst/>
                    </a:prstGeom>
                  </pic:spPr>
                </pic:pic>
              </a:graphicData>
            </a:graphic>
          </wp:inline>
        </w:drawing>
      </w:r>
      <w:r w:rsidR="004261E8">
        <w:br w:type="page"/>
      </w:r>
    </w:p>
    <w:p w14:paraId="7A52BF96" w14:textId="77777777" w:rsidR="00DB44FD" w:rsidRDefault="00DB44FD" w:rsidP="004261E8">
      <w:pPr>
        <w:spacing w:line="480" w:lineRule="auto"/>
        <w:jc w:val="center"/>
      </w:pPr>
    </w:p>
    <w:p w14:paraId="538CD84C" w14:textId="7F73A74E" w:rsidR="00DB44FD" w:rsidRPr="003B501B" w:rsidRDefault="00DB44FD" w:rsidP="00DB44FD">
      <w:pPr>
        <w:pStyle w:val="Caption"/>
        <w:spacing w:after="0" w:line="480" w:lineRule="auto"/>
        <w:rPr>
          <w:color w:val="auto"/>
          <w:sz w:val="24"/>
          <w:szCs w:val="24"/>
        </w:rPr>
      </w:pPr>
      <w:bookmarkStart w:id="2" w:name="_Ref501351049"/>
      <w:r w:rsidRPr="003B501B">
        <w:rPr>
          <w:color w:val="auto"/>
          <w:sz w:val="24"/>
          <w:szCs w:val="24"/>
        </w:rPr>
        <w:t xml:space="preserve">Figure </w:t>
      </w:r>
      <w:r w:rsidR="002342F2">
        <w:rPr>
          <w:noProof/>
          <w:color w:val="auto"/>
          <w:sz w:val="24"/>
          <w:szCs w:val="24"/>
        </w:rPr>
        <w:t>2</w:t>
      </w:r>
      <w:bookmarkEnd w:id="2"/>
      <w:r w:rsidRPr="003B501B">
        <w:rPr>
          <w:color w:val="auto"/>
          <w:sz w:val="24"/>
          <w:szCs w:val="24"/>
        </w:rPr>
        <w:t xml:space="preserve">: Probability of experiencing at least on </w:t>
      </w:r>
      <w:r w:rsidR="00866F6D">
        <w:rPr>
          <w:color w:val="auto"/>
          <w:sz w:val="24"/>
          <w:szCs w:val="24"/>
        </w:rPr>
        <w:t>5</w:t>
      </w:r>
      <w:r w:rsidR="004261E8">
        <w:rPr>
          <w:color w:val="auto"/>
          <w:sz w:val="24"/>
          <w:szCs w:val="24"/>
        </w:rPr>
        <w:t>0</w:t>
      </w:r>
      <w:r w:rsidRPr="003B501B">
        <w:rPr>
          <w:color w:val="auto"/>
          <w:sz w:val="24"/>
          <w:szCs w:val="24"/>
        </w:rPr>
        <w:t>% arc income drop within time window</w:t>
      </w:r>
    </w:p>
    <w:p w14:paraId="78BF8669" w14:textId="716A52F0" w:rsidR="004261E8" w:rsidRDefault="00EC0738" w:rsidP="004261E8">
      <w:pPr>
        <w:jc w:val="center"/>
      </w:pPr>
      <w:r>
        <w:rPr>
          <w:noProof/>
        </w:rPr>
        <w:drawing>
          <wp:inline distT="0" distB="0" distL="0" distR="0" wp14:anchorId="2B33D86C" wp14:editId="7F028411">
            <wp:extent cx="5752465" cy="345265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_50.emf"/>
                    <pic:cNvPicPr/>
                  </pic:nvPicPr>
                  <pic:blipFill>
                    <a:blip r:embed="rId9">
                      <a:extLst>
                        <a:ext uri="{28A0092B-C50C-407E-A947-70E740481C1C}">
                          <a14:useLocalDpi xmlns:a14="http://schemas.microsoft.com/office/drawing/2010/main" val="0"/>
                        </a:ext>
                      </a:extLst>
                    </a:blip>
                    <a:stretch>
                      <a:fillRect/>
                    </a:stretch>
                  </pic:blipFill>
                  <pic:spPr>
                    <a:xfrm>
                      <a:off x="0" y="0"/>
                      <a:ext cx="5757002" cy="3455374"/>
                    </a:xfrm>
                    <a:prstGeom prst="rect">
                      <a:avLst/>
                    </a:prstGeom>
                  </pic:spPr>
                </pic:pic>
              </a:graphicData>
            </a:graphic>
          </wp:inline>
        </w:drawing>
      </w:r>
    </w:p>
    <w:p w14:paraId="038F5121" w14:textId="77777777" w:rsidR="00EC0738" w:rsidRDefault="00EC0738" w:rsidP="00866F6D">
      <w:pPr>
        <w:spacing w:line="480" w:lineRule="auto"/>
      </w:pPr>
    </w:p>
    <w:p w14:paraId="3B3AAB75" w14:textId="520777E4" w:rsidR="00866F6D" w:rsidRPr="003B501B" w:rsidRDefault="00866F6D" w:rsidP="00866F6D">
      <w:pPr>
        <w:spacing w:line="480" w:lineRule="auto"/>
      </w:pPr>
      <w:r w:rsidRPr="003B501B">
        <w:t>Note: Shown are average predicted logistic hazard rates.</w:t>
      </w:r>
    </w:p>
    <w:p w14:paraId="669468B2" w14:textId="3675BB77" w:rsidR="004261E8" w:rsidRDefault="004261E8" w:rsidP="004261E8">
      <w:pPr>
        <w:jc w:val="center"/>
      </w:pPr>
      <w:r>
        <w:br w:type="page"/>
      </w:r>
    </w:p>
    <w:p w14:paraId="6E959D91" w14:textId="169DE959" w:rsidR="00EC0738" w:rsidRPr="009526D6" w:rsidRDefault="00EC0738" w:rsidP="00EC0738">
      <w:r w:rsidRPr="009526D6">
        <w:rPr>
          <w:b/>
          <w:bCs/>
        </w:rPr>
        <w:lastRenderedPageBreak/>
        <w:t xml:space="preserve">Figure </w:t>
      </w:r>
      <w:r>
        <w:rPr>
          <w:b/>
          <w:bCs/>
          <w:noProof/>
        </w:rPr>
        <w:t>3</w:t>
      </w:r>
      <w:r w:rsidRPr="009526D6">
        <w:rPr>
          <w:b/>
          <w:bCs/>
        </w:rPr>
        <w:t>: Triggers</w:t>
      </w:r>
      <w:r>
        <w:rPr>
          <w:b/>
          <w:bCs/>
        </w:rPr>
        <w:t xml:space="preserve"> (50% losses)</w:t>
      </w:r>
    </w:p>
    <w:p w14:paraId="0E3C8808" w14:textId="0FEF9859" w:rsidR="00DB44FD" w:rsidRDefault="00DB44FD" w:rsidP="00DB44FD">
      <w:pPr>
        <w:spacing w:line="480" w:lineRule="auto"/>
        <w:rPr>
          <w:sz w:val="8"/>
          <w:szCs w:val="8"/>
        </w:rPr>
      </w:pPr>
    </w:p>
    <w:p w14:paraId="132F5A93" w14:textId="46FF1D7F" w:rsidR="00EC0738" w:rsidRDefault="00EC0738" w:rsidP="005B6C3F">
      <w:pPr>
        <w:jc w:val="center"/>
        <w:rPr>
          <w:sz w:val="8"/>
          <w:szCs w:val="8"/>
        </w:rPr>
      </w:pPr>
      <w:r>
        <w:rPr>
          <w:noProof/>
          <w:sz w:val="8"/>
          <w:szCs w:val="8"/>
        </w:rPr>
        <w:drawing>
          <wp:inline distT="0" distB="0" distL="0" distR="0" wp14:anchorId="441B74CB" wp14:editId="10C161D8">
            <wp:extent cx="5710577" cy="62293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_50.emf"/>
                    <pic:cNvPicPr/>
                  </pic:nvPicPr>
                  <pic:blipFill>
                    <a:blip r:embed="rId10">
                      <a:extLst>
                        <a:ext uri="{28A0092B-C50C-407E-A947-70E740481C1C}">
                          <a14:useLocalDpi xmlns:a14="http://schemas.microsoft.com/office/drawing/2010/main" val="0"/>
                        </a:ext>
                      </a:extLst>
                    </a:blip>
                    <a:stretch>
                      <a:fillRect/>
                    </a:stretch>
                  </pic:blipFill>
                  <pic:spPr>
                    <a:xfrm>
                      <a:off x="0" y="0"/>
                      <a:ext cx="5712805" cy="6231780"/>
                    </a:xfrm>
                    <a:prstGeom prst="rect">
                      <a:avLst/>
                    </a:prstGeom>
                  </pic:spPr>
                </pic:pic>
              </a:graphicData>
            </a:graphic>
          </wp:inline>
        </w:drawing>
      </w:r>
    </w:p>
    <w:p w14:paraId="75B44DA5" w14:textId="0E3144F6" w:rsidR="00EC0738" w:rsidRDefault="00EC0738">
      <w:pPr>
        <w:rPr>
          <w:sz w:val="8"/>
          <w:szCs w:val="8"/>
        </w:rPr>
      </w:pPr>
      <w:r>
        <w:rPr>
          <w:sz w:val="8"/>
          <w:szCs w:val="8"/>
        </w:rPr>
        <w:br w:type="page"/>
      </w:r>
    </w:p>
    <w:p w14:paraId="4BE44CDD" w14:textId="77777777" w:rsidR="00EC0738" w:rsidRDefault="00EC0738" w:rsidP="00DB44FD">
      <w:pPr>
        <w:spacing w:line="480" w:lineRule="auto"/>
        <w:rPr>
          <w:sz w:val="8"/>
          <w:szCs w:val="8"/>
        </w:rPr>
      </w:pPr>
    </w:p>
    <w:p w14:paraId="279686A7" w14:textId="77777777" w:rsidR="00EC0738" w:rsidRPr="00861F35" w:rsidRDefault="00EC0738" w:rsidP="00DB44FD">
      <w:pPr>
        <w:spacing w:line="480" w:lineRule="auto"/>
        <w:rPr>
          <w:sz w:val="8"/>
          <w:szCs w:val="8"/>
        </w:rPr>
      </w:pPr>
    </w:p>
    <w:p w14:paraId="433B5CC5" w14:textId="499ABE2B" w:rsidR="00DB44FD" w:rsidRPr="003B501B" w:rsidRDefault="00DB44FD" w:rsidP="00DB44FD">
      <w:pPr>
        <w:pStyle w:val="Caption"/>
        <w:spacing w:after="0" w:line="480" w:lineRule="auto"/>
        <w:rPr>
          <w:color w:val="auto"/>
          <w:sz w:val="24"/>
          <w:szCs w:val="24"/>
        </w:rPr>
      </w:pPr>
      <w:bookmarkStart w:id="3" w:name="_Ref477702643"/>
      <w:r w:rsidRPr="003B501B">
        <w:rPr>
          <w:color w:val="auto"/>
          <w:sz w:val="24"/>
          <w:szCs w:val="24"/>
        </w:rPr>
        <w:t xml:space="preserve">Figure </w:t>
      </w:r>
      <w:r w:rsidR="00EC0738">
        <w:rPr>
          <w:noProof/>
          <w:color w:val="auto"/>
          <w:sz w:val="24"/>
          <w:szCs w:val="24"/>
        </w:rPr>
        <w:t>4</w:t>
      </w:r>
      <w:bookmarkEnd w:id="3"/>
      <w:r w:rsidRPr="003B501B">
        <w:rPr>
          <w:color w:val="auto"/>
          <w:sz w:val="24"/>
          <w:szCs w:val="24"/>
        </w:rPr>
        <w:t>: Risk reduction (pre- and post-2008)</w:t>
      </w:r>
      <w:proofErr w:type="gramStart"/>
      <w:r w:rsidR="00ED00B4">
        <w:rPr>
          <w:color w:val="auto"/>
          <w:sz w:val="24"/>
          <w:szCs w:val="24"/>
        </w:rPr>
        <w:t>;</w:t>
      </w:r>
      <w:proofErr w:type="gramEnd"/>
      <w:r w:rsidR="00ED00B4">
        <w:rPr>
          <w:color w:val="auto"/>
          <w:sz w:val="24"/>
          <w:szCs w:val="24"/>
        </w:rPr>
        <w:t xml:space="preserve"> </w:t>
      </w:r>
      <w:r w:rsidR="00866F6D">
        <w:rPr>
          <w:color w:val="auto"/>
          <w:sz w:val="24"/>
          <w:szCs w:val="24"/>
        </w:rPr>
        <w:t>5</w:t>
      </w:r>
      <w:r w:rsidR="00ED00B4">
        <w:rPr>
          <w:color w:val="auto"/>
          <w:sz w:val="24"/>
          <w:szCs w:val="24"/>
        </w:rPr>
        <w:t>0% income losses</w:t>
      </w:r>
    </w:p>
    <w:p w14:paraId="0230DCD5" w14:textId="4E4B54B7" w:rsidR="00ED00B4" w:rsidRDefault="00EC0738" w:rsidP="00ED00B4">
      <w:pPr>
        <w:jc w:val="center"/>
      </w:pPr>
      <w:r>
        <w:rPr>
          <w:noProof/>
        </w:rPr>
        <w:drawing>
          <wp:inline distT="0" distB="0" distL="0" distR="0" wp14:anchorId="48AD1241" wp14:editId="4C6BDA67">
            <wp:extent cx="4972050" cy="74561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4_50.emf"/>
                    <pic:cNvPicPr/>
                  </pic:nvPicPr>
                  <pic:blipFill>
                    <a:blip r:embed="rId11">
                      <a:extLst>
                        <a:ext uri="{28A0092B-C50C-407E-A947-70E740481C1C}">
                          <a14:useLocalDpi xmlns:a14="http://schemas.microsoft.com/office/drawing/2010/main" val="0"/>
                        </a:ext>
                      </a:extLst>
                    </a:blip>
                    <a:stretch>
                      <a:fillRect/>
                    </a:stretch>
                  </pic:blipFill>
                  <pic:spPr>
                    <a:xfrm>
                      <a:off x="0" y="0"/>
                      <a:ext cx="4975025" cy="7460650"/>
                    </a:xfrm>
                    <a:prstGeom prst="rect">
                      <a:avLst/>
                    </a:prstGeom>
                  </pic:spPr>
                </pic:pic>
              </a:graphicData>
            </a:graphic>
          </wp:inline>
        </w:drawing>
      </w:r>
      <w:r w:rsidR="00ED00B4">
        <w:br w:type="page"/>
      </w:r>
    </w:p>
    <w:p w14:paraId="27947A72" w14:textId="77777777" w:rsidR="00DB44FD" w:rsidRDefault="00DB44FD" w:rsidP="00DB44FD"/>
    <w:p w14:paraId="062A418F" w14:textId="056748BE" w:rsidR="00DB44FD" w:rsidRPr="00C47025" w:rsidRDefault="00DB44FD" w:rsidP="00DB44FD">
      <w:pPr>
        <w:pStyle w:val="Caption"/>
        <w:spacing w:after="0"/>
        <w:rPr>
          <w:color w:val="auto"/>
          <w:sz w:val="24"/>
          <w:szCs w:val="24"/>
        </w:rPr>
      </w:pPr>
      <w:bookmarkStart w:id="4" w:name="_Ref477703320"/>
      <w:r w:rsidRPr="00C47025">
        <w:rPr>
          <w:color w:val="auto"/>
          <w:sz w:val="24"/>
          <w:szCs w:val="24"/>
        </w:rPr>
        <w:t xml:space="preserve">Figure </w:t>
      </w:r>
      <w:r w:rsidR="00EC0738">
        <w:rPr>
          <w:noProof/>
          <w:color w:val="auto"/>
          <w:sz w:val="24"/>
          <w:szCs w:val="24"/>
        </w:rPr>
        <w:t>5</w:t>
      </w:r>
      <w:bookmarkEnd w:id="4"/>
      <w:r w:rsidRPr="00C47025">
        <w:rPr>
          <w:color w:val="auto"/>
          <w:sz w:val="24"/>
          <w:szCs w:val="24"/>
        </w:rPr>
        <w:t xml:space="preserve">: </w:t>
      </w:r>
      <w:r>
        <w:rPr>
          <w:color w:val="auto"/>
          <w:sz w:val="24"/>
          <w:szCs w:val="24"/>
        </w:rPr>
        <w:t>S</w:t>
      </w:r>
      <w:r w:rsidRPr="00C47025">
        <w:rPr>
          <w:color w:val="auto"/>
          <w:sz w:val="24"/>
          <w:szCs w:val="24"/>
        </w:rPr>
        <w:t>ocial spending</w:t>
      </w:r>
      <w:r w:rsidR="00F86521">
        <w:rPr>
          <w:color w:val="auto"/>
          <w:sz w:val="24"/>
          <w:szCs w:val="24"/>
        </w:rPr>
        <w:t xml:space="preserve">, as well as benefit generosity, </w:t>
      </w:r>
      <w:r w:rsidRPr="00C47025">
        <w:rPr>
          <w:color w:val="auto"/>
          <w:sz w:val="24"/>
          <w:szCs w:val="24"/>
        </w:rPr>
        <w:t>and risk reduction</w:t>
      </w:r>
      <w:r w:rsidR="00ED00B4">
        <w:rPr>
          <w:color w:val="auto"/>
          <w:sz w:val="24"/>
          <w:szCs w:val="24"/>
        </w:rPr>
        <w:t xml:space="preserve"> (50%)</w:t>
      </w:r>
    </w:p>
    <w:p w14:paraId="1E21C2C6" w14:textId="77777777" w:rsidR="00DB44FD" w:rsidRDefault="00DB44FD" w:rsidP="00DB44FD"/>
    <w:p w14:paraId="352BB9D9" w14:textId="7AA621FB" w:rsidR="00DB44FD" w:rsidRDefault="00DB44FD" w:rsidP="00DB44FD">
      <w:pPr>
        <w:jc w:val="center"/>
      </w:pPr>
    </w:p>
    <w:p w14:paraId="52728867" w14:textId="525F6D91" w:rsidR="00F86521" w:rsidRDefault="00EC0738" w:rsidP="00DB44FD">
      <w:pPr>
        <w:jc w:val="center"/>
      </w:pPr>
      <w:r>
        <w:rPr>
          <w:noProof/>
        </w:rPr>
        <w:drawing>
          <wp:inline distT="0" distB="0" distL="0" distR="0" wp14:anchorId="4B64FAAE" wp14:editId="2511BE24">
            <wp:extent cx="5095065" cy="61144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5_50.emf"/>
                    <pic:cNvPicPr/>
                  </pic:nvPicPr>
                  <pic:blipFill>
                    <a:blip r:embed="rId12">
                      <a:extLst>
                        <a:ext uri="{28A0092B-C50C-407E-A947-70E740481C1C}">
                          <a14:useLocalDpi xmlns:a14="http://schemas.microsoft.com/office/drawing/2010/main" val="0"/>
                        </a:ext>
                      </a:extLst>
                    </a:blip>
                    <a:stretch>
                      <a:fillRect/>
                    </a:stretch>
                  </pic:blipFill>
                  <pic:spPr>
                    <a:xfrm>
                      <a:off x="0" y="0"/>
                      <a:ext cx="5097373" cy="6117224"/>
                    </a:xfrm>
                    <a:prstGeom prst="rect">
                      <a:avLst/>
                    </a:prstGeom>
                  </pic:spPr>
                </pic:pic>
              </a:graphicData>
            </a:graphic>
          </wp:inline>
        </w:drawing>
      </w:r>
    </w:p>
    <w:p w14:paraId="1D9606E7" w14:textId="546F162E" w:rsidR="00ED00B4" w:rsidRDefault="00ED00B4" w:rsidP="00ED00B4">
      <w:pPr>
        <w:jc w:val="center"/>
      </w:pPr>
    </w:p>
    <w:p w14:paraId="2F8B509D" w14:textId="78C53A57" w:rsidR="00866F6D" w:rsidRDefault="00866F6D" w:rsidP="00866F6D">
      <w:r>
        <w:t xml:space="preserve">Note: Generosity indices are from </w:t>
      </w:r>
      <w:r w:rsidRPr="007102B7">
        <w:t>(Scruggs, Jahn, and Kuitto 2014)</w:t>
      </w:r>
      <w:r>
        <w:t>.</w:t>
      </w:r>
    </w:p>
    <w:p w14:paraId="6D2E870A" w14:textId="67BCFCF6" w:rsidR="00866F6D" w:rsidRDefault="00866F6D">
      <w:pPr>
        <w:rPr>
          <w:rFonts w:eastAsiaTheme="majorEastAsia"/>
          <w:b/>
          <w:bCs/>
        </w:rPr>
      </w:pPr>
      <w:r>
        <w:rPr>
          <w:rFonts w:eastAsiaTheme="majorEastAsia"/>
          <w:b/>
          <w:bCs/>
        </w:rPr>
        <w:br w:type="page"/>
      </w:r>
    </w:p>
    <w:p w14:paraId="551BE2BE" w14:textId="77777777" w:rsidR="00EC0738" w:rsidRPr="00002309" w:rsidRDefault="00EC0738" w:rsidP="00EC0738">
      <w:pPr>
        <w:spacing w:line="480" w:lineRule="auto"/>
        <w:rPr>
          <w:sz w:val="6"/>
        </w:rPr>
      </w:pPr>
    </w:p>
    <w:p w14:paraId="29D667D8" w14:textId="6ACEB8AC" w:rsidR="00EC0738" w:rsidRPr="000308CA" w:rsidRDefault="00EC0738" w:rsidP="00EC0738">
      <w:pPr>
        <w:pStyle w:val="Caption"/>
        <w:spacing w:after="0" w:line="480" w:lineRule="auto"/>
        <w:rPr>
          <w:color w:val="auto"/>
          <w:sz w:val="24"/>
          <w:szCs w:val="24"/>
        </w:rPr>
      </w:pPr>
      <w:bookmarkStart w:id="5" w:name="_Ref255865"/>
      <w:r w:rsidRPr="000308CA">
        <w:rPr>
          <w:color w:val="auto"/>
          <w:sz w:val="24"/>
          <w:szCs w:val="24"/>
        </w:rPr>
        <w:t xml:space="preserve">Figure </w:t>
      </w:r>
      <w:r>
        <w:rPr>
          <w:noProof/>
          <w:color w:val="auto"/>
          <w:sz w:val="24"/>
          <w:szCs w:val="24"/>
        </w:rPr>
        <w:t>6</w:t>
      </w:r>
      <w:bookmarkEnd w:id="5"/>
      <w:r w:rsidRPr="000308CA">
        <w:rPr>
          <w:color w:val="auto"/>
          <w:sz w:val="24"/>
          <w:szCs w:val="24"/>
        </w:rPr>
        <w:t xml:space="preserve">: Risk and risk reduction over the </w:t>
      </w:r>
      <w:proofErr w:type="gramStart"/>
      <w:r w:rsidRPr="000308CA">
        <w:rPr>
          <w:color w:val="auto"/>
          <w:sz w:val="24"/>
          <w:szCs w:val="24"/>
        </w:rPr>
        <w:t>life</w:t>
      </w:r>
      <w:r>
        <w:rPr>
          <w:color w:val="auto"/>
          <w:sz w:val="24"/>
          <w:szCs w:val="24"/>
        </w:rPr>
        <w:t>-</w:t>
      </w:r>
      <w:r w:rsidRPr="000308CA">
        <w:rPr>
          <w:color w:val="auto"/>
          <w:sz w:val="24"/>
          <w:szCs w:val="24"/>
        </w:rPr>
        <w:t>cycle</w:t>
      </w:r>
      <w:proofErr w:type="gramEnd"/>
      <w:r>
        <w:rPr>
          <w:color w:val="auto"/>
          <w:sz w:val="24"/>
          <w:szCs w:val="24"/>
        </w:rPr>
        <w:t xml:space="preserve"> (50% losses)</w:t>
      </w:r>
    </w:p>
    <w:p w14:paraId="215A94A0" w14:textId="72F2952A" w:rsidR="00EC0738" w:rsidRDefault="00EC0738" w:rsidP="00EC0738">
      <w:pPr>
        <w:spacing w:line="480" w:lineRule="auto"/>
        <w:jc w:val="center"/>
      </w:pPr>
      <w:r>
        <w:rPr>
          <w:noProof/>
        </w:rPr>
        <w:drawing>
          <wp:inline distT="0" distB="0" distL="0" distR="0" wp14:anchorId="5F51735A" wp14:editId="1763A0AE">
            <wp:extent cx="6333502" cy="460526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6_50.emf"/>
                    <pic:cNvPicPr/>
                  </pic:nvPicPr>
                  <pic:blipFill>
                    <a:blip r:embed="rId13">
                      <a:extLst>
                        <a:ext uri="{28A0092B-C50C-407E-A947-70E740481C1C}">
                          <a14:useLocalDpi xmlns:a14="http://schemas.microsoft.com/office/drawing/2010/main" val="0"/>
                        </a:ext>
                      </a:extLst>
                    </a:blip>
                    <a:stretch>
                      <a:fillRect/>
                    </a:stretch>
                  </pic:blipFill>
                  <pic:spPr>
                    <a:xfrm>
                      <a:off x="0" y="0"/>
                      <a:ext cx="6341625" cy="4611175"/>
                    </a:xfrm>
                    <a:prstGeom prst="rect">
                      <a:avLst/>
                    </a:prstGeom>
                  </pic:spPr>
                </pic:pic>
              </a:graphicData>
            </a:graphic>
          </wp:inline>
        </w:drawing>
      </w:r>
    </w:p>
    <w:p w14:paraId="2B0478B8" w14:textId="77777777" w:rsidR="00EC0738" w:rsidRDefault="00EC0738" w:rsidP="00EC0738">
      <w:pPr>
        <w:spacing w:line="480" w:lineRule="auto"/>
        <w:jc w:val="center"/>
      </w:pPr>
      <w:r>
        <w:t xml:space="preserve">Note: Shown </w:t>
      </w:r>
      <w:proofErr w:type="gramStart"/>
      <w:r>
        <w:t>are average predicted probabilities of experiencing the state indicated</w:t>
      </w:r>
      <w:proofErr w:type="gramEnd"/>
      <w:r>
        <w:t xml:space="preserve"> on the y-axis, by age. Based on </w:t>
      </w:r>
      <w:r w:rsidRPr="00A77B40">
        <w:t xml:space="preserve">multinomial </w:t>
      </w:r>
      <w:r>
        <w:t>models regressing the states on quartic age. Y-axes vary.</w:t>
      </w:r>
    </w:p>
    <w:p w14:paraId="2E0896E1" w14:textId="77777777" w:rsidR="00EC0738" w:rsidRDefault="00EC0738">
      <w:pPr>
        <w:rPr>
          <w:rFonts w:eastAsiaTheme="majorEastAsia"/>
          <w:b/>
          <w:bCs/>
        </w:rPr>
      </w:pPr>
    </w:p>
    <w:p w14:paraId="13DC58B3" w14:textId="77777777" w:rsidR="00EC0738" w:rsidRDefault="00EC0738">
      <w:pPr>
        <w:rPr>
          <w:rFonts w:eastAsiaTheme="majorEastAsia"/>
          <w:b/>
          <w:bCs/>
        </w:rPr>
      </w:pPr>
    </w:p>
    <w:p w14:paraId="58415749" w14:textId="48558501" w:rsidR="00EC0738" w:rsidRDefault="00EC0738">
      <w:pPr>
        <w:rPr>
          <w:rFonts w:eastAsiaTheme="majorEastAsia"/>
          <w:b/>
          <w:bCs/>
        </w:rPr>
      </w:pPr>
      <w:r>
        <w:rPr>
          <w:rFonts w:eastAsiaTheme="majorEastAsia"/>
          <w:b/>
          <w:bCs/>
        </w:rPr>
        <w:br w:type="page"/>
      </w:r>
    </w:p>
    <w:p w14:paraId="2CFF740F" w14:textId="77777777" w:rsidR="004C5DBF" w:rsidRDefault="004C5DBF" w:rsidP="004C5DBF">
      <w:pPr>
        <w:pStyle w:val="Heading1"/>
        <w:numPr>
          <w:ilvl w:val="0"/>
          <w:numId w:val="0"/>
        </w:numPr>
      </w:pPr>
      <w:r>
        <w:lastRenderedPageBreak/>
        <w:t>References</w:t>
      </w:r>
    </w:p>
    <w:p w14:paraId="5F142CCD" w14:textId="77777777" w:rsidR="004C5DBF" w:rsidRDefault="004C5DBF" w:rsidP="004C5DBF"/>
    <w:p w14:paraId="05F3D180" w14:textId="7C1CB13D" w:rsidR="009172BE" w:rsidRPr="009172BE" w:rsidRDefault="009172BE" w:rsidP="009172BE">
      <w:pPr>
        <w:pStyle w:val="Bibliography"/>
      </w:pPr>
      <w:r w:rsidRPr="009172BE">
        <w:t>Bargain, Olivier et al. 2011. “Tax Policy and Income Inequality in the US, 1978-2009: A Decomposition Approach.”</w:t>
      </w:r>
    </w:p>
    <w:p w14:paraId="75B8C4C8" w14:textId="77777777" w:rsidR="009172BE" w:rsidRPr="009172BE" w:rsidRDefault="009172BE" w:rsidP="009172BE">
      <w:pPr>
        <w:pStyle w:val="Bibliography"/>
      </w:pPr>
      <w:r w:rsidRPr="009172BE">
        <w:t xml:space="preserve">DiPrete, Thomas A., and Patricia A. McManus. 2000. “Family Change, Employment Transitions, and the Welfare State: Household Income Dynamics in the United States and Germany.” </w:t>
      </w:r>
      <w:r w:rsidRPr="009172BE">
        <w:rPr>
          <w:i/>
          <w:iCs/>
        </w:rPr>
        <w:t>American Sociological Review</w:t>
      </w:r>
      <w:r w:rsidRPr="009172BE">
        <w:t xml:space="preserve"> 65(3): 343–70.</w:t>
      </w:r>
    </w:p>
    <w:p w14:paraId="4C623014" w14:textId="77777777" w:rsidR="009172BE" w:rsidRPr="009172BE" w:rsidRDefault="009172BE" w:rsidP="009172BE">
      <w:pPr>
        <w:pStyle w:val="Bibliography"/>
      </w:pPr>
      <w:r w:rsidRPr="009172BE">
        <w:t xml:space="preserve">Feenberg, Daniel, and Elisabeth Coutts. 1993. “An Introduction to the TAXSIM Model.” </w:t>
      </w:r>
      <w:r w:rsidRPr="009172BE">
        <w:rPr>
          <w:i/>
          <w:iCs/>
        </w:rPr>
        <w:t>Journal of Policy Analysis and management</w:t>
      </w:r>
      <w:r w:rsidRPr="009172BE">
        <w:t xml:space="preserve"> 12(1): 189–194.</w:t>
      </w:r>
    </w:p>
    <w:p w14:paraId="6DDB602E" w14:textId="77777777" w:rsidR="009172BE" w:rsidRPr="009172BE" w:rsidRDefault="009172BE" w:rsidP="009172BE">
      <w:pPr>
        <w:pStyle w:val="Bibliography"/>
      </w:pPr>
      <w:r w:rsidRPr="009172BE">
        <w:t xml:space="preserve">Feng, Shuaizhang. 2001. “The Longitudinal Matching of Current Population Surveys: A Proposed Algorithm.” </w:t>
      </w:r>
      <w:r w:rsidRPr="009172BE">
        <w:rPr>
          <w:i/>
          <w:iCs/>
        </w:rPr>
        <w:t>Journal of Economic and Social Measurement</w:t>
      </w:r>
      <w:r w:rsidRPr="009172BE">
        <w:t xml:space="preserve"> 27(1, 2): 71–91.</w:t>
      </w:r>
    </w:p>
    <w:p w14:paraId="1405BAA7" w14:textId="77777777" w:rsidR="009172BE" w:rsidRPr="009172BE" w:rsidRDefault="009172BE" w:rsidP="009172BE">
      <w:pPr>
        <w:pStyle w:val="Bibliography"/>
      </w:pPr>
      <w:r w:rsidRPr="009172BE">
        <w:t xml:space="preserve">———. 2008. “Longitudinal Matching of Recent Current Population Surveys: Methods, Non-Matches and Mismatches.” </w:t>
      </w:r>
      <w:r w:rsidRPr="009172BE">
        <w:rPr>
          <w:i/>
          <w:iCs/>
        </w:rPr>
        <w:t>Journal of Economic and Social Measurement</w:t>
      </w:r>
      <w:r w:rsidRPr="009172BE">
        <w:t xml:space="preserve"> 33(4): 241–252.</w:t>
      </w:r>
    </w:p>
    <w:p w14:paraId="3AD6488C" w14:textId="77777777" w:rsidR="009172BE" w:rsidRPr="009172BE" w:rsidRDefault="009172BE" w:rsidP="009172BE">
      <w:pPr>
        <w:pStyle w:val="Bibliography"/>
      </w:pPr>
      <w:r w:rsidRPr="009172BE">
        <w:t xml:space="preserve">Flood, Sarah, Miriam King, Steven Ruggles, and John Robert Warren. 2015. </w:t>
      </w:r>
      <w:r w:rsidRPr="009172BE">
        <w:rPr>
          <w:i/>
          <w:iCs/>
        </w:rPr>
        <w:t>Integrated Public Use Microdata Series, Current Population Survey: Version 4.0. [Machine-Readable Database].</w:t>
      </w:r>
      <w:r w:rsidRPr="009172BE">
        <w:t xml:space="preserve"> Minneapolis, MN: University of Minnesota [https://cps.ipums.org/cps].</w:t>
      </w:r>
    </w:p>
    <w:p w14:paraId="49A9FF52" w14:textId="77777777" w:rsidR="009172BE" w:rsidRPr="009172BE" w:rsidRDefault="009172BE" w:rsidP="009172BE">
      <w:pPr>
        <w:pStyle w:val="Bibliography"/>
      </w:pPr>
      <w:r w:rsidRPr="009172BE">
        <w:t xml:space="preserve">Gosselin, Peter, and Seth Zimmerman. 2008. “Trends in Income Volatility and Risk, 1970-2004.” </w:t>
      </w:r>
      <w:r w:rsidRPr="009172BE">
        <w:rPr>
          <w:i/>
          <w:iCs/>
        </w:rPr>
        <w:t>Urban Institute Working Paper</w:t>
      </w:r>
      <w:r w:rsidRPr="009172BE">
        <w:t>.</w:t>
      </w:r>
    </w:p>
    <w:p w14:paraId="19B4CC2D" w14:textId="77777777" w:rsidR="009172BE" w:rsidRPr="009172BE" w:rsidRDefault="009172BE" w:rsidP="009172BE">
      <w:pPr>
        <w:pStyle w:val="Bibliography"/>
      </w:pPr>
      <w:r w:rsidRPr="009172BE">
        <w:t xml:space="preserve">Hacker, Jacob S. et al. 2011. </w:t>
      </w:r>
      <w:r w:rsidRPr="009172BE">
        <w:rPr>
          <w:i/>
          <w:iCs/>
        </w:rPr>
        <w:t>The Technical Appendix for the Economic Insecurity and the Great Recession</w:t>
      </w:r>
      <w:r w:rsidRPr="009172BE">
        <w:t>. http://economicsecurityindex.org/assets/ESI%20Full%20Report%202011.pdf.</w:t>
      </w:r>
    </w:p>
    <w:p w14:paraId="48099697" w14:textId="77777777" w:rsidR="009172BE" w:rsidRPr="009172BE" w:rsidRDefault="009172BE" w:rsidP="009172BE">
      <w:pPr>
        <w:pStyle w:val="Bibliography"/>
      </w:pPr>
      <w:r w:rsidRPr="009172BE">
        <w:t xml:space="preserve">Katz, Arnold, K. Tenter, and Philip Sidel. 1984. “Comparison of Alternative Ways of Deriving Panel Data from the Annual Demographic Files of the Current Population Survey.” </w:t>
      </w:r>
      <w:r w:rsidRPr="009172BE">
        <w:rPr>
          <w:i/>
          <w:iCs/>
        </w:rPr>
        <w:t>Review of Public Data Use</w:t>
      </w:r>
      <w:r w:rsidRPr="009172BE">
        <w:t xml:space="preserve"> 12(1): 35–44.</w:t>
      </w:r>
    </w:p>
    <w:p w14:paraId="32E2FA32" w14:textId="77777777" w:rsidR="009172BE" w:rsidRPr="009172BE" w:rsidRDefault="009172BE" w:rsidP="009172BE">
      <w:pPr>
        <w:pStyle w:val="Bibliography"/>
      </w:pPr>
      <w:r w:rsidRPr="009172BE">
        <w:t xml:space="preserve">Madrian, Brigitte C., and Lars John Lefgren. 2000. “An Approach to Longitudinally Matching Current Population Survey (CPS) Respondents.” </w:t>
      </w:r>
      <w:r w:rsidRPr="009172BE">
        <w:rPr>
          <w:i/>
          <w:iCs/>
        </w:rPr>
        <w:t>Journal of Economic and Social Measurement</w:t>
      </w:r>
      <w:r w:rsidRPr="009172BE">
        <w:t xml:space="preserve"> 26(1): 31–62.</w:t>
      </w:r>
    </w:p>
    <w:p w14:paraId="48A513C0" w14:textId="77777777" w:rsidR="009172BE" w:rsidRPr="009172BE" w:rsidRDefault="009172BE" w:rsidP="009172BE">
      <w:pPr>
        <w:pStyle w:val="Bibliography"/>
      </w:pPr>
      <w:r w:rsidRPr="009172BE">
        <w:t xml:space="preserve">Nichols, Austin, and Philipp Rehm. 2014. “Income Risk in 30 Countries.” </w:t>
      </w:r>
      <w:r w:rsidRPr="009172BE">
        <w:rPr>
          <w:i/>
          <w:iCs/>
        </w:rPr>
        <w:t>Review of Income and Wealth</w:t>
      </w:r>
      <w:r w:rsidRPr="009172BE">
        <w:t xml:space="preserve"> 60: S98–116.</w:t>
      </w:r>
    </w:p>
    <w:p w14:paraId="7FF38071" w14:textId="77777777" w:rsidR="009172BE" w:rsidRPr="009172BE" w:rsidRDefault="009172BE" w:rsidP="009172BE">
      <w:pPr>
        <w:pStyle w:val="Bibliography"/>
      </w:pPr>
      <w:r w:rsidRPr="009172BE">
        <w:rPr>
          <w:lang w:val="de-DE"/>
        </w:rPr>
        <w:t xml:space="preserve">Scruggs, Lyle, Detlef Jahn, and Kati Kuitto. </w:t>
      </w:r>
      <w:r w:rsidRPr="009172BE">
        <w:t xml:space="preserve">2014. </w:t>
      </w:r>
      <w:r w:rsidRPr="009172BE">
        <w:rPr>
          <w:i/>
          <w:iCs/>
        </w:rPr>
        <w:t>Comparative Welfare Entitlements Dataset 2</w:t>
      </w:r>
      <w:r w:rsidRPr="009172BE">
        <w:t>. University of Connecticut &amp; University of Greifswald: http://cwed2.org/.</w:t>
      </w:r>
    </w:p>
    <w:p w14:paraId="3B936B22" w14:textId="77777777" w:rsidR="009172BE" w:rsidRPr="009172BE" w:rsidRDefault="009172BE" w:rsidP="009172BE">
      <w:pPr>
        <w:pStyle w:val="Bibliography"/>
      </w:pPr>
      <w:r w:rsidRPr="009172BE">
        <w:t xml:space="preserve">Vandecasteele, Leen. 2010. “Life Course Risks or Cumulative Disadvantage? The Structuring Effect of Social Stratification Determinants and Life Course Events on Poverty Transitions in Europe.” </w:t>
      </w:r>
      <w:r w:rsidRPr="009172BE">
        <w:rPr>
          <w:i/>
          <w:iCs/>
        </w:rPr>
        <w:t>European Sociological Review</w:t>
      </w:r>
      <w:r w:rsidRPr="009172BE">
        <w:t xml:space="preserve"> 27(2): 246–263.</w:t>
      </w:r>
    </w:p>
    <w:p w14:paraId="57106362" w14:textId="02BFCEFB" w:rsidR="00A346A1" w:rsidRPr="00D22574" w:rsidRDefault="009172BE" w:rsidP="00BC781C">
      <w:pPr>
        <w:pStyle w:val="Bibliography"/>
      </w:pPr>
      <w:r w:rsidRPr="009172BE">
        <w:t xml:space="preserve">Welch, Finis. 1993. “Matching the Current Population Surveys.” </w:t>
      </w:r>
      <w:r w:rsidRPr="009172BE">
        <w:rPr>
          <w:i/>
          <w:iCs/>
        </w:rPr>
        <w:t>Stata Technical Bulletin</w:t>
      </w:r>
      <w:r w:rsidRPr="009172BE">
        <w:t xml:space="preserve"> 2(12).</w:t>
      </w:r>
      <w:bookmarkStart w:id="6" w:name="_GoBack"/>
      <w:bookmarkEnd w:id="6"/>
    </w:p>
    <w:sectPr w:rsidR="00A346A1" w:rsidRPr="00D2257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26340" w14:textId="77777777" w:rsidR="00FA5474" w:rsidRDefault="00FA5474" w:rsidP="00156F4C">
      <w:r>
        <w:separator/>
      </w:r>
    </w:p>
  </w:endnote>
  <w:endnote w:type="continuationSeparator" w:id="0">
    <w:p w14:paraId="38045CE6" w14:textId="77777777" w:rsidR="00FA5474" w:rsidRDefault="00FA5474" w:rsidP="001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DC4D" w14:textId="69684006" w:rsidR="007D752B" w:rsidRPr="00156F4C" w:rsidRDefault="007D752B" w:rsidP="00156F4C">
    <w:pPr>
      <w:pStyle w:val="Footer"/>
      <w:jc w:val="right"/>
      <w:rPr>
        <w:sz w:val="20"/>
      </w:rPr>
    </w:pPr>
    <w:r w:rsidRPr="00156F4C">
      <w:rPr>
        <w:sz w:val="20"/>
      </w:rPr>
      <w:fldChar w:fldCharType="begin"/>
    </w:r>
    <w:r w:rsidRPr="00156F4C">
      <w:rPr>
        <w:sz w:val="20"/>
      </w:rPr>
      <w:instrText xml:space="preserve"> PAGE   \* MERGEFORMAT </w:instrText>
    </w:r>
    <w:r w:rsidRPr="00156F4C">
      <w:rPr>
        <w:sz w:val="20"/>
      </w:rPr>
      <w:fldChar w:fldCharType="separate"/>
    </w:r>
    <w:r w:rsidR="00BC781C">
      <w:rPr>
        <w:noProof/>
        <w:sz w:val="20"/>
      </w:rPr>
      <w:t>17</w:t>
    </w:r>
    <w:r w:rsidRPr="00156F4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5FFF" w14:textId="77777777" w:rsidR="00FA5474" w:rsidRDefault="00FA5474" w:rsidP="00156F4C">
      <w:r>
        <w:separator/>
      </w:r>
    </w:p>
  </w:footnote>
  <w:footnote w:type="continuationSeparator" w:id="0">
    <w:p w14:paraId="7F673010" w14:textId="77777777" w:rsidR="00FA5474" w:rsidRDefault="00FA5474" w:rsidP="00156F4C">
      <w:r>
        <w:continuationSeparator/>
      </w:r>
    </w:p>
  </w:footnote>
  <w:footnote w:id="1">
    <w:p w14:paraId="2337AC29" w14:textId="18D65C8E" w:rsidR="004E267D" w:rsidRDefault="004E267D">
      <w:pPr>
        <w:pStyle w:val="FootnoteText"/>
      </w:pPr>
      <w:r>
        <w:rPr>
          <w:rStyle w:val="FootnoteReference"/>
        </w:rPr>
        <w:footnoteRef/>
      </w:r>
      <w:r>
        <w:t xml:space="preserve"> </w:t>
      </w:r>
      <w:r w:rsidRPr="00014CAA">
        <w:t xml:space="preserve">The data, replication instructions, and the data’s codebook </w:t>
      </w:r>
      <w:proofErr w:type="gramStart"/>
      <w:r w:rsidRPr="00014CAA">
        <w:t>can be found</w:t>
      </w:r>
      <w:proofErr w:type="gramEnd"/>
      <w:r w:rsidRPr="00014CAA">
        <w:t xml:space="preserve"> at</w:t>
      </w:r>
      <w:r>
        <w:t xml:space="preserve"> </w:t>
      </w:r>
      <w:hyperlink r:id="rId1" w:history="1">
        <w:r w:rsidR="00E42D9C" w:rsidRPr="00C55770">
          <w:rPr>
            <w:rStyle w:val="Hyperlink"/>
          </w:rPr>
          <w:t>https://doi.org/10.7910/DVN/NZTGVE</w:t>
        </w:r>
      </w:hyperlink>
      <w:r>
        <w:t>.</w:t>
      </w:r>
    </w:p>
  </w:footnote>
  <w:footnote w:id="2">
    <w:p w14:paraId="0AC911FB" w14:textId="7A09E1BF" w:rsidR="00B45183" w:rsidRDefault="00B45183">
      <w:pPr>
        <w:pStyle w:val="FootnoteText"/>
      </w:pPr>
      <w:r w:rsidRPr="00152493">
        <w:rPr>
          <w:rStyle w:val="FootnoteReference"/>
        </w:rPr>
        <w:footnoteRef/>
      </w:r>
      <w:r>
        <w:t xml:space="preserve"> This section is heavily based on </w:t>
      </w:r>
      <w:r>
        <w:fldChar w:fldCharType="begin"/>
      </w:r>
      <w:r w:rsidR="009172BE">
        <w:instrText xml:space="preserve"> ADDIN ZOTERO_ITEM CSL_CITATION {"citationID":"01sXsA6L","properties":{"custom":"Hacker et al. (2011)","formattedCitation":"Hacker et al. (2011)","plainCitation":"Hacker et al. (2011)","noteIndex":2},"citationItems":[{"id":6268,"uris":["http://zotero.org/users/252130/items/GU4IVMLV"],"uri":["http://zotero.org/users/252130/items/GU4IVMLV"],"itemData":{"id":6268,"type":"report","title":"The Technical Appendix for the Economic Insecurity and the Great Recession","URL":"http://economicsecurityindex.org/assets/ESI%20Full%20Report%202011.pdf","author":[{"family":"Hacker","given":"Jacob S."},{"family":"Huber","given":"Gregory A."},{"family":"Nichols","given":"Austin"},{"family":"Rehm","given":"Philipp"},{"family":"Craig","given":"Stuart"}],"issued":{"date-parts":[["2011"]]}}}],"schema":"https://github.com/citation-style-language/schema/raw/master/csl-citation.json"} </w:instrText>
      </w:r>
      <w:r>
        <w:fldChar w:fldCharType="separate"/>
      </w:r>
      <w:r w:rsidRPr="00B45183">
        <w:t>Hacker et al. (2011)</w:t>
      </w:r>
      <w:r>
        <w:fldChar w:fldCharType="end"/>
      </w:r>
      <w:r>
        <w:t>.</w:t>
      </w:r>
      <w:r w:rsidR="00EC0738">
        <w:t xml:space="preserve"> We gratefully acknowledge the work by Austin Nichols and Stuart Craig to assemble the CPS matched files.</w:t>
      </w:r>
    </w:p>
  </w:footnote>
  <w:footnote w:id="3">
    <w:p w14:paraId="11DC9E6F" w14:textId="19086772" w:rsidR="00B62ADE" w:rsidRDefault="00B62ADE">
      <w:pPr>
        <w:pStyle w:val="FootnoteText"/>
      </w:pPr>
      <w:r>
        <w:rPr>
          <w:rStyle w:val="FootnoteReference"/>
        </w:rPr>
        <w:footnoteRef/>
      </w:r>
      <w:r>
        <w:t xml:space="preserve"> </w:t>
      </w:r>
      <w:r w:rsidRPr="00B62ADE">
        <w:t>This section partially draws from</w:t>
      </w:r>
      <w:r>
        <w:t xml:space="preserve"> </w:t>
      </w:r>
      <w:r>
        <w:fldChar w:fldCharType="begin"/>
      </w:r>
      <w:r w:rsidR="009172BE">
        <w:instrText xml:space="preserve"> ADDIN ZOTERO_ITEM CSL_CITATION {"citationID":"vQ0aRe2X","properties":{"formattedCitation":"(Nichols and Rehm 2014)","plainCitation":"(Nichols and Rehm 2014)","noteIndex":3},"citationItems":[{"id":2016,"uris":["http://zotero.org/users/252130/items/63WARDHQ"],"uri":["http://zotero.org/users/252130/items/63WARDHQ"],"itemData":{"id":2016,"type":"article-journal","title":"Income Risk in 30 Countries","container-title":"Review of Income and Wealth","page":"S98-S116","volume":"60","source":"Wiley Online Library","abstract":"We present a measure of income risk that decomposes income dynamics into long-run inequality, volatility (inter-temporal variability around individual-specific growth rates), and mobility risk (variation in individual-specific growth rates). We measure these income risk components in panel data from 30 rich democracies. We use this comprehensive collection of panel data to analyze long-terms trends in income dynamics for four countries (Canada, Germany, Great Britain, and the United States), and cross-national patterns of income dynamics for an additional 26 countries. We find that tax and transfer systems lower income risk, but less so in the United States than in other comparable countries. We find that higher incomes tend to grow faster and to be more volatile than lower incomes. We find that the United States is exceptional in its level of, and increase in, each type of income risk. Various other measures of mobility are positively correlated with mobility risk.","DOI":"10.1111/roiw.12111","ISSN":"1475-4991","journalAbbreviation":"Review of Income and Wealth","language":"en","author":[{"family":"Nichols","given":"Austin"},{"family":"Rehm","given":"Philipp"}],"issued":{"date-parts":[["2014",5,1]]}}}],"schema":"https://github.com/citation-style-language/schema/raw/master/csl-citation.json"} </w:instrText>
      </w:r>
      <w:r>
        <w:fldChar w:fldCharType="separate"/>
      </w:r>
      <w:r w:rsidRPr="00B62ADE">
        <w:t>(Nichols and Rehm 2014)</w:t>
      </w:r>
      <w:r>
        <w:fldChar w:fldCharType="end"/>
      </w:r>
      <w:r>
        <w:t>.</w:t>
      </w:r>
    </w:p>
  </w:footnote>
  <w:footnote w:id="4">
    <w:p w14:paraId="29AB5AE7" w14:textId="4E98EF48" w:rsidR="007D752B" w:rsidRPr="00D22574" w:rsidRDefault="007D752B" w:rsidP="00D22574">
      <w:pPr>
        <w:pStyle w:val="FootnoteText"/>
      </w:pPr>
      <w:r w:rsidRPr="00152493">
        <w:rPr>
          <w:rStyle w:val="FootnoteReference"/>
        </w:rPr>
        <w:footnoteRef/>
      </w:r>
      <w:r w:rsidRPr="00D22574">
        <w:t xml:space="preserve"> In the PSID, gross income includes labor and property income, and excludes employer-provided </w:t>
      </w:r>
      <w:r w:rsidR="005932B0">
        <w:t>defined-benefit</w:t>
      </w:r>
      <w:r w:rsidR="005932B0" w:rsidRPr="00D22574">
        <w:t xml:space="preserve"> </w:t>
      </w:r>
      <w:r w:rsidRPr="00D22574">
        <w:t>pension benefits, Social Security and other social insurance payments (unemployment and worker’s compensation), the cash value of means-tested transfers and cash-equivalent in-kind benefits (e.g.</w:t>
      </w:r>
      <w:r w:rsidR="005932B0">
        <w:t>,</w:t>
      </w:r>
      <w:r w:rsidRPr="00D22574">
        <w:t xml:space="preserve"> food stamps). Gross income does not include tax liabilities. Net income adds in the excluded social insurance and transfer income, and subtracts tax liabilities (add</w:t>
      </w:r>
      <w:r w:rsidR="005932B0">
        <w:t>ing</w:t>
      </w:r>
      <w:r w:rsidRPr="00D22574">
        <w:t xml:space="preserve"> in tax credits, for those whose net tax liability is negative). Taxes are imputed using TAXSIM Version 9 at </w:t>
      </w:r>
      <w:hyperlink r:id="rId2" w:history="1">
        <w:r w:rsidR="00491873" w:rsidRPr="00B418D3">
          <w:rPr>
            <w:rStyle w:val="Hyperlink"/>
          </w:rPr>
          <w:t>http://www.nber.org/~taxsim</w:t>
        </w:r>
      </w:hyperlink>
      <w:r w:rsidR="00491873">
        <w:t xml:space="preserve"> </w:t>
      </w:r>
      <w:r w:rsidR="00491873">
        <w:fldChar w:fldCharType="begin"/>
      </w:r>
      <w:r w:rsidR="009172BE">
        <w:instrText xml:space="preserve"> ADDIN ZOTERO_ITEM CSL_CITATION {"citationID":"Cwz8moy9","properties":{"formattedCitation":"(see also Feenberg and Coutts 1993)","plainCitation":"(see also Feenberg and Coutts 1993)","noteIndex":4},"citationItems":[{"id":2845,"uris":["http://zotero.org/users/252130/items/JQBUAY4X"],"uri":["http://zotero.org/users/252130/items/JQBUAY4X"],"itemData":{"id":2845,"type":"article-journal","title":"An introduction to the TAXSIM model","container-title":"Journal of Policy Analysis and management","page":"189–194","volume":"12","issue":"1","source":"Google Scholar","author":[{"family":"Feenberg","given":"Daniel"},{"family":"Coutts","given":"Elisabeth"}],"issued":{"date-parts":[["1993"]]}},"prefix":"see also"}],"schema":"https://github.com/citation-style-language/schema/raw/master/csl-citation.json"} </w:instrText>
      </w:r>
      <w:r w:rsidR="00491873">
        <w:fldChar w:fldCharType="separate"/>
      </w:r>
      <w:r w:rsidR="00491873" w:rsidRPr="00491873">
        <w:t>(see also Feenberg and Coutts 1993)</w:t>
      </w:r>
      <w:r w:rsidR="00491873">
        <w:fldChar w:fldCharType="end"/>
      </w:r>
      <w:r w:rsidRPr="00D22574">
        <w:t xml:space="preserve">. Furthermore, we use family income where household income is unavailable. Estimations based on other panel data sources for the </w:t>
      </w:r>
      <w:r w:rsidR="004C6FB7">
        <w:t>United States</w:t>
      </w:r>
      <w:r w:rsidR="004C6FB7" w:rsidRPr="00D22574">
        <w:t xml:space="preserve"> </w:t>
      </w:r>
      <w:r w:rsidRPr="00D22574">
        <w:t>indicate that the choice of household income or family income measured at the individual level has no substantive impact on estimates.</w:t>
      </w:r>
    </w:p>
  </w:footnote>
  <w:footnote w:id="5">
    <w:p w14:paraId="2DCB12D5" w14:textId="77777777" w:rsidR="007D752B" w:rsidRPr="00D22574" w:rsidRDefault="007D752B" w:rsidP="00D22574">
      <w:pPr>
        <w:pStyle w:val="FootnoteText"/>
      </w:pPr>
      <w:r w:rsidRPr="00152493">
        <w:rPr>
          <w:rStyle w:val="FootnoteReference"/>
        </w:rPr>
        <w:footnoteRef/>
      </w:r>
      <w:r w:rsidRPr="00D22574">
        <w:t xml:space="preserve"> Because we rely on a rough indicator of tax rates, the MI data (DI in France and Finland) are likely of lower quality than the DI data in the ECHP.</w:t>
      </w:r>
    </w:p>
  </w:footnote>
  <w:footnote w:id="6">
    <w:p w14:paraId="1AEDEBCC" w14:textId="171EA9C6" w:rsidR="00152493" w:rsidRDefault="00152493" w:rsidP="00152493">
      <w:pPr>
        <w:pStyle w:val="FootnoteText"/>
      </w:pPr>
      <w:r>
        <w:rPr>
          <w:rStyle w:val="FootnoteReference"/>
        </w:rPr>
        <w:footnoteRef/>
      </w:r>
      <w:r>
        <w:t xml:space="preserve"> We pool across all country-</w:t>
      </w:r>
      <w:r w:rsidR="00EC0738">
        <w:t>survey-</w:t>
      </w:r>
      <w:r>
        <w:t xml:space="preserve">years, which are: </w:t>
      </w:r>
      <w:r w:rsidRPr="001923AF">
        <w:t>AUT (2005-2015), BEL (2005-2015), CHE (2012-2015), DNK (2004-2015), ESP (2005-2015), FIN (2005-2015), FRA (2006-2015), GBR (2006-2015), GRC (2008-2015), IRL (2005-2015), ISL (2005-2015), ITA (2008-2015), LUX (2004-2015), NLD (2006-2015), NOR (2004-2015), PRT (2008-2015), SWE (2005-2015</w:t>
      </w:r>
      <w:r w:rsidR="00EC0738">
        <w:t>)</w:t>
      </w:r>
      <w:r>
        <w:t>.</w:t>
      </w:r>
    </w:p>
  </w:footnote>
  <w:footnote w:id="7">
    <w:p w14:paraId="2C41AD8E" w14:textId="5C340A7D" w:rsidR="00910BCD" w:rsidRDefault="00910BCD">
      <w:pPr>
        <w:pStyle w:val="FootnoteText"/>
      </w:pPr>
      <w:r>
        <w:rPr>
          <w:rStyle w:val="FootnoteReference"/>
        </w:rPr>
        <w:footnoteRef/>
      </w:r>
      <w:r>
        <w:t xml:space="preserve"> </w:t>
      </w:r>
      <w:r w:rsidRPr="00910BCD">
        <w:t xml:space="preserve">It is beyond this letter to explore what accounts for the remaining income drops. </w:t>
      </w:r>
      <w:proofErr w:type="gramStart"/>
      <w:r w:rsidRPr="00910BCD">
        <w:t>But</w:t>
      </w:r>
      <w:proofErr w:type="gramEnd"/>
      <w:r w:rsidRPr="00910BCD">
        <w:t xml:space="preserve"> we speculate that changes in jobs, earnings, and work hours account for some of the income drops. Furthermore, some events/triggers might not persist long enough to </w:t>
      </w:r>
      <w:proofErr w:type="gramStart"/>
      <w:r w:rsidRPr="00910BCD">
        <w:t>be recorded</w:t>
      </w:r>
      <w:proofErr w:type="gramEnd"/>
      <w:r w:rsidRPr="00910BCD">
        <w:t xml:space="preserve"> across two waves. </w:t>
      </w:r>
      <w:r w:rsidR="00924546">
        <w:t>O</w:t>
      </w:r>
      <w:r w:rsidRPr="00910BCD">
        <w:t xml:space="preserve">f course, </w:t>
      </w:r>
      <w:r w:rsidR="00924546">
        <w:t xml:space="preserve">some income drops are due to </w:t>
      </w:r>
      <w:r w:rsidRPr="00910BCD">
        <w:t>measurement error.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6B00"/>
    <w:multiLevelType w:val="hybridMultilevel"/>
    <w:tmpl w:val="5AA04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043EE7"/>
    <w:multiLevelType w:val="hybridMultilevel"/>
    <w:tmpl w:val="1DFC9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B80713"/>
    <w:multiLevelType w:val="multilevel"/>
    <w:tmpl w:val="EB768B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4C96907"/>
    <w:multiLevelType w:val="hybridMultilevel"/>
    <w:tmpl w:val="0B6A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53081"/>
    <w:multiLevelType w:val="hybridMultilevel"/>
    <w:tmpl w:val="DE50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A4012D"/>
    <w:multiLevelType w:val="hybridMultilevel"/>
    <w:tmpl w:val="73C83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C64CB1"/>
    <w:multiLevelType w:val="hybridMultilevel"/>
    <w:tmpl w:val="5FAA5348"/>
    <w:lvl w:ilvl="0" w:tplc="DB340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17D83"/>
    <w:multiLevelType w:val="hybridMultilevel"/>
    <w:tmpl w:val="5E96324C"/>
    <w:lvl w:ilvl="0" w:tplc="731A2B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A5FF1"/>
    <w:multiLevelType w:val="hybridMultilevel"/>
    <w:tmpl w:val="C3C4E284"/>
    <w:lvl w:ilvl="0" w:tplc="440A9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9E"/>
    <w:rsid w:val="00004971"/>
    <w:rsid w:val="00022AB3"/>
    <w:rsid w:val="000D1367"/>
    <w:rsid w:val="000F67E0"/>
    <w:rsid w:val="0015186F"/>
    <w:rsid w:val="00152493"/>
    <w:rsid w:val="00156F4C"/>
    <w:rsid w:val="00186747"/>
    <w:rsid w:val="001A0580"/>
    <w:rsid w:val="002342F2"/>
    <w:rsid w:val="00253E41"/>
    <w:rsid w:val="002671A9"/>
    <w:rsid w:val="00391C15"/>
    <w:rsid w:val="00396259"/>
    <w:rsid w:val="003B3066"/>
    <w:rsid w:val="003B3301"/>
    <w:rsid w:val="003D382B"/>
    <w:rsid w:val="004261E8"/>
    <w:rsid w:val="00426F01"/>
    <w:rsid w:val="00465B17"/>
    <w:rsid w:val="00491873"/>
    <w:rsid w:val="004C5DBF"/>
    <w:rsid w:val="004C6FB7"/>
    <w:rsid w:val="004D3EBA"/>
    <w:rsid w:val="004E267D"/>
    <w:rsid w:val="00510AD5"/>
    <w:rsid w:val="00592777"/>
    <w:rsid w:val="005932B0"/>
    <w:rsid w:val="005A2A24"/>
    <w:rsid w:val="005B6C3F"/>
    <w:rsid w:val="005B6F07"/>
    <w:rsid w:val="00640CB1"/>
    <w:rsid w:val="00646831"/>
    <w:rsid w:val="00672878"/>
    <w:rsid w:val="00697AE0"/>
    <w:rsid w:val="006D7CEF"/>
    <w:rsid w:val="006F54DD"/>
    <w:rsid w:val="00704A25"/>
    <w:rsid w:val="007470D6"/>
    <w:rsid w:val="007A5F32"/>
    <w:rsid w:val="007B7465"/>
    <w:rsid w:val="007C5201"/>
    <w:rsid w:val="007D752B"/>
    <w:rsid w:val="008018BC"/>
    <w:rsid w:val="00811071"/>
    <w:rsid w:val="00827C9E"/>
    <w:rsid w:val="008557DB"/>
    <w:rsid w:val="00866405"/>
    <w:rsid w:val="00866F6D"/>
    <w:rsid w:val="008D3FFF"/>
    <w:rsid w:val="008F7EE6"/>
    <w:rsid w:val="009028AF"/>
    <w:rsid w:val="00910BCD"/>
    <w:rsid w:val="009172BE"/>
    <w:rsid w:val="00924546"/>
    <w:rsid w:val="00940C09"/>
    <w:rsid w:val="00944B52"/>
    <w:rsid w:val="00963608"/>
    <w:rsid w:val="00980835"/>
    <w:rsid w:val="009A4DF4"/>
    <w:rsid w:val="009C0595"/>
    <w:rsid w:val="00A346A1"/>
    <w:rsid w:val="00A9636E"/>
    <w:rsid w:val="00B0121E"/>
    <w:rsid w:val="00B45183"/>
    <w:rsid w:val="00B62ADE"/>
    <w:rsid w:val="00B77A4F"/>
    <w:rsid w:val="00B9320D"/>
    <w:rsid w:val="00B951A1"/>
    <w:rsid w:val="00BC4A11"/>
    <w:rsid w:val="00BC781C"/>
    <w:rsid w:val="00BD58E0"/>
    <w:rsid w:val="00C52D7F"/>
    <w:rsid w:val="00CA34EB"/>
    <w:rsid w:val="00CB4A8B"/>
    <w:rsid w:val="00D22574"/>
    <w:rsid w:val="00D67C4C"/>
    <w:rsid w:val="00D7547A"/>
    <w:rsid w:val="00D810EA"/>
    <w:rsid w:val="00DB44FD"/>
    <w:rsid w:val="00E42D9C"/>
    <w:rsid w:val="00EC0738"/>
    <w:rsid w:val="00ED00B4"/>
    <w:rsid w:val="00ED2357"/>
    <w:rsid w:val="00F2218F"/>
    <w:rsid w:val="00F368AE"/>
    <w:rsid w:val="00F42F5A"/>
    <w:rsid w:val="00F7155B"/>
    <w:rsid w:val="00F73BE3"/>
    <w:rsid w:val="00F83B80"/>
    <w:rsid w:val="00F86521"/>
    <w:rsid w:val="00FA40E0"/>
    <w:rsid w:val="00FA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3E75C"/>
  <w15:docId w15:val="{6D3E4C8E-2A68-40DB-9CC6-2603B49E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6A1"/>
    <w:rPr>
      <w:rFonts w:ascii="Times New Roman" w:hAnsi="Times New Roman"/>
      <w:sz w:val="24"/>
      <w:szCs w:val="24"/>
    </w:rPr>
  </w:style>
  <w:style w:type="paragraph" w:styleId="Heading1">
    <w:name w:val="heading 1"/>
    <w:basedOn w:val="Normal"/>
    <w:next w:val="Normal"/>
    <w:link w:val="Heading1Char"/>
    <w:uiPriority w:val="9"/>
    <w:qFormat/>
    <w:rsid w:val="00A346A1"/>
    <w:pPr>
      <w:keepNext/>
      <w:keepLines/>
      <w:numPr>
        <w:numId w:val="1"/>
      </w:numPr>
      <w:ind w:left="0" w:firstLine="0"/>
      <w:outlineLvl w:val="0"/>
    </w:pPr>
    <w:rPr>
      <w:rFonts w:eastAsiaTheme="majorEastAsia"/>
      <w:b/>
      <w:bCs/>
    </w:rPr>
  </w:style>
  <w:style w:type="paragraph" w:styleId="Heading2">
    <w:name w:val="heading 2"/>
    <w:basedOn w:val="Normal"/>
    <w:next w:val="Normal"/>
    <w:link w:val="Heading2Char"/>
    <w:uiPriority w:val="9"/>
    <w:unhideWhenUsed/>
    <w:qFormat/>
    <w:rsid w:val="00A346A1"/>
    <w:pPr>
      <w:keepNext/>
      <w:keepLines/>
      <w:numPr>
        <w:ilvl w:val="1"/>
        <w:numId w:val="1"/>
      </w:numPr>
      <w:outlineLvl w:val="1"/>
    </w:pPr>
    <w:rPr>
      <w:rFonts w:eastAsiaTheme="majorEastAsia"/>
      <w:b/>
      <w:bCs/>
    </w:rPr>
  </w:style>
  <w:style w:type="paragraph" w:styleId="Heading3">
    <w:name w:val="heading 3"/>
    <w:basedOn w:val="Normal"/>
    <w:next w:val="Normal"/>
    <w:link w:val="Heading3Char"/>
    <w:uiPriority w:val="9"/>
    <w:unhideWhenUsed/>
    <w:qFormat/>
    <w:rsid w:val="00A346A1"/>
    <w:pPr>
      <w:keepNext/>
      <w:keepLines/>
      <w:numPr>
        <w:ilvl w:val="2"/>
        <w:numId w:val="1"/>
      </w:numPr>
      <w:outlineLvl w:val="2"/>
    </w:pPr>
    <w:rPr>
      <w:rFonts w:eastAsiaTheme="majorEastAsia"/>
      <w:b/>
      <w:bCs/>
    </w:rPr>
  </w:style>
  <w:style w:type="paragraph" w:styleId="Heading4">
    <w:name w:val="heading 4"/>
    <w:basedOn w:val="Normal"/>
    <w:next w:val="Normal"/>
    <w:link w:val="Heading4Char"/>
    <w:uiPriority w:val="9"/>
    <w:unhideWhenUsed/>
    <w:qFormat/>
    <w:rsid w:val="00A346A1"/>
    <w:pPr>
      <w:keepNext/>
      <w:keepLines/>
      <w:numPr>
        <w:ilvl w:val="3"/>
        <w:numId w:val="1"/>
      </w:numPr>
      <w:outlineLvl w:val="3"/>
    </w:pPr>
    <w:rPr>
      <w:rFonts w:eastAsiaTheme="majorEastAsia"/>
      <w:b/>
      <w:bCs/>
      <w:i/>
      <w:iCs/>
    </w:rPr>
  </w:style>
  <w:style w:type="paragraph" w:styleId="Heading5">
    <w:name w:val="heading 5"/>
    <w:basedOn w:val="Normal"/>
    <w:next w:val="Normal"/>
    <w:link w:val="Heading5Char"/>
    <w:uiPriority w:val="9"/>
    <w:semiHidden/>
    <w:unhideWhenUsed/>
    <w:qFormat/>
    <w:rsid w:val="00A346A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46A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46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46A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46A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F4C"/>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156F4C"/>
    <w:rPr>
      <w:rFonts w:ascii="Times New Roman" w:hAnsi="Times New Roman"/>
      <w:sz w:val="24"/>
      <w:szCs w:val="22"/>
    </w:rPr>
  </w:style>
  <w:style w:type="paragraph" w:styleId="Footer">
    <w:name w:val="footer"/>
    <w:basedOn w:val="Normal"/>
    <w:link w:val="FooterChar"/>
    <w:uiPriority w:val="99"/>
    <w:unhideWhenUsed/>
    <w:rsid w:val="00156F4C"/>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156F4C"/>
    <w:rPr>
      <w:rFonts w:ascii="Times New Roman" w:hAnsi="Times New Roman"/>
      <w:sz w:val="24"/>
      <w:szCs w:val="22"/>
    </w:rPr>
  </w:style>
  <w:style w:type="table" w:customStyle="1" w:styleId="Style1">
    <w:name w:val="Style1"/>
    <w:basedOn w:val="TableList3"/>
    <w:uiPriority w:val="99"/>
    <w:rsid w:val="008F7EE6"/>
    <w:pPr>
      <w:suppressAutoHyphens/>
    </w:pPr>
    <w:rPr>
      <w:rFonts w:ascii="Times New Roman" w:hAnsi="Times New Roman"/>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6F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59"/>
    <w:rsid w:val="0015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46A1"/>
    <w:rPr>
      <w:rFonts w:ascii="Times New Roman" w:eastAsiaTheme="majorEastAsia" w:hAnsi="Times New Roman"/>
      <w:b/>
      <w:bCs/>
      <w:sz w:val="24"/>
      <w:szCs w:val="24"/>
    </w:rPr>
  </w:style>
  <w:style w:type="character" w:customStyle="1" w:styleId="Heading2Char">
    <w:name w:val="Heading 2 Char"/>
    <w:basedOn w:val="DefaultParagraphFont"/>
    <w:link w:val="Heading2"/>
    <w:uiPriority w:val="9"/>
    <w:rsid w:val="00A346A1"/>
    <w:rPr>
      <w:rFonts w:ascii="Times New Roman" w:eastAsiaTheme="majorEastAsia" w:hAnsi="Times New Roman"/>
      <w:b/>
      <w:bCs/>
      <w:sz w:val="24"/>
      <w:szCs w:val="24"/>
    </w:rPr>
  </w:style>
  <w:style w:type="character" w:customStyle="1" w:styleId="Heading3Char">
    <w:name w:val="Heading 3 Char"/>
    <w:basedOn w:val="DefaultParagraphFont"/>
    <w:link w:val="Heading3"/>
    <w:uiPriority w:val="9"/>
    <w:rsid w:val="00A346A1"/>
    <w:rPr>
      <w:rFonts w:ascii="Times New Roman" w:eastAsiaTheme="majorEastAsia" w:hAnsi="Times New Roman"/>
      <w:b/>
      <w:bCs/>
      <w:sz w:val="24"/>
      <w:szCs w:val="24"/>
    </w:rPr>
  </w:style>
  <w:style w:type="character" w:customStyle="1" w:styleId="Heading4Char">
    <w:name w:val="Heading 4 Char"/>
    <w:basedOn w:val="DefaultParagraphFont"/>
    <w:link w:val="Heading4"/>
    <w:uiPriority w:val="9"/>
    <w:rsid w:val="00A346A1"/>
    <w:rPr>
      <w:rFonts w:ascii="Times New Roman" w:eastAsiaTheme="majorEastAsia" w:hAnsi="Times New Roman"/>
      <w:b/>
      <w:bCs/>
      <w:i/>
      <w:iCs/>
      <w:sz w:val="24"/>
      <w:szCs w:val="24"/>
    </w:rPr>
  </w:style>
  <w:style w:type="character" w:customStyle="1" w:styleId="Heading5Char">
    <w:name w:val="Heading 5 Char"/>
    <w:basedOn w:val="DefaultParagraphFont"/>
    <w:link w:val="Heading5"/>
    <w:uiPriority w:val="9"/>
    <w:semiHidden/>
    <w:rsid w:val="00A346A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346A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346A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346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46A1"/>
    <w:rPr>
      <w:rFonts w:asciiTheme="majorHAnsi" w:eastAsiaTheme="majorEastAsia" w:hAnsiTheme="majorHAnsi" w:cstheme="majorBidi"/>
      <w:i/>
      <w:iCs/>
      <w:color w:val="404040" w:themeColor="text1" w:themeTint="BF"/>
    </w:rPr>
  </w:style>
  <w:style w:type="paragraph" w:customStyle="1" w:styleId="Style-1">
    <w:name w:val="Style-1"/>
    <w:rsid w:val="00A346A1"/>
    <w:rPr>
      <w:rFonts w:ascii="Times New Roman" w:hAnsi="Times New Roman"/>
    </w:rPr>
  </w:style>
  <w:style w:type="paragraph" w:styleId="Caption">
    <w:name w:val="caption"/>
    <w:basedOn w:val="Normal"/>
    <w:next w:val="Normal"/>
    <w:uiPriority w:val="35"/>
    <w:unhideWhenUsed/>
    <w:qFormat/>
    <w:rsid w:val="00A346A1"/>
    <w:pPr>
      <w:spacing w:after="200"/>
    </w:pPr>
    <w:rPr>
      <w:b/>
      <w:bCs/>
      <w:color w:val="4F81BD" w:themeColor="accent1"/>
      <w:sz w:val="18"/>
      <w:szCs w:val="18"/>
    </w:rPr>
  </w:style>
  <w:style w:type="paragraph" w:styleId="FootnoteText">
    <w:name w:val="footnote text"/>
    <w:basedOn w:val="Normal"/>
    <w:link w:val="FootnoteTextChar"/>
    <w:uiPriority w:val="99"/>
    <w:unhideWhenUsed/>
    <w:rsid w:val="00A346A1"/>
    <w:rPr>
      <w:sz w:val="20"/>
      <w:szCs w:val="20"/>
    </w:rPr>
  </w:style>
  <w:style w:type="character" w:customStyle="1" w:styleId="FootnoteTextChar">
    <w:name w:val="Footnote Text Char"/>
    <w:basedOn w:val="DefaultParagraphFont"/>
    <w:link w:val="FootnoteText"/>
    <w:uiPriority w:val="99"/>
    <w:rsid w:val="00A346A1"/>
    <w:rPr>
      <w:rFonts w:ascii="Times New Roman" w:hAnsi="Times New Roman"/>
    </w:rPr>
  </w:style>
  <w:style w:type="character" w:styleId="FootnoteReference">
    <w:name w:val="footnote reference"/>
    <w:basedOn w:val="DefaultParagraphFont"/>
    <w:uiPriority w:val="99"/>
    <w:semiHidden/>
    <w:unhideWhenUsed/>
    <w:rsid w:val="00A346A1"/>
    <w:rPr>
      <w:vertAlign w:val="superscript"/>
    </w:rPr>
  </w:style>
  <w:style w:type="paragraph" w:styleId="BodyText">
    <w:name w:val="Body Text"/>
    <w:basedOn w:val="Normal"/>
    <w:link w:val="BodyTextChar"/>
    <w:rsid w:val="00827C9E"/>
    <w:pPr>
      <w:spacing w:after="120"/>
      <w:ind w:firstLine="360"/>
    </w:pPr>
    <w:rPr>
      <w:lang w:val="x-none" w:eastAsia="x-none"/>
    </w:rPr>
  </w:style>
  <w:style w:type="character" w:customStyle="1" w:styleId="BodyTextChar">
    <w:name w:val="Body Text Char"/>
    <w:basedOn w:val="DefaultParagraphFont"/>
    <w:link w:val="BodyText"/>
    <w:rsid w:val="00827C9E"/>
    <w:rPr>
      <w:rFonts w:ascii="Times New Roman" w:hAnsi="Times New Roman"/>
      <w:sz w:val="24"/>
      <w:szCs w:val="24"/>
      <w:lang w:val="x-none" w:eastAsia="x-none"/>
    </w:rPr>
  </w:style>
  <w:style w:type="paragraph" w:styleId="ListParagraph">
    <w:name w:val="List Paragraph"/>
    <w:basedOn w:val="Normal"/>
    <w:uiPriority w:val="34"/>
    <w:qFormat/>
    <w:rsid w:val="00827C9E"/>
    <w:pPr>
      <w:ind w:left="720"/>
      <w:contextualSpacing/>
    </w:pPr>
  </w:style>
  <w:style w:type="character" w:styleId="Hyperlink">
    <w:name w:val="Hyperlink"/>
    <w:basedOn w:val="DefaultParagraphFont"/>
    <w:uiPriority w:val="99"/>
    <w:unhideWhenUsed/>
    <w:rsid w:val="00F7155B"/>
    <w:rPr>
      <w:color w:val="0000FF" w:themeColor="hyperlink"/>
      <w:u w:val="single"/>
    </w:rPr>
  </w:style>
  <w:style w:type="paragraph" w:styleId="Bibliography">
    <w:name w:val="Bibliography"/>
    <w:basedOn w:val="Normal"/>
    <w:next w:val="Normal"/>
    <w:uiPriority w:val="37"/>
    <w:unhideWhenUsed/>
    <w:rsid w:val="004C5DBF"/>
    <w:pPr>
      <w:spacing w:after="240"/>
      <w:ind w:left="720" w:hanging="720"/>
    </w:pPr>
  </w:style>
  <w:style w:type="paragraph" w:styleId="CommentText">
    <w:name w:val="annotation text"/>
    <w:basedOn w:val="Normal"/>
    <w:link w:val="CommentTextChar"/>
    <w:uiPriority w:val="99"/>
    <w:semiHidden/>
    <w:unhideWhenUsed/>
    <w:rsid w:val="00DB44FD"/>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semiHidden/>
    <w:rsid w:val="00DB44FD"/>
    <w:rPr>
      <w:rFonts w:asciiTheme="minorHAnsi" w:eastAsiaTheme="minorEastAsia" w:hAnsiTheme="minorHAnsi" w:cstheme="minorBidi"/>
      <w:sz w:val="24"/>
      <w:szCs w:val="24"/>
      <w:lang w:eastAsia="ja-JP"/>
    </w:rPr>
  </w:style>
  <w:style w:type="character" w:styleId="CommentReference">
    <w:name w:val="annotation reference"/>
    <w:basedOn w:val="DefaultParagraphFont"/>
    <w:uiPriority w:val="99"/>
    <w:semiHidden/>
    <w:unhideWhenUsed/>
    <w:rsid w:val="00DB44FD"/>
    <w:rPr>
      <w:sz w:val="16"/>
      <w:szCs w:val="16"/>
    </w:rPr>
  </w:style>
  <w:style w:type="paragraph" w:styleId="BalloonText">
    <w:name w:val="Balloon Text"/>
    <w:basedOn w:val="Normal"/>
    <w:link w:val="BalloonTextChar"/>
    <w:uiPriority w:val="99"/>
    <w:semiHidden/>
    <w:unhideWhenUsed/>
    <w:rsid w:val="00DB4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752B"/>
    <w:rPr>
      <w:rFonts w:ascii="Times New Roman" w:eastAsia="Times New Roman" w:hAnsi="Times New Roman" w:cs="Times New Roman"/>
      <w:b/>
      <w:bCs/>
      <w:sz w:val="20"/>
      <w:szCs w:val="20"/>
      <w:lang w:eastAsia="en-US"/>
    </w:rPr>
  </w:style>
  <w:style w:type="character" w:customStyle="1" w:styleId="CommentSubjectChar">
    <w:name w:val="Comment Subject Char"/>
    <w:basedOn w:val="CommentTextChar"/>
    <w:link w:val="CommentSubject"/>
    <w:uiPriority w:val="99"/>
    <w:semiHidden/>
    <w:rsid w:val="007D752B"/>
    <w:rPr>
      <w:rFonts w:ascii="Times New Roman" w:eastAsiaTheme="minorEastAsia" w:hAnsi="Times New Roman" w:cstheme="minorBidi"/>
      <w:b/>
      <w:bCs/>
      <w:sz w:val="24"/>
      <w:szCs w:val="24"/>
      <w:lang w:eastAsia="ja-JP"/>
    </w:rPr>
  </w:style>
  <w:style w:type="character" w:styleId="EndnoteReference">
    <w:name w:val="endnote reference"/>
    <w:basedOn w:val="DefaultParagraphFont"/>
    <w:uiPriority w:val="99"/>
    <w:semiHidden/>
    <w:unhideWhenUsed/>
    <w:rsid w:val="00152493"/>
    <w:rPr>
      <w:vertAlign w:val="superscript"/>
    </w:rPr>
  </w:style>
  <w:style w:type="character" w:customStyle="1" w:styleId="citation-select">
    <w:name w:val="citation-select"/>
    <w:basedOn w:val="DefaultParagraphFont"/>
    <w:rsid w:val="004E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ber.org/~taxsim" TargetMode="External"/><Relationship Id="rId1" Type="http://schemas.openxmlformats.org/officeDocument/2006/relationships/hyperlink" Target="https://doi.org/10.7910/DVN/NZTG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4F37-B30F-425F-8678-DE40109C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18</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rehm.16</dc:creator>
  <cp:keywords/>
  <dc:description/>
  <cp:lastModifiedBy>Rehm, Philipp B.</cp:lastModifiedBy>
  <cp:revision>14</cp:revision>
  <cp:lastPrinted>2019-12-05T15:32:00Z</cp:lastPrinted>
  <dcterms:created xsi:type="dcterms:W3CDTF">2019-09-12T16:13:00Z</dcterms:created>
  <dcterms:modified xsi:type="dcterms:W3CDTF">2019-12-18T23:02:00Z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id="ohdFIWKP"/&gt;&lt;style id="http://www.zotero.org/styles/american-political-science-review" hasBibliography="1" bibliographyStyleHasBeenSet="1"/&gt;&lt;prefs&gt;&lt;pref name="fieldType" value="Field"/&gt;&lt;/prefs&gt;&lt;/d</vt:lpwstr>
  </property>
  <property fmtid="{D5CDD505-2E9C-101B-9397-08002B2CF9AE}" pid="3" name="ZOTERO_PREF_2">
    <vt:lpwstr>ata&gt;</vt:lpwstr>
  </property>
</Properties>
</file>