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CC4" w:rsidRPr="0001698C" w:rsidRDefault="00A22588">
      <w:pPr>
        <w:rPr>
          <w:rFonts w:ascii="Times New Roman" w:hAnsi="Times New Roman" w:cs="Times New Roman"/>
          <w:b/>
          <w:sz w:val="24"/>
          <w:szCs w:val="24"/>
        </w:rPr>
      </w:pPr>
      <w:r w:rsidRPr="0001698C">
        <w:rPr>
          <w:rFonts w:ascii="Times New Roman" w:hAnsi="Times New Roman" w:cs="Times New Roman"/>
          <w:b/>
          <w:sz w:val="24"/>
          <w:szCs w:val="24"/>
        </w:rPr>
        <w:t>Appendix 1. Assessing the interactions.</w:t>
      </w:r>
    </w:p>
    <w:p w:rsidR="00A22588" w:rsidRDefault="00A22588">
      <w:pPr>
        <w:rPr>
          <w:b/>
        </w:rPr>
      </w:pPr>
    </w:p>
    <w:p w:rsidR="000D32FD" w:rsidRDefault="00A22588" w:rsidP="00A225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a logistic regression model containing a product interaction  we need to consider both that product interaction (which in this case  is positive) as well as the effect of compression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{"citationItems":[{"id":"ITEM-1","itemData":{"DOI":"10.1017/psrm.2015.59","ISBN":"04251644","ISSN":"2049-8470","PMID":"20383991","abstract":"&lt;p&gt;Previous research in political methodology argues that researchers do not need to include a product term in a logistic regression model to test for interaction if they suspect interaction due to compression alone. I disagree with this claim and offer analytical arguments and simulation evidence that when researchers incorrectly theorize interaction due to compression, models without a product term bias the researcher, sometimes heavily, toward finding interaction. However, simulation studies also show that models with a product term fit a broad range of non-interactive relationships surprisingly well, enabling analysts to remove most of the bias toward finding interaction by simply including a product term.&lt;/p&gt;","author":[{"dropping-particle":"","family":"Rainey","given":"Carlisle","non-dropping-particle":"","parse-names":false,"suffix":""}],"container-title":"Political Science Research and Methods","id":"ITEM-1","issue":"03","issued":{"date-parts":[["2016"]]},"page":"621-639","title":"Compression and Conditional Effects: A Product Term Is Essential When Using Logistic Regression to Test for Interaction","type":"article-journal","volume":"4"},"uris":["http://www.mendeley.com/documents/?uuid=1b1230fb-93fe-41f2-a6fa-4fbe063227a6"]},{"id":"ITEM-2","itemData":{"DOI":"10.1111/ajps.12123","ISSN":"00925853","author":[{"dropping-particle":"","family":"Berry","given":"William D.","non-dropping-particle":"","parse-names":false,"suffix":""},{"dropping-particle":"","family":"DeMeritt","given":"Jacqueline H.R.","non-dropping-particle":"","parse-names":false,"suffix":""},{"dropping-particle":"","family":"Esarey","given":"Justin","non-dropping-particle":"","parse-names":false,"suffix":""}],"container-title":"American Journal of Political Science","id":"ITEM-2","issue":"2","issued":{"date-parts":[["2016","4","1"]]},"page":"521-539","publisher":"Wiley/Blackwell (10.1111)","title":"Bias and Overconfidence in Parametric Models of Interactive Processes*","type":"article-journal","volume":"60"},"uris":["http://www.mendeley.com/documents/?uuid=529a1e9f-8e2c-3ef2-bfe8-05e0d94523db"]}],"mendeley":{"formattedCitation":"(Berry, DeMeritt and Esarey, 2016; Rainey, 2016)","plainTextFormattedCitation":"(Berry, DeMeritt and Esarey, 2016; Rainey, 2016)","previouslyFormattedCitation":"(Berry, DeMeritt and Esarey, 2016; Rainey, 2016)"},"properties":{"noteIndex":0},"schema":"https://github.com/citation-style-language/schema/raw/master/csl-citation.json"}</w:instrText>
      </w:r>
      <w:r>
        <w:rPr>
          <w:rFonts w:ascii="Times New Roman" w:hAnsi="Times New Roman" w:cs="Times New Roman"/>
          <w:sz w:val="24"/>
          <w:szCs w:val="24"/>
        </w:rPr>
        <w:fldChar w:fldCharType="separate"/>
      </w:r>
      <w:r w:rsidRPr="00064281">
        <w:rPr>
          <w:rFonts w:ascii="Times New Roman" w:hAnsi="Times New Roman" w:cs="Times New Roman"/>
          <w:noProof/>
          <w:sz w:val="24"/>
          <w:szCs w:val="24"/>
        </w:rPr>
        <w:t>(Berry, DeMeritt and Esarey, 2016; Rainey, 2016)</w:t>
      </w:r>
      <w:r>
        <w:rPr>
          <w:rFonts w:ascii="Times New Roman" w:hAnsi="Times New Roman" w:cs="Times New Roman"/>
          <w:sz w:val="24"/>
          <w:szCs w:val="24"/>
        </w:rPr>
        <w:fldChar w:fldCharType="end"/>
      </w:r>
      <w:r>
        <w:rPr>
          <w:rFonts w:ascii="Times New Roman" w:hAnsi="Times New Roman" w:cs="Times New Roman"/>
          <w:sz w:val="24"/>
          <w:szCs w:val="24"/>
        </w:rPr>
        <w:t xml:space="preserve">. Closer examination of the evidence shown in Table A1 including the difference in marginal effects and the change in model fit suggest that there is an interactive relationship in the case of spouses and other family, but not so for other relationship types. </w:t>
      </w:r>
      <w:r w:rsidR="000D32FD" w:rsidRPr="000D32FD">
        <w:rPr>
          <w:rFonts w:ascii="Times New Roman" w:hAnsi="Times New Roman" w:cs="Times New Roman"/>
          <w:sz w:val="24"/>
          <w:szCs w:val="24"/>
        </w:rPr>
        <w:t xml:space="preserve">We include a number of model fit measures (log likelihood; AIC etc.) to gauge improvement following the inclusion of the product interaction (see Table 3). Lower AIC values in the spouse model with a product interaction compared with the model without provides support for an improvement in model fit (Burnham and Anderson, 1998) but there is little evidence of any improvement across other relationship types. </w:t>
      </w:r>
    </w:p>
    <w:p w:rsidR="000D32FD" w:rsidRDefault="00A22588" w:rsidP="00A225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the spouse and other family models, the minimum-maximum second difference in marginal effects is significantly greater than zero whether or not an interaction term is  included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{"citationItems":[{"id":"ITEM-1","itemData":{"DOI":"10.1111/ajps.12123","ISSN":"00925853","author":[{"dropping-particle":"","family":"Berry","given":"William D.","non-dropping-particle":"","parse-names":false,"suffix":""},{"dropping-particle":"","family":"DeMeritt","given":"Jacqueline H.R.","non-dropping-particle":"","parse-names":false,"suffix":""},{"dropping-particle":"","family":"Esarey","given":"Justin","non-dropping-particle":"","parse-names":false,"suffix":""}],"container-title":"American Journal of Political Science","id":"ITEM-1","issue":"2","issued":{"date-parts":[["2016","4","1"]]},"page":"521-539","publisher":"Wiley/Blackwell (10.1111)","title":"Bias and Overconfidence in Parametric Models of Interactive Processes*","type":"article-journal","volume":"60"},"uris":["http://www.mendeley.com/documents/?uuid=529a1e9f-8e2c-3ef2-bfe8-05e0d94523db"]}],"mendeley":{"formattedCitation":"(Berry, DeMeritt and Esarey, 2016)","plainTextFormattedCitation":"(Berry, DeMeritt and Esarey, 2016)","previouslyFormattedCitation":"(Berry, DeMeritt and Esarey, 2016)"},"properties":{"noteIndex":0},"schema":"https://github.com/citation-style-language/schema/raw/master/csl-citation.json"}</w:instrText>
      </w:r>
      <w:r>
        <w:rPr>
          <w:rFonts w:ascii="Times New Roman" w:hAnsi="Times New Roman" w:cs="Times New Roman"/>
          <w:sz w:val="24"/>
          <w:szCs w:val="24"/>
        </w:rPr>
        <w:fldChar w:fldCharType="separate"/>
      </w:r>
      <w:r w:rsidRPr="008F4BB8">
        <w:rPr>
          <w:rFonts w:ascii="Times New Roman" w:hAnsi="Times New Roman" w:cs="Times New Roman"/>
          <w:noProof/>
          <w:sz w:val="24"/>
          <w:szCs w:val="24"/>
        </w:rPr>
        <w:t>(Berry, DeMeritt and Esarey,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D32FD">
        <w:rPr>
          <w:rFonts w:ascii="Times New Roman" w:hAnsi="Times New Roman" w:cs="Times New Roman"/>
          <w:sz w:val="24"/>
          <w:szCs w:val="24"/>
        </w:rPr>
        <w:t>The minimum-maximum second difference in marginal effects is calculated as follows:</w:t>
      </w:r>
    </w:p>
    <w:p w:rsidR="000D32FD" w:rsidRDefault="000D32FD" w:rsidP="00A22588">
      <w:pPr>
        <w:spacing w:line="480" w:lineRule="auto"/>
        <w:jc w:val="both"/>
        <w:rPr>
          <w:rFonts w:ascii="Times New Roman" w:hAnsi="Times New Roman" w:cs="Times New Roman"/>
          <w:sz w:val="24"/>
          <w:szCs w:val="24"/>
        </w:rPr>
      </w:pPr>
      <w:r w:rsidRPr="003820CE">
        <w:rPr>
          <w:rFonts w:ascii="Times New Roman" w:hAnsi="Times New Roman" w:cs="Times New Roman"/>
        </w:rPr>
        <w:t>Min-max 2</w:t>
      </w:r>
      <w:r w:rsidRPr="003820CE">
        <w:rPr>
          <w:rFonts w:ascii="Times New Roman" w:hAnsi="Times New Roman" w:cs="Times New Roman"/>
          <w:vertAlign w:val="superscript"/>
        </w:rPr>
        <w:t>nd</w:t>
      </w:r>
      <w:r w:rsidRPr="003820CE">
        <w:rPr>
          <w:rFonts w:ascii="Times New Roman" w:hAnsi="Times New Roman" w:cs="Times New Roman"/>
        </w:rPr>
        <w:t xml:space="preserve"> diff = [pr(Y|X =1, Z=1)- |pr(Y|X =0, Z=1)]- [pr(Y|X =1, Z=0)- |pr(Y|X =0, Z=0)] where Y=turnout, X=Normative Expectations and Z=Empirical Expectations </w:t>
      </w:r>
      <w:r w:rsidRPr="003820CE">
        <w:rPr>
          <w:rFonts w:ascii="Times New Roman" w:hAnsi="Times New Roman" w:cs="Times New Roman"/>
        </w:rPr>
        <w:fldChar w:fldCharType="begin" w:fldLock="1"/>
      </w:r>
      <w:r>
        <w:rPr>
          <w:rFonts w:ascii="Times New Roman" w:hAnsi="Times New Roman" w:cs="Times New Roman"/>
        </w:rPr>
        <w:instrText>ADDIN CSL_CITATION {"citationItems":[{"id":"ITEM-1","itemData":{"DOI":"10.1017/psrm.2015.59","ISBN":"04251644","ISSN":"2049-8470","PMID":"20383991","abstract":"&lt;p&gt;Previous research in political methodology argues that researchers do not need to include a product term in a logistic regression model to test for interaction if they suspect interaction due to compression alone. I disagree with this claim and offer analytical arguments and simulation evidence that when researchers incorrectly theorize interaction due to compression, models without a product term bias the researcher, sometimes heavily, toward finding interaction. However, simulation studies also show that models with a product term fit a broad range of non-interactive relationships surprisingly well, enabling analysts to remove most of the bias toward finding interaction by simply including a product term.&lt;/p&gt;","author":[{"dropping-particle":"","family":"Rainey","given":"Carlisle","non-dropping-particle":"","parse-names":false,"suffix":""}],"container-title":"Political Science Research and Methods","id":"ITEM-1","issue":"03","issued":{"date-parts":[["2016"]]},"page":"621-639","title":"Compression and Conditional Effects: A Product Term Is Essential When Using Logistic Regression to Test for Interaction","type":"article-journal","volume":"4"},"uris":["http://www.mendeley.com/documents/?uuid=1b1230fb-93fe-41f2-a6fa-4fbe063227a6"]},{"id":"ITEM-2","itemData":{"DOI":"10.1111/ajps.12123","ISSN":"00925853","author":[{"dropping-particle":"","family":"Berry","given":"William D.","non-dropping-particle":"","parse-names":false,"suffix":""},{"dropping-particle":"","family":"DeMeritt","given":"Jacqueline H.R.","non-dropping-particle":"","parse-names":false,"suffix":""},{"dropping-particle":"","family":"Esarey","given":"Justin","non-dropping-particle":"","parse-names":false,"suffix":""}],"container-title":"American Journal of Political Science","id":"ITEM-2","issue":"2","issued":{"date-parts":[["2016","4","1"]]},"page":"521-539","publisher":"Wiley/Blackwell (10.1111)","title":"Bias and Overconfidence in Parametric Models of Interactive Processes*","type":"article-journal","volume":"60"},"uris":["http://www.mendeley.com/documents/?uuid=529a1e9f-8e2c-3ef2-bfe8-05e0d94523db"]}],"mendeley":{"formattedCitation":"(Berry, DeMeritt and Esarey, 2016; Rainey, 2016)","plainTextFormattedCitation":"(Berry, DeMeritt and Esarey, 2016; Rainey, 2016)","previouslyFormattedCitation":"(Berry, DeMeritt and Esarey, 2016; Rainey, 2016)"},"properties":{"noteIndex":0},"schema":"https://github.com/citation-style-language/schema/raw/master/csl-citation.json"}</w:instrText>
      </w:r>
      <w:r w:rsidRPr="003820CE">
        <w:rPr>
          <w:rFonts w:ascii="Times New Roman" w:hAnsi="Times New Roman" w:cs="Times New Roman"/>
        </w:rPr>
        <w:fldChar w:fldCharType="separate"/>
      </w:r>
      <w:r w:rsidRPr="003820CE">
        <w:rPr>
          <w:rFonts w:ascii="Times New Roman" w:hAnsi="Times New Roman" w:cs="Times New Roman"/>
          <w:noProof/>
        </w:rPr>
        <w:t>(Berry, DeMeritt and Esarey, 2016; Rainey, 2016)</w:t>
      </w:r>
      <w:r w:rsidRPr="003820CE">
        <w:rPr>
          <w:rFonts w:ascii="Times New Roman" w:hAnsi="Times New Roman" w:cs="Times New Roman"/>
        </w:rPr>
        <w:fldChar w:fldCharType="end"/>
      </w:r>
    </w:p>
    <w:p w:rsidR="00A22588" w:rsidRDefault="00A22588" w:rsidP="00A225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both cases the ceiling effect reduces the impact of normative expectations when empirical expectations are present. However, in the case of spouses this is compensated by a positive and significant product interaction term. In other words, the effect of social approval of voting is greater when a spouse votes, after allowing for the impact of compression. This compensating product-term effect is demonstrated by the more negative minimum-maximum second difference in the model without a product term compared to the model with a product term. </w:t>
      </w:r>
      <w:r>
        <w:rPr>
          <w:rFonts w:ascii="Times New Roman" w:hAnsi="Times New Roman" w:cs="Times New Roman"/>
          <w:sz w:val="24"/>
          <w:szCs w:val="24"/>
        </w:rPr>
        <w:lastRenderedPageBreak/>
        <w:t xml:space="preserve">Similarly, there is a significant negative compression interaction effect for friends when no product term is included but this is negated by adding the product term. This reflects the point made by Rainey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{"citationItems":[{"id":"ITEM-1","itemData":{"DOI":"10.1017/psrm.2015.59","ISBN":"04251644","ISSN":"2049-8470","PMID":"20383991","abstract":"&lt;p&gt;Previous research in political methodology argues that researchers do not need to include a product term in a logistic regression model to test for interaction if they suspect interaction due to compression alone. I disagree with this claim and offer analytical arguments and simulation evidence that when researchers incorrectly theorize interaction due to compression, models without a product term bias the researcher, sometimes heavily, toward finding interaction. However, simulation studies also show that models with a product term fit a broad range of non-interactive relationships surprisingly well, enabling analysts to remove most of the bias toward finding interaction by simply including a product term.&lt;/p&gt;","author":[{"dropping-particle":"","family":"Rainey","given":"Carlisle","non-dropping-particle":"","parse-names":false,"suffix":""}],"container-title":"Political Science Research and Methods","id":"ITEM-1","issue":"03","issued":{"date-parts":[["2016"]]},"page":"621-639","title":"Compression and Conditional Effects: A Product Term Is Essential When Using Logistic Regression to Test for Interaction","type":"article-journal","volume":"4"},"suppress-author":1,"uris":["http://www.mendeley.com/documents/?uuid=1b1230fb-93fe-41f2-a6fa-4fbe063227a6"]}],"mendeley":{"formattedCitation":"(2016)","plainTextFormattedCitation":"(2016)","previouslyFormattedCitation":"(2016)"},"properties":{"noteIndex":0},"schema":"https://github.com/citation-style-language/schema/raw/master/csl-citation.json"}</w:instrText>
      </w:r>
      <w:r>
        <w:rPr>
          <w:rFonts w:ascii="Times New Roman" w:hAnsi="Times New Roman" w:cs="Times New Roman"/>
          <w:sz w:val="24"/>
          <w:szCs w:val="24"/>
        </w:rPr>
        <w:fldChar w:fldCharType="separate"/>
      </w:r>
      <w:r w:rsidRPr="008F4BB8">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that models without a product term can inflate the apparent interaction due to compression. </w:t>
      </w:r>
    </w:p>
    <w:p w:rsidR="00A22588" w:rsidRDefault="00A22588" w:rsidP="00A22588">
      <w:pPr>
        <w:rPr>
          <w:rFonts w:ascii="Times New Roman" w:hAnsi="Times New Roman" w:cs="Times New Roman"/>
          <w:b/>
          <w:sz w:val="24"/>
          <w:szCs w:val="24"/>
        </w:rPr>
      </w:pPr>
    </w:p>
    <w:p w:rsidR="00A22588" w:rsidRPr="0083682A" w:rsidRDefault="00A22588" w:rsidP="00A22588">
      <w:pPr>
        <w:spacing w:line="480" w:lineRule="auto"/>
        <w:jc w:val="both"/>
        <w:rPr>
          <w:rFonts w:ascii="Times New Roman" w:hAnsi="Times New Roman" w:cs="Times New Roman"/>
          <w:b/>
          <w:sz w:val="24"/>
          <w:szCs w:val="24"/>
        </w:rPr>
      </w:pPr>
      <w:r w:rsidRPr="0083682A">
        <w:rPr>
          <w:rFonts w:ascii="Times New Roman" w:hAnsi="Times New Roman" w:cs="Times New Roman"/>
          <w:b/>
          <w:sz w:val="24"/>
          <w:szCs w:val="24"/>
        </w:rPr>
        <w:t xml:space="preserve">Table </w:t>
      </w:r>
      <w:r w:rsidR="003103B8">
        <w:rPr>
          <w:rFonts w:ascii="Times New Roman" w:hAnsi="Times New Roman" w:cs="Times New Roman"/>
          <w:b/>
          <w:sz w:val="24"/>
          <w:szCs w:val="24"/>
        </w:rPr>
        <w:t>A1</w:t>
      </w:r>
      <w:r>
        <w:rPr>
          <w:rFonts w:ascii="Times New Roman" w:hAnsi="Times New Roman" w:cs="Times New Roman"/>
          <w:b/>
          <w:sz w:val="24"/>
          <w:szCs w:val="24"/>
        </w:rPr>
        <w:t>. Diagnosing Interaction T</w:t>
      </w:r>
      <w:r w:rsidRPr="0083682A">
        <w:rPr>
          <w:rFonts w:ascii="Times New Roman" w:hAnsi="Times New Roman" w:cs="Times New Roman"/>
          <w:b/>
          <w:sz w:val="24"/>
          <w:szCs w:val="24"/>
        </w:rPr>
        <w:t>erms</w:t>
      </w:r>
    </w:p>
    <w:tbl>
      <w:tblPr>
        <w:tblStyle w:val="TableGrid"/>
        <w:tblW w:w="10031" w:type="dxa"/>
        <w:tblLayout w:type="fixed"/>
        <w:tblLook w:val="04A0" w:firstRow="1" w:lastRow="0" w:firstColumn="1" w:lastColumn="0" w:noHBand="0" w:noVBand="1"/>
      </w:tblPr>
      <w:tblGrid>
        <w:gridCol w:w="1927"/>
        <w:gridCol w:w="1016"/>
        <w:gridCol w:w="1122"/>
        <w:gridCol w:w="1035"/>
        <w:gridCol w:w="962"/>
        <w:gridCol w:w="992"/>
        <w:gridCol w:w="992"/>
        <w:gridCol w:w="993"/>
        <w:gridCol w:w="992"/>
      </w:tblGrid>
      <w:tr w:rsidR="00A22588" w:rsidTr="00887CA3">
        <w:tc>
          <w:tcPr>
            <w:tcW w:w="1927" w:type="dxa"/>
          </w:tcPr>
          <w:p w:rsidR="00A22588" w:rsidRPr="00245EBE" w:rsidRDefault="00A22588" w:rsidP="00887CA3">
            <w:pPr>
              <w:spacing w:line="480" w:lineRule="auto"/>
              <w:jc w:val="both"/>
              <w:rPr>
                <w:rFonts w:ascii="Garamond" w:hAnsi="Garamond" w:cs="Times New Roman"/>
                <w:sz w:val="20"/>
                <w:szCs w:val="20"/>
              </w:rPr>
            </w:pPr>
          </w:p>
        </w:tc>
        <w:tc>
          <w:tcPr>
            <w:tcW w:w="2138" w:type="dxa"/>
            <w:gridSpan w:val="2"/>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Spouse</w:t>
            </w:r>
          </w:p>
        </w:tc>
        <w:tc>
          <w:tcPr>
            <w:tcW w:w="1997" w:type="dxa"/>
            <w:gridSpan w:val="2"/>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Other family</w:t>
            </w:r>
          </w:p>
        </w:tc>
        <w:tc>
          <w:tcPr>
            <w:tcW w:w="1984" w:type="dxa"/>
            <w:gridSpan w:val="2"/>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Friends</w:t>
            </w:r>
          </w:p>
        </w:tc>
        <w:tc>
          <w:tcPr>
            <w:tcW w:w="1985" w:type="dxa"/>
            <w:gridSpan w:val="2"/>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Neighbours etc</w:t>
            </w:r>
          </w:p>
        </w:tc>
      </w:tr>
      <w:tr w:rsidR="00A22588" w:rsidTr="00887CA3">
        <w:tc>
          <w:tcPr>
            <w:tcW w:w="1927" w:type="dxa"/>
          </w:tcPr>
          <w:p w:rsidR="00A22588" w:rsidRPr="00245EBE" w:rsidRDefault="00A22588" w:rsidP="00887CA3">
            <w:pPr>
              <w:spacing w:line="480" w:lineRule="auto"/>
              <w:jc w:val="both"/>
              <w:rPr>
                <w:rFonts w:ascii="Garamond" w:hAnsi="Garamond" w:cs="Times New Roman"/>
                <w:sz w:val="20"/>
                <w:szCs w:val="20"/>
              </w:rPr>
            </w:pPr>
          </w:p>
        </w:tc>
        <w:tc>
          <w:tcPr>
            <w:tcW w:w="2138" w:type="dxa"/>
            <w:gridSpan w:val="2"/>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Product term</w:t>
            </w:r>
          </w:p>
        </w:tc>
        <w:tc>
          <w:tcPr>
            <w:tcW w:w="1997" w:type="dxa"/>
            <w:gridSpan w:val="2"/>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Product term</w:t>
            </w:r>
          </w:p>
        </w:tc>
        <w:tc>
          <w:tcPr>
            <w:tcW w:w="1984" w:type="dxa"/>
            <w:gridSpan w:val="2"/>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Product term</w:t>
            </w:r>
          </w:p>
        </w:tc>
        <w:tc>
          <w:tcPr>
            <w:tcW w:w="1985" w:type="dxa"/>
            <w:gridSpan w:val="2"/>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Product term</w:t>
            </w:r>
          </w:p>
        </w:tc>
      </w:tr>
      <w:tr w:rsidR="00A22588" w:rsidTr="00887CA3">
        <w:tc>
          <w:tcPr>
            <w:tcW w:w="1927" w:type="dxa"/>
          </w:tcPr>
          <w:p w:rsidR="00A22588" w:rsidRPr="00245EBE" w:rsidRDefault="00A22588" w:rsidP="00887CA3">
            <w:pPr>
              <w:spacing w:line="480" w:lineRule="auto"/>
              <w:jc w:val="both"/>
              <w:rPr>
                <w:rFonts w:ascii="Garamond" w:hAnsi="Garamond" w:cs="Times New Roman"/>
                <w:sz w:val="20"/>
                <w:szCs w:val="20"/>
              </w:rPr>
            </w:pPr>
          </w:p>
        </w:tc>
        <w:tc>
          <w:tcPr>
            <w:tcW w:w="1016"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No</w:t>
            </w:r>
          </w:p>
        </w:tc>
        <w:tc>
          <w:tcPr>
            <w:tcW w:w="1122"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Yes</w:t>
            </w:r>
          </w:p>
        </w:tc>
        <w:tc>
          <w:tcPr>
            <w:tcW w:w="1035"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No</w:t>
            </w:r>
          </w:p>
        </w:tc>
        <w:tc>
          <w:tcPr>
            <w:tcW w:w="962"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Yes</w:t>
            </w:r>
          </w:p>
        </w:tc>
        <w:tc>
          <w:tcPr>
            <w:tcW w:w="992"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No</w:t>
            </w:r>
          </w:p>
        </w:tc>
        <w:tc>
          <w:tcPr>
            <w:tcW w:w="992"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Yes</w:t>
            </w:r>
          </w:p>
        </w:tc>
        <w:tc>
          <w:tcPr>
            <w:tcW w:w="993"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No</w:t>
            </w:r>
          </w:p>
        </w:tc>
        <w:tc>
          <w:tcPr>
            <w:tcW w:w="992"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Yes</w:t>
            </w:r>
          </w:p>
        </w:tc>
      </w:tr>
      <w:tr w:rsidR="00A22588" w:rsidTr="00887CA3">
        <w:tc>
          <w:tcPr>
            <w:tcW w:w="1927"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Pr(Y) EE=0, NE=0</w:t>
            </w:r>
          </w:p>
        </w:tc>
        <w:tc>
          <w:tcPr>
            <w:tcW w:w="1016"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.48 (.01)</w:t>
            </w:r>
          </w:p>
        </w:tc>
        <w:tc>
          <w:tcPr>
            <w:tcW w:w="1122"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.48 (.01)</w:t>
            </w:r>
          </w:p>
        </w:tc>
        <w:tc>
          <w:tcPr>
            <w:tcW w:w="1035"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.67 (.01)</w:t>
            </w:r>
          </w:p>
        </w:tc>
        <w:tc>
          <w:tcPr>
            <w:tcW w:w="962"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.67 (.01)</w:t>
            </w:r>
          </w:p>
        </w:tc>
        <w:tc>
          <w:tcPr>
            <w:tcW w:w="992"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.72 (.01)</w:t>
            </w:r>
          </w:p>
        </w:tc>
        <w:tc>
          <w:tcPr>
            <w:tcW w:w="992"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.72 (.01)</w:t>
            </w:r>
          </w:p>
        </w:tc>
        <w:tc>
          <w:tcPr>
            <w:tcW w:w="993" w:type="dxa"/>
          </w:tcPr>
          <w:p w:rsidR="00A22588" w:rsidRDefault="00A22588" w:rsidP="00887CA3">
            <w:r w:rsidRPr="00485E93">
              <w:rPr>
                <w:rFonts w:ascii="Garamond" w:hAnsi="Garamond" w:cs="Times New Roman"/>
                <w:sz w:val="20"/>
                <w:szCs w:val="20"/>
              </w:rPr>
              <w:t>.72 (.01)</w:t>
            </w:r>
          </w:p>
        </w:tc>
        <w:tc>
          <w:tcPr>
            <w:tcW w:w="992" w:type="dxa"/>
          </w:tcPr>
          <w:p w:rsidR="00A22588" w:rsidRDefault="00A22588" w:rsidP="00887CA3">
            <w:r w:rsidRPr="00485E93">
              <w:rPr>
                <w:rFonts w:ascii="Garamond" w:hAnsi="Garamond" w:cs="Times New Roman"/>
                <w:sz w:val="20"/>
                <w:szCs w:val="20"/>
              </w:rPr>
              <w:t>.72 (.01)</w:t>
            </w:r>
          </w:p>
        </w:tc>
      </w:tr>
      <w:tr w:rsidR="00A22588" w:rsidTr="00887CA3">
        <w:tc>
          <w:tcPr>
            <w:tcW w:w="1927"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Pr(Y) EE=0, NE=1</w:t>
            </w:r>
          </w:p>
        </w:tc>
        <w:tc>
          <w:tcPr>
            <w:tcW w:w="1016"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.65</w:t>
            </w:r>
            <w:r w:rsidRPr="00245EBE">
              <w:rPr>
                <w:rFonts w:ascii="Garamond" w:hAnsi="Garamond" w:cs="Times New Roman"/>
                <w:sz w:val="20"/>
                <w:szCs w:val="20"/>
              </w:rPr>
              <w:t xml:space="preserve"> (.01)</w:t>
            </w:r>
          </w:p>
        </w:tc>
        <w:tc>
          <w:tcPr>
            <w:tcW w:w="1122"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.63 (.02)</w:t>
            </w:r>
          </w:p>
        </w:tc>
        <w:tc>
          <w:tcPr>
            <w:tcW w:w="1035"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.83 (.01)</w:t>
            </w:r>
          </w:p>
        </w:tc>
        <w:tc>
          <w:tcPr>
            <w:tcW w:w="962"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.83 (.01)</w:t>
            </w:r>
          </w:p>
        </w:tc>
        <w:tc>
          <w:tcPr>
            <w:tcW w:w="992"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.83 (.01)</w:t>
            </w:r>
          </w:p>
        </w:tc>
        <w:tc>
          <w:tcPr>
            <w:tcW w:w="992"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.82 (.01)</w:t>
            </w:r>
          </w:p>
        </w:tc>
        <w:tc>
          <w:tcPr>
            <w:tcW w:w="993" w:type="dxa"/>
          </w:tcPr>
          <w:p w:rsidR="00A22588" w:rsidRDefault="00A22588" w:rsidP="00887CA3">
            <w:r>
              <w:rPr>
                <w:rFonts w:ascii="Garamond" w:hAnsi="Garamond" w:cs="Times New Roman"/>
                <w:sz w:val="20"/>
                <w:szCs w:val="20"/>
              </w:rPr>
              <w:t>.79</w:t>
            </w:r>
            <w:r w:rsidRPr="00485E93">
              <w:rPr>
                <w:rFonts w:ascii="Garamond" w:hAnsi="Garamond" w:cs="Times New Roman"/>
                <w:sz w:val="20"/>
                <w:szCs w:val="20"/>
              </w:rPr>
              <w:t xml:space="preserve"> (.01)</w:t>
            </w:r>
          </w:p>
        </w:tc>
        <w:tc>
          <w:tcPr>
            <w:tcW w:w="992" w:type="dxa"/>
          </w:tcPr>
          <w:p w:rsidR="00A22588" w:rsidRDefault="00A22588" w:rsidP="00887CA3">
            <w:r>
              <w:rPr>
                <w:rFonts w:ascii="Garamond" w:hAnsi="Garamond" w:cs="Times New Roman"/>
                <w:sz w:val="20"/>
                <w:szCs w:val="20"/>
              </w:rPr>
              <w:t>.80 (.02</w:t>
            </w:r>
            <w:r w:rsidRPr="00485E93">
              <w:rPr>
                <w:rFonts w:ascii="Garamond" w:hAnsi="Garamond" w:cs="Times New Roman"/>
                <w:sz w:val="20"/>
                <w:szCs w:val="20"/>
              </w:rPr>
              <w:t>)</w:t>
            </w:r>
          </w:p>
        </w:tc>
      </w:tr>
      <w:tr w:rsidR="00A22588" w:rsidTr="00887CA3">
        <w:tc>
          <w:tcPr>
            <w:tcW w:w="1927"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Pr(Y) EE=1, NE=0</w:t>
            </w:r>
          </w:p>
        </w:tc>
        <w:tc>
          <w:tcPr>
            <w:tcW w:w="1016"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.91</w:t>
            </w:r>
            <w:r w:rsidRPr="00245EBE">
              <w:rPr>
                <w:rFonts w:ascii="Garamond" w:hAnsi="Garamond" w:cs="Times New Roman"/>
                <w:sz w:val="20"/>
                <w:szCs w:val="20"/>
              </w:rPr>
              <w:t xml:space="preserve"> (.01)</w:t>
            </w:r>
          </w:p>
        </w:tc>
        <w:tc>
          <w:tcPr>
            <w:tcW w:w="1122"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.90 (.01)</w:t>
            </w:r>
          </w:p>
        </w:tc>
        <w:tc>
          <w:tcPr>
            <w:tcW w:w="1035"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.81 (.01)</w:t>
            </w:r>
          </w:p>
        </w:tc>
        <w:tc>
          <w:tcPr>
            <w:tcW w:w="962"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.81 (.01)</w:t>
            </w:r>
          </w:p>
        </w:tc>
        <w:tc>
          <w:tcPr>
            <w:tcW w:w="992"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.85 (.01)</w:t>
            </w:r>
          </w:p>
        </w:tc>
        <w:tc>
          <w:tcPr>
            <w:tcW w:w="992"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.84 (.01)</w:t>
            </w:r>
          </w:p>
        </w:tc>
        <w:tc>
          <w:tcPr>
            <w:tcW w:w="993"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.84 (.01)</w:t>
            </w:r>
          </w:p>
        </w:tc>
        <w:tc>
          <w:tcPr>
            <w:tcW w:w="992"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.85 (.01)</w:t>
            </w:r>
          </w:p>
        </w:tc>
      </w:tr>
      <w:tr w:rsidR="00A22588" w:rsidTr="00887CA3">
        <w:tc>
          <w:tcPr>
            <w:tcW w:w="1927"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Pr(Y) EE=1, NE=1</w:t>
            </w:r>
          </w:p>
        </w:tc>
        <w:tc>
          <w:tcPr>
            <w:tcW w:w="1016"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.96 (.00)</w:t>
            </w:r>
          </w:p>
        </w:tc>
        <w:tc>
          <w:tcPr>
            <w:tcW w:w="1122"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.96 (.00)</w:t>
            </w:r>
          </w:p>
        </w:tc>
        <w:tc>
          <w:tcPr>
            <w:tcW w:w="1035"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.92 (.00)</w:t>
            </w:r>
          </w:p>
        </w:tc>
        <w:tc>
          <w:tcPr>
            <w:tcW w:w="962"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.91 (.00)</w:t>
            </w:r>
          </w:p>
        </w:tc>
        <w:tc>
          <w:tcPr>
            <w:tcW w:w="992"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.91 (.01)</w:t>
            </w:r>
          </w:p>
        </w:tc>
        <w:tc>
          <w:tcPr>
            <w:tcW w:w="992"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.92 (.01)</w:t>
            </w:r>
          </w:p>
        </w:tc>
        <w:tc>
          <w:tcPr>
            <w:tcW w:w="993"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.88 (.01)</w:t>
            </w:r>
          </w:p>
        </w:tc>
        <w:tc>
          <w:tcPr>
            <w:tcW w:w="992"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.88 (.01)</w:t>
            </w:r>
          </w:p>
        </w:tc>
      </w:tr>
      <w:tr w:rsidR="00A22588" w:rsidTr="00887CA3">
        <w:tc>
          <w:tcPr>
            <w:tcW w:w="1927"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Dy/dx (NE) | EE=0</w:t>
            </w:r>
          </w:p>
        </w:tc>
        <w:tc>
          <w:tcPr>
            <w:tcW w:w="1016"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.17 (.01)</w:t>
            </w:r>
          </w:p>
        </w:tc>
        <w:tc>
          <w:tcPr>
            <w:tcW w:w="1122"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.14 (.02)</w:t>
            </w:r>
          </w:p>
        </w:tc>
        <w:tc>
          <w:tcPr>
            <w:tcW w:w="1035"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.16 (.01)</w:t>
            </w:r>
          </w:p>
        </w:tc>
        <w:tc>
          <w:tcPr>
            <w:tcW w:w="962"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.17 (.01)</w:t>
            </w:r>
          </w:p>
        </w:tc>
        <w:tc>
          <w:tcPr>
            <w:tcW w:w="992"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.11 (.01)</w:t>
            </w:r>
          </w:p>
        </w:tc>
        <w:tc>
          <w:tcPr>
            <w:tcW w:w="992"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.10 (.01)</w:t>
            </w:r>
          </w:p>
        </w:tc>
        <w:tc>
          <w:tcPr>
            <w:tcW w:w="993"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.06 (.01)</w:t>
            </w:r>
          </w:p>
        </w:tc>
        <w:tc>
          <w:tcPr>
            <w:tcW w:w="992"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.08 (.02)</w:t>
            </w:r>
          </w:p>
        </w:tc>
      </w:tr>
      <w:tr w:rsidR="00A22588" w:rsidTr="00887CA3">
        <w:tc>
          <w:tcPr>
            <w:tcW w:w="1927"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Dy/dx (NE) | EE=1</w:t>
            </w:r>
          </w:p>
        </w:tc>
        <w:tc>
          <w:tcPr>
            <w:tcW w:w="1016"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.05 (.00)</w:t>
            </w:r>
          </w:p>
        </w:tc>
        <w:tc>
          <w:tcPr>
            <w:tcW w:w="1122" w:type="dxa"/>
          </w:tcPr>
          <w:p w:rsidR="00A22588" w:rsidRPr="00245EBE" w:rsidRDefault="00A22588" w:rsidP="00887CA3">
            <w:pPr>
              <w:spacing w:line="480" w:lineRule="auto"/>
              <w:jc w:val="both"/>
              <w:rPr>
                <w:rFonts w:ascii="Garamond" w:hAnsi="Garamond" w:cs="Times New Roman"/>
                <w:sz w:val="20"/>
                <w:szCs w:val="20"/>
              </w:rPr>
            </w:pPr>
            <w:r w:rsidRPr="00245EBE">
              <w:rPr>
                <w:rFonts w:ascii="Garamond" w:hAnsi="Garamond" w:cs="Times New Roman"/>
                <w:sz w:val="20"/>
                <w:szCs w:val="20"/>
              </w:rPr>
              <w:t>.06 (.01)</w:t>
            </w:r>
          </w:p>
        </w:tc>
        <w:tc>
          <w:tcPr>
            <w:tcW w:w="1035"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.10 (.01)</w:t>
            </w:r>
          </w:p>
        </w:tc>
        <w:tc>
          <w:tcPr>
            <w:tcW w:w="962"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.10 (.01)</w:t>
            </w:r>
          </w:p>
        </w:tc>
        <w:tc>
          <w:tcPr>
            <w:tcW w:w="992"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.07 (.01)</w:t>
            </w:r>
          </w:p>
        </w:tc>
        <w:tc>
          <w:tcPr>
            <w:tcW w:w="992"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.08 (.01)</w:t>
            </w:r>
          </w:p>
        </w:tc>
        <w:tc>
          <w:tcPr>
            <w:tcW w:w="993"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.04 (.01)</w:t>
            </w:r>
          </w:p>
        </w:tc>
        <w:tc>
          <w:tcPr>
            <w:tcW w:w="992" w:type="dxa"/>
          </w:tcPr>
          <w:p w:rsidR="00A22588" w:rsidRPr="00245EBE"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.03 (.01)</w:t>
            </w:r>
          </w:p>
        </w:tc>
      </w:tr>
      <w:tr w:rsidR="00A22588" w:rsidTr="00887CA3">
        <w:tc>
          <w:tcPr>
            <w:tcW w:w="1927" w:type="dxa"/>
          </w:tcPr>
          <w:p w:rsidR="00A22588" w:rsidRPr="0083682A" w:rsidRDefault="00A22588" w:rsidP="00887CA3">
            <w:pPr>
              <w:spacing w:line="480" w:lineRule="auto"/>
              <w:jc w:val="both"/>
              <w:rPr>
                <w:rFonts w:ascii="Garamond" w:hAnsi="Garamond" w:cs="Times New Roman"/>
                <w:sz w:val="20"/>
                <w:szCs w:val="20"/>
              </w:rPr>
            </w:pPr>
            <w:r w:rsidRPr="0083682A">
              <w:rPr>
                <w:rFonts w:ascii="Garamond" w:hAnsi="Garamond" w:cs="Times New Roman"/>
                <w:sz w:val="20"/>
                <w:szCs w:val="20"/>
              </w:rPr>
              <w:t>Log Likelihood</w:t>
            </w:r>
          </w:p>
        </w:tc>
        <w:tc>
          <w:tcPr>
            <w:tcW w:w="1016" w:type="dxa"/>
          </w:tcPr>
          <w:p w:rsidR="00A22588" w:rsidRPr="0083682A" w:rsidRDefault="00A22588" w:rsidP="00887CA3">
            <w:pPr>
              <w:spacing w:line="480" w:lineRule="auto"/>
              <w:jc w:val="both"/>
              <w:rPr>
                <w:rFonts w:ascii="Garamond" w:hAnsi="Garamond" w:cs="Times New Roman"/>
                <w:sz w:val="20"/>
                <w:szCs w:val="20"/>
              </w:rPr>
            </w:pPr>
            <w:r w:rsidRPr="0083682A">
              <w:rPr>
                <w:rFonts w:ascii="Garamond" w:hAnsi="Garamond" w:cs="Times New Roman"/>
                <w:sz w:val="20"/>
                <w:szCs w:val="20"/>
              </w:rPr>
              <w:t>-3535.54</w:t>
            </w:r>
          </w:p>
        </w:tc>
        <w:tc>
          <w:tcPr>
            <w:tcW w:w="1122" w:type="dxa"/>
          </w:tcPr>
          <w:p w:rsidR="00A22588" w:rsidRPr="0083682A" w:rsidRDefault="00A22588" w:rsidP="00887CA3">
            <w:pPr>
              <w:spacing w:line="480" w:lineRule="auto"/>
              <w:jc w:val="both"/>
              <w:rPr>
                <w:rFonts w:ascii="Garamond" w:hAnsi="Garamond" w:cs="Times New Roman"/>
                <w:sz w:val="20"/>
                <w:szCs w:val="20"/>
              </w:rPr>
            </w:pPr>
            <w:r w:rsidRPr="0083682A">
              <w:rPr>
                <w:rFonts w:ascii="Garamond" w:hAnsi="Garamond" w:cs="Times New Roman"/>
                <w:sz w:val="20"/>
                <w:szCs w:val="20"/>
              </w:rPr>
              <w:t>-3531.44</w:t>
            </w:r>
          </w:p>
        </w:tc>
        <w:tc>
          <w:tcPr>
            <w:tcW w:w="1035" w:type="dxa"/>
          </w:tcPr>
          <w:p w:rsidR="00A22588" w:rsidRPr="0083682A" w:rsidRDefault="00A22588" w:rsidP="00887CA3">
            <w:pPr>
              <w:spacing w:line="480" w:lineRule="auto"/>
              <w:jc w:val="both"/>
              <w:rPr>
                <w:rFonts w:ascii="Garamond" w:hAnsi="Garamond" w:cs="Times New Roman"/>
                <w:sz w:val="20"/>
                <w:szCs w:val="20"/>
              </w:rPr>
            </w:pPr>
            <w:r w:rsidRPr="0083682A">
              <w:rPr>
                <w:rFonts w:ascii="Garamond" w:hAnsi="Garamond" w:cs="Times New Roman"/>
                <w:sz w:val="20"/>
                <w:szCs w:val="20"/>
              </w:rPr>
              <w:t>-3840.84</w:t>
            </w:r>
          </w:p>
        </w:tc>
        <w:tc>
          <w:tcPr>
            <w:tcW w:w="962" w:type="dxa"/>
          </w:tcPr>
          <w:p w:rsidR="00A22588" w:rsidRPr="0083682A" w:rsidRDefault="00A22588" w:rsidP="00887CA3">
            <w:pPr>
              <w:spacing w:line="480" w:lineRule="auto"/>
              <w:jc w:val="both"/>
              <w:rPr>
                <w:rFonts w:ascii="Garamond" w:hAnsi="Garamond" w:cs="Times New Roman"/>
                <w:sz w:val="20"/>
                <w:szCs w:val="20"/>
              </w:rPr>
            </w:pPr>
            <w:r w:rsidRPr="0083682A">
              <w:rPr>
                <w:rFonts w:ascii="Garamond" w:hAnsi="Garamond" w:cs="Times New Roman"/>
                <w:sz w:val="20"/>
                <w:szCs w:val="20"/>
              </w:rPr>
              <w:t>-3840.70</w:t>
            </w:r>
          </w:p>
        </w:tc>
        <w:tc>
          <w:tcPr>
            <w:tcW w:w="992" w:type="dxa"/>
          </w:tcPr>
          <w:p w:rsidR="00A22588" w:rsidRPr="0083682A" w:rsidRDefault="00A22588" w:rsidP="00887CA3">
            <w:pPr>
              <w:spacing w:line="480" w:lineRule="auto"/>
              <w:jc w:val="both"/>
              <w:rPr>
                <w:rFonts w:ascii="Garamond" w:hAnsi="Garamond" w:cs="Times New Roman"/>
                <w:sz w:val="20"/>
                <w:szCs w:val="20"/>
              </w:rPr>
            </w:pPr>
            <w:r w:rsidRPr="0083682A">
              <w:rPr>
                <w:rFonts w:ascii="Garamond" w:hAnsi="Garamond" w:cs="Times New Roman"/>
                <w:sz w:val="20"/>
                <w:szCs w:val="20"/>
              </w:rPr>
              <w:t>-3746.49</w:t>
            </w:r>
          </w:p>
        </w:tc>
        <w:tc>
          <w:tcPr>
            <w:tcW w:w="992" w:type="dxa"/>
          </w:tcPr>
          <w:p w:rsidR="00A22588" w:rsidRPr="0083682A" w:rsidRDefault="00A22588" w:rsidP="00887CA3">
            <w:pPr>
              <w:spacing w:line="480" w:lineRule="auto"/>
              <w:jc w:val="both"/>
              <w:rPr>
                <w:rFonts w:ascii="Garamond" w:hAnsi="Garamond" w:cs="Times New Roman"/>
                <w:sz w:val="20"/>
                <w:szCs w:val="20"/>
              </w:rPr>
            </w:pPr>
            <w:r w:rsidRPr="0083682A">
              <w:rPr>
                <w:rFonts w:ascii="Garamond" w:hAnsi="Garamond" w:cs="Times New Roman"/>
                <w:sz w:val="20"/>
                <w:szCs w:val="20"/>
              </w:rPr>
              <w:t>-3745.24</w:t>
            </w:r>
          </w:p>
        </w:tc>
        <w:tc>
          <w:tcPr>
            <w:tcW w:w="993" w:type="dxa"/>
          </w:tcPr>
          <w:p w:rsidR="00A22588" w:rsidRPr="0083682A" w:rsidRDefault="00A22588" w:rsidP="00887CA3">
            <w:pPr>
              <w:spacing w:line="480" w:lineRule="auto"/>
              <w:jc w:val="both"/>
              <w:rPr>
                <w:rFonts w:ascii="Garamond" w:hAnsi="Garamond" w:cs="Times New Roman"/>
                <w:sz w:val="20"/>
                <w:szCs w:val="20"/>
              </w:rPr>
            </w:pPr>
            <w:r w:rsidRPr="0083682A">
              <w:rPr>
                <w:rFonts w:ascii="Garamond" w:hAnsi="Garamond" w:cs="Times New Roman"/>
                <w:sz w:val="20"/>
                <w:szCs w:val="20"/>
              </w:rPr>
              <w:t>-2518.33</w:t>
            </w:r>
          </w:p>
        </w:tc>
        <w:tc>
          <w:tcPr>
            <w:tcW w:w="992" w:type="dxa"/>
          </w:tcPr>
          <w:p w:rsidR="00A22588" w:rsidRPr="0083682A" w:rsidRDefault="00A22588" w:rsidP="00887CA3">
            <w:pPr>
              <w:spacing w:line="480" w:lineRule="auto"/>
              <w:jc w:val="both"/>
              <w:rPr>
                <w:rFonts w:ascii="Garamond" w:hAnsi="Garamond" w:cs="Times New Roman"/>
                <w:sz w:val="20"/>
                <w:szCs w:val="20"/>
              </w:rPr>
            </w:pPr>
            <w:r w:rsidRPr="0083682A">
              <w:rPr>
                <w:rFonts w:ascii="Garamond" w:hAnsi="Garamond" w:cs="Times New Roman"/>
                <w:sz w:val="20"/>
                <w:szCs w:val="20"/>
              </w:rPr>
              <w:t>-2517.52</w:t>
            </w:r>
          </w:p>
        </w:tc>
      </w:tr>
      <w:tr w:rsidR="00A22588" w:rsidTr="00887CA3">
        <w:tc>
          <w:tcPr>
            <w:tcW w:w="1927" w:type="dxa"/>
          </w:tcPr>
          <w:p w:rsidR="00A22588" w:rsidRPr="0083682A" w:rsidRDefault="00A22588" w:rsidP="00887CA3">
            <w:pPr>
              <w:spacing w:line="480" w:lineRule="auto"/>
              <w:jc w:val="both"/>
              <w:rPr>
                <w:rFonts w:ascii="Garamond" w:hAnsi="Garamond" w:cs="Times New Roman"/>
                <w:sz w:val="20"/>
                <w:szCs w:val="20"/>
              </w:rPr>
            </w:pPr>
            <w:r w:rsidRPr="0083682A">
              <w:rPr>
                <w:rFonts w:ascii="Garamond" w:hAnsi="Garamond" w:cs="Times New Roman"/>
                <w:sz w:val="20"/>
                <w:szCs w:val="20"/>
              </w:rPr>
              <w:t>AIC</w:t>
            </w:r>
          </w:p>
        </w:tc>
        <w:tc>
          <w:tcPr>
            <w:tcW w:w="1016" w:type="dxa"/>
          </w:tcPr>
          <w:p w:rsidR="00A22588" w:rsidRPr="0083682A" w:rsidRDefault="00A22588" w:rsidP="00887CA3">
            <w:pPr>
              <w:spacing w:line="480" w:lineRule="auto"/>
              <w:jc w:val="both"/>
              <w:rPr>
                <w:rFonts w:ascii="Garamond" w:hAnsi="Garamond" w:cs="Times New Roman"/>
                <w:sz w:val="20"/>
                <w:szCs w:val="20"/>
              </w:rPr>
            </w:pPr>
            <w:r w:rsidRPr="0083682A">
              <w:rPr>
                <w:rFonts w:ascii="Garamond" w:hAnsi="Garamond" w:cs="Times New Roman"/>
                <w:sz w:val="20"/>
                <w:szCs w:val="20"/>
              </w:rPr>
              <w:t>7105.08</w:t>
            </w:r>
          </w:p>
        </w:tc>
        <w:tc>
          <w:tcPr>
            <w:tcW w:w="1122" w:type="dxa"/>
          </w:tcPr>
          <w:p w:rsidR="00A22588" w:rsidRPr="0083682A" w:rsidRDefault="00A22588" w:rsidP="00887CA3">
            <w:pPr>
              <w:spacing w:line="480" w:lineRule="auto"/>
              <w:jc w:val="both"/>
              <w:rPr>
                <w:rFonts w:ascii="Garamond" w:hAnsi="Garamond" w:cs="Times New Roman"/>
                <w:sz w:val="20"/>
                <w:szCs w:val="20"/>
              </w:rPr>
            </w:pPr>
            <w:r w:rsidRPr="0083682A">
              <w:rPr>
                <w:rFonts w:ascii="Garamond" w:hAnsi="Garamond" w:cs="Times New Roman"/>
                <w:sz w:val="20"/>
                <w:szCs w:val="20"/>
              </w:rPr>
              <w:t>7098.89</w:t>
            </w:r>
          </w:p>
        </w:tc>
        <w:tc>
          <w:tcPr>
            <w:tcW w:w="1035" w:type="dxa"/>
          </w:tcPr>
          <w:p w:rsidR="00A22588" w:rsidRPr="0083682A" w:rsidRDefault="00A22588" w:rsidP="00887CA3">
            <w:pPr>
              <w:spacing w:line="480" w:lineRule="auto"/>
              <w:jc w:val="both"/>
              <w:rPr>
                <w:rFonts w:ascii="Garamond" w:hAnsi="Garamond" w:cs="Times New Roman"/>
                <w:sz w:val="20"/>
                <w:szCs w:val="20"/>
              </w:rPr>
            </w:pPr>
            <w:r w:rsidRPr="0083682A">
              <w:rPr>
                <w:rFonts w:ascii="Garamond" w:hAnsi="Garamond" w:cs="Times New Roman"/>
                <w:sz w:val="20"/>
                <w:szCs w:val="20"/>
              </w:rPr>
              <w:t>7715.67</w:t>
            </w:r>
          </w:p>
        </w:tc>
        <w:tc>
          <w:tcPr>
            <w:tcW w:w="962" w:type="dxa"/>
          </w:tcPr>
          <w:p w:rsidR="00A22588" w:rsidRPr="0083682A" w:rsidRDefault="00A22588" w:rsidP="00887CA3">
            <w:pPr>
              <w:spacing w:line="480" w:lineRule="auto"/>
              <w:jc w:val="both"/>
              <w:rPr>
                <w:rFonts w:ascii="Garamond" w:hAnsi="Garamond" w:cs="Times New Roman"/>
                <w:sz w:val="20"/>
                <w:szCs w:val="20"/>
              </w:rPr>
            </w:pPr>
            <w:r w:rsidRPr="0083682A">
              <w:rPr>
                <w:rFonts w:ascii="Garamond" w:hAnsi="Garamond" w:cs="Times New Roman"/>
                <w:sz w:val="20"/>
                <w:szCs w:val="20"/>
              </w:rPr>
              <w:t>7717.41</w:t>
            </w:r>
          </w:p>
        </w:tc>
        <w:tc>
          <w:tcPr>
            <w:tcW w:w="992" w:type="dxa"/>
          </w:tcPr>
          <w:p w:rsidR="00A22588" w:rsidRPr="0083682A" w:rsidRDefault="00A22588" w:rsidP="00887CA3">
            <w:pPr>
              <w:spacing w:line="480" w:lineRule="auto"/>
              <w:jc w:val="both"/>
              <w:rPr>
                <w:rFonts w:ascii="Garamond" w:hAnsi="Garamond" w:cs="Times New Roman"/>
                <w:sz w:val="20"/>
                <w:szCs w:val="20"/>
              </w:rPr>
            </w:pPr>
            <w:r w:rsidRPr="0083682A">
              <w:rPr>
                <w:rFonts w:ascii="Garamond" w:hAnsi="Garamond" w:cs="Times New Roman"/>
                <w:sz w:val="20"/>
                <w:szCs w:val="20"/>
              </w:rPr>
              <w:t>7526.98</w:t>
            </w:r>
          </w:p>
        </w:tc>
        <w:tc>
          <w:tcPr>
            <w:tcW w:w="992" w:type="dxa"/>
          </w:tcPr>
          <w:p w:rsidR="00A22588" w:rsidRPr="0083682A" w:rsidRDefault="00A22588" w:rsidP="00887CA3">
            <w:pPr>
              <w:spacing w:line="480" w:lineRule="auto"/>
              <w:jc w:val="both"/>
              <w:rPr>
                <w:rFonts w:ascii="Garamond" w:hAnsi="Garamond" w:cs="Times New Roman"/>
                <w:sz w:val="20"/>
                <w:szCs w:val="20"/>
              </w:rPr>
            </w:pPr>
            <w:r w:rsidRPr="0083682A">
              <w:rPr>
                <w:rFonts w:ascii="Garamond" w:hAnsi="Garamond" w:cs="Times New Roman"/>
                <w:sz w:val="20"/>
                <w:szCs w:val="20"/>
              </w:rPr>
              <w:t>7526.48</w:t>
            </w:r>
          </w:p>
        </w:tc>
        <w:tc>
          <w:tcPr>
            <w:tcW w:w="993" w:type="dxa"/>
          </w:tcPr>
          <w:p w:rsidR="00A22588" w:rsidRPr="0083682A" w:rsidRDefault="00A22588" w:rsidP="00887CA3">
            <w:pPr>
              <w:spacing w:line="480" w:lineRule="auto"/>
              <w:jc w:val="both"/>
              <w:rPr>
                <w:rFonts w:ascii="Garamond" w:hAnsi="Garamond" w:cs="Times New Roman"/>
                <w:sz w:val="20"/>
                <w:szCs w:val="20"/>
              </w:rPr>
            </w:pPr>
            <w:r w:rsidRPr="0083682A">
              <w:rPr>
                <w:rFonts w:ascii="Garamond" w:hAnsi="Garamond" w:cs="Times New Roman"/>
                <w:sz w:val="20"/>
                <w:szCs w:val="20"/>
              </w:rPr>
              <w:t>5070.67</w:t>
            </w:r>
          </w:p>
        </w:tc>
        <w:tc>
          <w:tcPr>
            <w:tcW w:w="992" w:type="dxa"/>
          </w:tcPr>
          <w:p w:rsidR="00A22588" w:rsidRPr="0083682A" w:rsidRDefault="00A22588" w:rsidP="00887CA3">
            <w:pPr>
              <w:spacing w:line="480" w:lineRule="auto"/>
              <w:jc w:val="both"/>
              <w:rPr>
                <w:rFonts w:ascii="Garamond" w:hAnsi="Garamond" w:cs="Times New Roman"/>
                <w:sz w:val="20"/>
                <w:szCs w:val="20"/>
              </w:rPr>
            </w:pPr>
            <w:r w:rsidRPr="0083682A">
              <w:rPr>
                <w:rFonts w:ascii="Garamond" w:hAnsi="Garamond" w:cs="Times New Roman"/>
                <w:sz w:val="20"/>
                <w:szCs w:val="20"/>
              </w:rPr>
              <w:t>5071.05</w:t>
            </w:r>
          </w:p>
        </w:tc>
      </w:tr>
      <w:tr w:rsidR="00A22588" w:rsidTr="00887CA3">
        <w:tc>
          <w:tcPr>
            <w:tcW w:w="1927" w:type="dxa"/>
          </w:tcPr>
          <w:p w:rsidR="00A22588" w:rsidRPr="0083682A" w:rsidRDefault="00A22588" w:rsidP="00887CA3">
            <w:pPr>
              <w:spacing w:line="480" w:lineRule="auto"/>
              <w:jc w:val="both"/>
              <w:rPr>
                <w:rFonts w:ascii="Garamond" w:hAnsi="Garamond" w:cs="Times New Roman"/>
                <w:sz w:val="20"/>
                <w:szCs w:val="20"/>
              </w:rPr>
            </w:pPr>
            <w:r w:rsidRPr="0083682A">
              <w:rPr>
                <w:rFonts w:ascii="Garamond" w:hAnsi="Garamond" w:cs="Times New Roman"/>
                <w:sz w:val="20"/>
                <w:szCs w:val="20"/>
              </w:rPr>
              <w:t>Min-Max 2</w:t>
            </w:r>
            <w:r w:rsidRPr="0083682A">
              <w:rPr>
                <w:rFonts w:ascii="Garamond" w:hAnsi="Garamond" w:cs="Times New Roman"/>
                <w:sz w:val="20"/>
                <w:szCs w:val="20"/>
                <w:vertAlign w:val="superscript"/>
              </w:rPr>
              <w:t>nd</w:t>
            </w:r>
            <w:r w:rsidRPr="0083682A">
              <w:rPr>
                <w:rFonts w:ascii="Garamond" w:hAnsi="Garamond" w:cs="Times New Roman"/>
                <w:sz w:val="20"/>
                <w:szCs w:val="20"/>
              </w:rPr>
              <w:t xml:space="preserve"> Diff</w:t>
            </w:r>
          </w:p>
        </w:tc>
        <w:tc>
          <w:tcPr>
            <w:tcW w:w="1016" w:type="dxa"/>
          </w:tcPr>
          <w:p w:rsidR="00A22588" w:rsidRPr="0083682A"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 xml:space="preserve">-0.13* </w:t>
            </w:r>
          </w:p>
        </w:tc>
        <w:tc>
          <w:tcPr>
            <w:tcW w:w="1122" w:type="dxa"/>
          </w:tcPr>
          <w:p w:rsidR="00A22588" w:rsidRPr="0083682A"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 xml:space="preserve">-0.08*  </w:t>
            </w:r>
          </w:p>
        </w:tc>
        <w:tc>
          <w:tcPr>
            <w:tcW w:w="1035" w:type="dxa"/>
          </w:tcPr>
          <w:p w:rsidR="00A22588" w:rsidRPr="0083682A" w:rsidRDefault="00A22588" w:rsidP="00887CA3">
            <w:pPr>
              <w:spacing w:line="480" w:lineRule="auto"/>
              <w:jc w:val="both"/>
              <w:rPr>
                <w:rFonts w:ascii="Garamond" w:hAnsi="Garamond" w:cs="Times New Roman"/>
                <w:sz w:val="20"/>
                <w:szCs w:val="20"/>
              </w:rPr>
            </w:pPr>
            <w:r w:rsidRPr="0083682A">
              <w:rPr>
                <w:rFonts w:ascii="Garamond" w:hAnsi="Garamond" w:cs="Times New Roman"/>
                <w:sz w:val="20"/>
                <w:szCs w:val="20"/>
              </w:rPr>
              <w:t>-0.06</w:t>
            </w:r>
            <w:r>
              <w:rPr>
                <w:rFonts w:ascii="Garamond" w:hAnsi="Garamond" w:cs="Times New Roman"/>
                <w:sz w:val="20"/>
                <w:szCs w:val="20"/>
              </w:rPr>
              <w:t>*</w:t>
            </w:r>
          </w:p>
        </w:tc>
        <w:tc>
          <w:tcPr>
            <w:tcW w:w="962" w:type="dxa"/>
          </w:tcPr>
          <w:p w:rsidR="00A22588" w:rsidRPr="0083682A"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w:t>
            </w:r>
            <w:r w:rsidRPr="0083682A">
              <w:rPr>
                <w:rFonts w:ascii="Garamond" w:hAnsi="Garamond" w:cs="Times New Roman"/>
                <w:sz w:val="20"/>
                <w:szCs w:val="20"/>
              </w:rPr>
              <w:t>0.07</w:t>
            </w:r>
            <w:r>
              <w:rPr>
                <w:rFonts w:ascii="Garamond" w:hAnsi="Garamond" w:cs="Times New Roman"/>
                <w:sz w:val="20"/>
                <w:szCs w:val="20"/>
              </w:rPr>
              <w:t>*</w:t>
            </w:r>
          </w:p>
        </w:tc>
        <w:tc>
          <w:tcPr>
            <w:tcW w:w="992" w:type="dxa"/>
          </w:tcPr>
          <w:p w:rsidR="00A22588" w:rsidRPr="0083682A"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-0.06*</w:t>
            </w:r>
          </w:p>
        </w:tc>
        <w:tc>
          <w:tcPr>
            <w:tcW w:w="992" w:type="dxa"/>
          </w:tcPr>
          <w:p w:rsidR="00A22588" w:rsidRPr="0083682A" w:rsidRDefault="00A22588" w:rsidP="00887CA3">
            <w:pPr>
              <w:spacing w:line="480" w:lineRule="auto"/>
              <w:rPr>
                <w:rFonts w:ascii="Garamond" w:hAnsi="Garamond" w:cs="Times New Roman"/>
                <w:sz w:val="20"/>
                <w:szCs w:val="20"/>
              </w:rPr>
            </w:pPr>
            <w:r>
              <w:rPr>
                <w:rFonts w:ascii="Garamond" w:hAnsi="Garamond" w:cs="Times New Roman"/>
                <w:sz w:val="20"/>
                <w:szCs w:val="20"/>
              </w:rPr>
              <w:t>-</w:t>
            </w:r>
            <w:r w:rsidRPr="0083682A">
              <w:rPr>
                <w:rFonts w:ascii="Garamond" w:hAnsi="Garamond" w:cs="Times New Roman"/>
                <w:sz w:val="20"/>
                <w:szCs w:val="20"/>
              </w:rPr>
              <w:t>0.02</w:t>
            </w:r>
          </w:p>
        </w:tc>
        <w:tc>
          <w:tcPr>
            <w:tcW w:w="993" w:type="dxa"/>
          </w:tcPr>
          <w:p w:rsidR="00A22588" w:rsidRPr="0083682A" w:rsidRDefault="00A22588" w:rsidP="00887CA3">
            <w:pPr>
              <w:spacing w:line="480" w:lineRule="auto"/>
              <w:rPr>
                <w:rFonts w:ascii="Garamond" w:hAnsi="Garamond" w:cs="Times New Roman"/>
                <w:sz w:val="20"/>
                <w:szCs w:val="20"/>
              </w:rPr>
            </w:pPr>
            <w:r>
              <w:rPr>
                <w:rFonts w:ascii="Garamond" w:hAnsi="Garamond" w:cs="Times New Roman"/>
                <w:sz w:val="20"/>
                <w:szCs w:val="20"/>
              </w:rPr>
              <w:t>-</w:t>
            </w:r>
            <w:r w:rsidRPr="0083682A">
              <w:rPr>
                <w:rFonts w:ascii="Garamond" w:hAnsi="Garamond" w:cs="Times New Roman"/>
                <w:sz w:val="20"/>
                <w:szCs w:val="20"/>
              </w:rPr>
              <w:t>0.02</w:t>
            </w:r>
          </w:p>
        </w:tc>
        <w:tc>
          <w:tcPr>
            <w:tcW w:w="992" w:type="dxa"/>
          </w:tcPr>
          <w:p w:rsidR="00A22588" w:rsidRPr="0083682A" w:rsidRDefault="00A22588" w:rsidP="00887CA3">
            <w:pPr>
              <w:spacing w:line="480" w:lineRule="auto"/>
              <w:jc w:val="both"/>
              <w:rPr>
                <w:rFonts w:ascii="Garamond" w:hAnsi="Garamond" w:cs="Times New Roman"/>
                <w:sz w:val="20"/>
                <w:szCs w:val="20"/>
              </w:rPr>
            </w:pPr>
            <w:r>
              <w:rPr>
                <w:rFonts w:ascii="Garamond" w:hAnsi="Garamond" w:cs="Times New Roman"/>
                <w:sz w:val="20"/>
                <w:szCs w:val="20"/>
              </w:rPr>
              <w:t>-</w:t>
            </w:r>
            <w:r w:rsidRPr="0083682A">
              <w:rPr>
                <w:rFonts w:ascii="Garamond" w:hAnsi="Garamond" w:cs="Times New Roman"/>
                <w:sz w:val="20"/>
                <w:szCs w:val="20"/>
              </w:rPr>
              <w:t>0.05</w:t>
            </w:r>
          </w:p>
        </w:tc>
      </w:tr>
    </w:tbl>
    <w:p w:rsidR="00A22588" w:rsidRDefault="00A22588" w:rsidP="00A22588">
      <w:pPr>
        <w:spacing w:line="240" w:lineRule="auto"/>
        <w:jc w:val="both"/>
        <w:rPr>
          <w:rFonts w:ascii="Times New Roman" w:hAnsi="Times New Roman" w:cs="Times New Roman"/>
          <w:sz w:val="20"/>
          <w:szCs w:val="20"/>
        </w:rPr>
      </w:pPr>
      <w:r w:rsidRPr="005A38FD">
        <w:rPr>
          <w:rFonts w:ascii="Times New Roman" w:hAnsi="Times New Roman" w:cs="Times New Roman"/>
          <w:sz w:val="20"/>
          <w:szCs w:val="20"/>
        </w:rPr>
        <w:t>Note. The model</w:t>
      </w:r>
      <w:r>
        <w:rPr>
          <w:rFonts w:ascii="Times New Roman" w:hAnsi="Times New Roman" w:cs="Times New Roman"/>
          <w:sz w:val="20"/>
          <w:szCs w:val="20"/>
        </w:rPr>
        <w:t>s</w:t>
      </w:r>
      <w:r w:rsidRPr="005A38FD">
        <w:rPr>
          <w:rFonts w:ascii="Times New Roman" w:hAnsi="Times New Roman" w:cs="Times New Roman"/>
          <w:sz w:val="20"/>
          <w:szCs w:val="20"/>
        </w:rPr>
        <w:t xml:space="preserve"> with the product term </w:t>
      </w:r>
      <w:r>
        <w:rPr>
          <w:rFonts w:ascii="Times New Roman" w:hAnsi="Times New Roman" w:cs="Times New Roman"/>
          <w:sz w:val="20"/>
          <w:szCs w:val="20"/>
        </w:rPr>
        <w:t>are exactly</w:t>
      </w:r>
      <w:r w:rsidRPr="005A38FD">
        <w:rPr>
          <w:rFonts w:ascii="Times New Roman" w:hAnsi="Times New Roman" w:cs="Times New Roman"/>
          <w:sz w:val="20"/>
          <w:szCs w:val="20"/>
        </w:rPr>
        <w:t xml:space="preserve"> as shown in </w:t>
      </w:r>
      <w:r>
        <w:rPr>
          <w:rFonts w:ascii="Times New Roman" w:hAnsi="Times New Roman" w:cs="Times New Roman"/>
          <w:sz w:val="20"/>
          <w:szCs w:val="20"/>
        </w:rPr>
        <w:t>T</w:t>
      </w:r>
      <w:r w:rsidRPr="005A38FD">
        <w:rPr>
          <w:rFonts w:ascii="Times New Roman" w:hAnsi="Times New Roman" w:cs="Times New Roman"/>
          <w:sz w:val="20"/>
          <w:szCs w:val="20"/>
        </w:rPr>
        <w:t xml:space="preserve">able 2 and the predictive margins as plotted in </w:t>
      </w:r>
      <w:r>
        <w:rPr>
          <w:rFonts w:ascii="Times New Roman" w:hAnsi="Times New Roman" w:cs="Times New Roman"/>
          <w:sz w:val="20"/>
          <w:szCs w:val="20"/>
        </w:rPr>
        <w:t>F</w:t>
      </w:r>
      <w:r w:rsidRPr="005A38FD">
        <w:rPr>
          <w:rFonts w:ascii="Times New Roman" w:hAnsi="Times New Roman" w:cs="Times New Roman"/>
          <w:sz w:val="20"/>
          <w:szCs w:val="20"/>
        </w:rPr>
        <w:t xml:space="preserve">igure </w:t>
      </w:r>
      <w:r>
        <w:rPr>
          <w:rFonts w:ascii="Times New Roman" w:hAnsi="Times New Roman" w:cs="Times New Roman"/>
          <w:sz w:val="20"/>
          <w:szCs w:val="20"/>
        </w:rPr>
        <w:t>4</w:t>
      </w:r>
      <w:r w:rsidRPr="005A38FD">
        <w:rPr>
          <w:rFonts w:ascii="Times New Roman" w:hAnsi="Times New Roman" w:cs="Times New Roman"/>
          <w:sz w:val="20"/>
          <w:szCs w:val="20"/>
        </w:rPr>
        <w:t xml:space="preserve">. The model without the product term is simply the model in table 2 </w:t>
      </w:r>
      <w:r>
        <w:rPr>
          <w:rFonts w:ascii="Times New Roman" w:hAnsi="Times New Roman" w:cs="Times New Roman"/>
          <w:sz w:val="20"/>
          <w:szCs w:val="20"/>
        </w:rPr>
        <w:t xml:space="preserve">but </w:t>
      </w:r>
      <w:r w:rsidRPr="005A38FD">
        <w:rPr>
          <w:rFonts w:ascii="Times New Roman" w:hAnsi="Times New Roman" w:cs="Times New Roman"/>
          <w:sz w:val="20"/>
          <w:szCs w:val="20"/>
        </w:rPr>
        <w:t>without the product term</w:t>
      </w:r>
      <w:r>
        <w:rPr>
          <w:rFonts w:ascii="Times New Roman" w:hAnsi="Times New Roman" w:cs="Times New Roman"/>
          <w:sz w:val="20"/>
          <w:szCs w:val="20"/>
        </w:rPr>
        <w:t>. The * for the Min-Max 2</w:t>
      </w:r>
      <w:r w:rsidRPr="00873676">
        <w:rPr>
          <w:rFonts w:ascii="Times New Roman" w:hAnsi="Times New Roman" w:cs="Times New Roman"/>
          <w:sz w:val="20"/>
          <w:szCs w:val="20"/>
          <w:vertAlign w:val="superscript"/>
        </w:rPr>
        <w:t>nd</w:t>
      </w:r>
      <w:r>
        <w:rPr>
          <w:rFonts w:ascii="Times New Roman" w:hAnsi="Times New Roman" w:cs="Times New Roman"/>
          <w:sz w:val="20"/>
          <w:szCs w:val="20"/>
        </w:rPr>
        <w:t xml:space="preserve"> Diff denotes a significant difference in the marginal effects of NE when EE=0 and 1 (where the confidence intervals do not overlap at 95% level). </w:t>
      </w:r>
    </w:p>
    <w:p w:rsidR="00A22588" w:rsidRDefault="00A22588" w:rsidP="00A22588">
      <w:pPr>
        <w:spacing w:line="480" w:lineRule="auto"/>
        <w:jc w:val="both"/>
        <w:rPr>
          <w:rFonts w:ascii="Times New Roman" w:hAnsi="Times New Roman" w:cs="Times New Roman"/>
          <w:b/>
          <w:sz w:val="24"/>
          <w:szCs w:val="24"/>
        </w:rPr>
      </w:pPr>
      <w:bookmarkStart w:id="0" w:name="_GoBack"/>
      <w:bookmarkEnd w:id="0"/>
    </w:p>
    <w:p w:rsidR="00A22588" w:rsidRPr="00A22588" w:rsidRDefault="00A22588">
      <w:pPr>
        <w:rPr>
          <w:b/>
        </w:rPr>
      </w:pPr>
    </w:p>
    <w:sectPr w:rsidR="00A22588" w:rsidRPr="00A225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31B" w:rsidRDefault="0084731B" w:rsidP="00A22588">
      <w:pPr>
        <w:spacing w:after="0" w:line="240" w:lineRule="auto"/>
      </w:pPr>
      <w:r>
        <w:separator/>
      </w:r>
    </w:p>
  </w:endnote>
  <w:endnote w:type="continuationSeparator" w:id="0">
    <w:p w:rsidR="0084731B" w:rsidRDefault="0084731B" w:rsidP="00A22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31B" w:rsidRDefault="0084731B" w:rsidP="00A22588">
      <w:pPr>
        <w:spacing w:after="0" w:line="240" w:lineRule="auto"/>
      </w:pPr>
      <w:r>
        <w:separator/>
      </w:r>
    </w:p>
  </w:footnote>
  <w:footnote w:type="continuationSeparator" w:id="0">
    <w:p w:rsidR="0084731B" w:rsidRDefault="0084731B" w:rsidP="00A225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588"/>
    <w:rsid w:val="0001698C"/>
    <w:rsid w:val="000D32FD"/>
    <w:rsid w:val="003103B8"/>
    <w:rsid w:val="00553F5E"/>
    <w:rsid w:val="0084731B"/>
    <w:rsid w:val="00A22588"/>
    <w:rsid w:val="00AE3A3E"/>
    <w:rsid w:val="00B34882"/>
    <w:rsid w:val="00CD6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10C2A-86B0-4F1E-9D4D-01A5771D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22588"/>
    <w:pPr>
      <w:spacing w:after="0" w:line="240" w:lineRule="auto"/>
    </w:pPr>
    <w:rPr>
      <w:sz w:val="20"/>
      <w:szCs w:val="20"/>
    </w:rPr>
  </w:style>
  <w:style w:type="character" w:customStyle="1" w:styleId="FootnoteTextChar">
    <w:name w:val="Footnote Text Char"/>
    <w:basedOn w:val="DefaultParagraphFont"/>
    <w:link w:val="FootnoteText"/>
    <w:uiPriority w:val="99"/>
    <w:rsid w:val="00A22588"/>
    <w:rPr>
      <w:sz w:val="20"/>
      <w:szCs w:val="20"/>
    </w:rPr>
  </w:style>
  <w:style w:type="character" w:styleId="FootnoteReference">
    <w:name w:val="footnote reference"/>
    <w:basedOn w:val="DefaultParagraphFont"/>
    <w:uiPriority w:val="99"/>
    <w:semiHidden/>
    <w:unhideWhenUsed/>
    <w:rsid w:val="00A22588"/>
    <w:rPr>
      <w:vertAlign w:val="superscript"/>
    </w:rPr>
  </w:style>
  <w:style w:type="table" w:styleId="TableGrid">
    <w:name w:val="Table Grid"/>
    <w:basedOn w:val="TableNormal"/>
    <w:rsid w:val="00A22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1844</Words>
  <Characters>9997</Characters>
  <Application>Microsoft Office Word</Application>
  <DocSecurity>0</DocSecurity>
  <Lines>217</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Fieldhouse</dc:creator>
  <cp:keywords/>
  <dc:description/>
  <cp:lastModifiedBy>Edward Fieldhouse</cp:lastModifiedBy>
  <cp:revision>5</cp:revision>
  <dcterms:created xsi:type="dcterms:W3CDTF">2019-11-19T16:41:00Z</dcterms:created>
  <dcterms:modified xsi:type="dcterms:W3CDTF">2019-11-20T17:13:00Z</dcterms:modified>
</cp:coreProperties>
</file>