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EA" w:rsidRPr="0091182C" w:rsidRDefault="004E70EA" w:rsidP="004E70EA">
      <w:pPr>
        <w:tabs>
          <w:tab w:val="left" w:pos="3855"/>
        </w:tabs>
        <w:spacing w:line="480" w:lineRule="auto"/>
        <w:rPr>
          <w:rFonts w:ascii="Times New Roman" w:hAnsi="Times New Roman" w:cs="Times New Roman"/>
          <w:b/>
          <w:u w:val="single"/>
        </w:rPr>
      </w:pPr>
      <w:r>
        <w:rPr>
          <w:rFonts w:ascii="Times New Roman" w:hAnsi="Times New Roman" w:cs="Times New Roman"/>
          <w:b/>
          <w:u w:val="single"/>
        </w:rPr>
        <w:t>Appendix</w:t>
      </w:r>
      <w:r w:rsidR="00874D52">
        <w:rPr>
          <w:rFonts w:ascii="Times New Roman" w:hAnsi="Times New Roman" w:cs="Times New Roman"/>
          <w:b/>
          <w:u w:val="single"/>
        </w:rPr>
        <w:t xml:space="preserve"> A</w:t>
      </w:r>
    </w:p>
    <w:p w:rsidR="00D169B0" w:rsidRDefault="004E70EA" w:rsidP="00663BB5">
      <w:pPr>
        <w:spacing w:line="480" w:lineRule="auto"/>
        <w:ind w:firstLine="720"/>
        <w:rPr>
          <w:rFonts w:ascii="Times New Roman" w:hAnsi="Times New Roman" w:cs="Times New Roman"/>
        </w:rPr>
      </w:pPr>
      <w:r w:rsidRPr="0091182C">
        <w:rPr>
          <w:rFonts w:ascii="Times New Roman" w:hAnsi="Times New Roman" w:cs="Times New Roman"/>
        </w:rPr>
        <w:t>I</w:t>
      </w:r>
      <w:r w:rsidR="00CB165C">
        <w:rPr>
          <w:rFonts w:ascii="Times New Roman" w:hAnsi="Times New Roman" w:cs="Times New Roman"/>
        </w:rPr>
        <w:t>n order to create my dependent variable for citizenship policy change, I</w:t>
      </w:r>
      <w:r w:rsidRPr="0091182C">
        <w:rPr>
          <w:rFonts w:ascii="Times New Roman" w:hAnsi="Times New Roman" w:cs="Times New Roman"/>
        </w:rPr>
        <w:t xml:space="preserve"> </w:t>
      </w:r>
      <w:r>
        <w:rPr>
          <w:rFonts w:ascii="Times New Roman" w:hAnsi="Times New Roman" w:cs="Times New Roman"/>
        </w:rPr>
        <w:t xml:space="preserve">coded </w:t>
      </w:r>
      <w:r w:rsidRPr="001830D0">
        <w:rPr>
          <w:rFonts w:ascii="Times New Roman" w:hAnsi="Times New Roman" w:cs="Times New Roman"/>
        </w:rPr>
        <w:t xml:space="preserve">formal </w:t>
      </w:r>
      <w:r>
        <w:rPr>
          <w:rFonts w:ascii="Times New Roman" w:hAnsi="Times New Roman" w:cs="Times New Roman"/>
        </w:rPr>
        <w:t xml:space="preserve">state </w:t>
      </w:r>
      <w:r w:rsidRPr="001830D0">
        <w:rPr>
          <w:rFonts w:ascii="Times New Roman" w:hAnsi="Times New Roman" w:cs="Times New Roman"/>
        </w:rPr>
        <w:t>legislation and legal texts</w:t>
      </w:r>
      <w:r w:rsidR="009C2BFC">
        <w:rPr>
          <w:rFonts w:ascii="Times New Roman" w:hAnsi="Times New Roman" w:cs="Times New Roman"/>
        </w:rPr>
        <w:t xml:space="preserve"> </w:t>
      </w:r>
      <w:r w:rsidR="009C2BFC" w:rsidRPr="009C2BFC">
        <w:rPr>
          <w:rFonts w:ascii="Times New Roman" w:hAnsi="Times New Roman" w:cs="Times New Roman"/>
        </w:rPr>
        <w:t xml:space="preserve">as well as scholarly reports on citizenship policies collected by EUDO Citizenship Observatory’s database of National Citizenship Laws (2014). </w:t>
      </w:r>
      <w:r w:rsidR="00854873">
        <w:rPr>
          <w:rFonts w:ascii="Times New Roman" w:hAnsi="Times New Roman" w:cs="Times New Roman"/>
        </w:rPr>
        <w:t xml:space="preserve">Excessive care was taken to ensure that the universe of relevant legislation was included in the data, and I cross-checked my collection of laws and policies across subsequent legislation and against EUDO’s collection of legal documents. </w:t>
      </w:r>
      <w:r w:rsidR="00D169B0" w:rsidRPr="00D169B0">
        <w:rPr>
          <w:rFonts w:ascii="Times New Roman" w:hAnsi="Times New Roman" w:cs="Times New Roman"/>
        </w:rPr>
        <w:t xml:space="preserve">For each legal document </w:t>
      </w:r>
      <w:r w:rsidR="00D169B0">
        <w:rPr>
          <w:rFonts w:ascii="Times New Roman" w:hAnsi="Times New Roman" w:cs="Times New Roman"/>
        </w:rPr>
        <w:t>reviewed</w:t>
      </w:r>
      <w:r w:rsidR="00D169B0" w:rsidRPr="00D169B0">
        <w:rPr>
          <w:rFonts w:ascii="Times New Roman" w:hAnsi="Times New Roman" w:cs="Times New Roman"/>
        </w:rPr>
        <w:t xml:space="preserve">, the relevant legislation was </w:t>
      </w:r>
      <w:r w:rsidR="00D169B0">
        <w:rPr>
          <w:rFonts w:ascii="Times New Roman" w:hAnsi="Times New Roman" w:cs="Times New Roman"/>
        </w:rPr>
        <w:t>scanned</w:t>
      </w:r>
      <w:r w:rsidR="00D169B0" w:rsidRPr="00D169B0">
        <w:rPr>
          <w:rFonts w:ascii="Times New Roman" w:hAnsi="Times New Roman" w:cs="Times New Roman"/>
        </w:rPr>
        <w:t xml:space="preserve"> for keywords related to any of the </w:t>
      </w:r>
      <w:r w:rsidR="00854873">
        <w:rPr>
          <w:rFonts w:ascii="Times New Roman" w:hAnsi="Times New Roman" w:cs="Times New Roman"/>
        </w:rPr>
        <w:t xml:space="preserve">nine </w:t>
      </w:r>
      <w:r w:rsidR="00D169B0" w:rsidRPr="00D169B0">
        <w:rPr>
          <w:rFonts w:ascii="Times New Roman" w:hAnsi="Times New Roman" w:cs="Times New Roman"/>
        </w:rPr>
        <w:t xml:space="preserve">criteria analyzed here and coded according to the scheme </w:t>
      </w:r>
      <w:r w:rsidR="00D169B0">
        <w:rPr>
          <w:rFonts w:ascii="Times New Roman" w:hAnsi="Times New Roman" w:cs="Times New Roman"/>
        </w:rPr>
        <w:t>presented in the table below</w:t>
      </w:r>
      <w:r w:rsidR="00D169B0" w:rsidRPr="00D169B0">
        <w:rPr>
          <w:rFonts w:ascii="Times New Roman" w:hAnsi="Times New Roman" w:cs="Times New Roman"/>
        </w:rPr>
        <w:t xml:space="preserve">. </w:t>
      </w:r>
      <w:r w:rsidR="00854873">
        <w:rPr>
          <w:rFonts w:ascii="Times New Roman" w:hAnsi="Times New Roman" w:cs="Times New Roman"/>
        </w:rPr>
        <w:t xml:space="preserve">Subsequent policy changes were coded according to the same scheme for the years in which new legislation was passed. </w:t>
      </w:r>
      <w:r w:rsidR="00D169B0">
        <w:rPr>
          <w:rFonts w:ascii="Times New Roman" w:hAnsi="Times New Roman" w:cs="Times New Roman"/>
        </w:rPr>
        <w:t xml:space="preserve">Peers’ linguistic proficiency as well as </w:t>
      </w:r>
      <w:r w:rsidR="00854873">
        <w:rPr>
          <w:rFonts w:ascii="Times New Roman" w:hAnsi="Times New Roman" w:cs="Times New Roman"/>
        </w:rPr>
        <w:t xml:space="preserve">widely available </w:t>
      </w:r>
      <w:r w:rsidR="00D169B0">
        <w:rPr>
          <w:rFonts w:ascii="Times New Roman" w:hAnsi="Times New Roman" w:cs="Times New Roman"/>
        </w:rPr>
        <w:t>l</w:t>
      </w:r>
      <w:r w:rsidR="00D169B0" w:rsidRPr="00D169B0">
        <w:rPr>
          <w:rFonts w:ascii="Times New Roman" w:hAnsi="Times New Roman" w:cs="Times New Roman"/>
        </w:rPr>
        <w:t xml:space="preserve">anguage translation services were utilized for </w:t>
      </w:r>
      <w:r w:rsidR="00D169B0">
        <w:rPr>
          <w:rFonts w:ascii="Times New Roman" w:hAnsi="Times New Roman" w:cs="Times New Roman"/>
        </w:rPr>
        <w:t xml:space="preserve">some country </w:t>
      </w:r>
      <w:r w:rsidR="00D169B0" w:rsidRPr="00D169B0">
        <w:rPr>
          <w:rFonts w:ascii="Times New Roman" w:hAnsi="Times New Roman" w:cs="Times New Roman"/>
        </w:rPr>
        <w:t xml:space="preserve">cases. Secondary sources, especially EUDO’s individual Country Reports, were also essential in filling in some annual gaps where legal sources were unavailable or ambiguous. </w:t>
      </w:r>
      <w:r w:rsidR="00D169B0">
        <w:rPr>
          <w:rFonts w:ascii="Times New Roman" w:hAnsi="Times New Roman" w:cs="Times New Roman"/>
        </w:rPr>
        <w:t>I am</w:t>
      </w:r>
      <w:r w:rsidR="00D169B0" w:rsidRPr="00D169B0">
        <w:rPr>
          <w:rFonts w:ascii="Times New Roman" w:hAnsi="Times New Roman" w:cs="Times New Roman"/>
        </w:rPr>
        <w:t xml:space="preserve"> especially grateful for the work of scholars in compiling such a database</w:t>
      </w:r>
      <w:r w:rsidR="001F3D30">
        <w:rPr>
          <w:rFonts w:ascii="Times New Roman" w:hAnsi="Times New Roman" w:cs="Times New Roman"/>
        </w:rPr>
        <w:t xml:space="preserve"> of legal texts and country reports</w:t>
      </w:r>
      <w:r w:rsidR="00D169B0" w:rsidRPr="00D169B0">
        <w:rPr>
          <w:rFonts w:ascii="Times New Roman" w:hAnsi="Times New Roman" w:cs="Times New Roman"/>
        </w:rPr>
        <w:t xml:space="preserve">. </w:t>
      </w:r>
    </w:p>
    <w:p w:rsidR="006720B2" w:rsidRDefault="00D169B0" w:rsidP="00663BB5">
      <w:pPr>
        <w:spacing w:line="480" w:lineRule="auto"/>
        <w:ind w:firstLine="720"/>
        <w:rPr>
          <w:rFonts w:ascii="Times New Roman" w:hAnsi="Times New Roman" w:cs="Times New Roman"/>
        </w:rPr>
      </w:pPr>
      <w:r>
        <w:rPr>
          <w:rFonts w:ascii="Times New Roman" w:hAnsi="Times New Roman" w:cs="Times New Roman"/>
        </w:rPr>
        <w:t xml:space="preserve">Using these documents, </w:t>
      </w:r>
      <w:r w:rsidR="009C2BFC" w:rsidRPr="009C2BFC">
        <w:rPr>
          <w:rFonts w:ascii="Times New Roman" w:hAnsi="Times New Roman" w:cs="Times New Roman"/>
        </w:rPr>
        <w:t>I coded citizenship policies passed by the legislatures of sixteen Western European countries from 1975 to 2014 on the basis nine common criteria that immigrants must meet in order to acquire citizenship</w:t>
      </w:r>
      <w:r w:rsidR="00E026BD">
        <w:rPr>
          <w:rFonts w:ascii="Times New Roman" w:hAnsi="Times New Roman" w:cs="Times New Roman"/>
        </w:rPr>
        <w:t xml:space="preserve">. </w:t>
      </w:r>
      <w:r w:rsidR="009C2BFC">
        <w:rPr>
          <w:rFonts w:ascii="Times New Roman" w:hAnsi="Times New Roman" w:cs="Times New Roman"/>
        </w:rPr>
        <w:t>The coding scheme adapts and expands upon the two-dimensional scheme first advanced by Goodman (2010), who combines Howard’s (2009, 2010) Citizenship Policy Index (CP</w:t>
      </w:r>
      <w:r>
        <w:rPr>
          <w:rFonts w:ascii="Times New Roman" w:hAnsi="Times New Roman" w:cs="Times New Roman"/>
        </w:rPr>
        <w:t xml:space="preserve">I) with her own CIVIX measures. </w:t>
      </w:r>
      <w:r w:rsidR="00854873">
        <w:rPr>
          <w:rFonts w:ascii="Times New Roman" w:hAnsi="Times New Roman" w:cs="Times New Roman"/>
        </w:rPr>
        <w:t>As discussed in the article, one</w:t>
      </w:r>
      <w:r>
        <w:rPr>
          <w:rFonts w:ascii="Times New Roman" w:hAnsi="Times New Roman" w:cs="Times New Roman"/>
        </w:rPr>
        <w:t xml:space="preserve"> set of criteria captures an </w:t>
      </w:r>
      <w:proofErr w:type="spellStart"/>
      <w:r w:rsidRPr="001F4CEC">
        <w:rPr>
          <w:rFonts w:ascii="Times New Roman" w:hAnsi="Times New Roman" w:cs="Times New Roman"/>
          <w:i/>
        </w:rPr>
        <w:t>ascriptive</w:t>
      </w:r>
      <w:proofErr w:type="spellEnd"/>
      <w:r>
        <w:rPr>
          <w:rFonts w:ascii="Times New Roman" w:hAnsi="Times New Roman" w:cs="Times New Roman"/>
        </w:rPr>
        <w:t xml:space="preserve"> dimension of citizenship, and reflects the extent to which membership is costly to immigrants in terms of their eligibility and the non-performance barriers to membership. High</w:t>
      </w:r>
      <w:r w:rsidR="001F4CEC">
        <w:rPr>
          <w:rFonts w:ascii="Times New Roman" w:hAnsi="Times New Roman" w:cs="Times New Roman"/>
        </w:rPr>
        <w:t>er</w:t>
      </w:r>
      <w:r>
        <w:rPr>
          <w:rFonts w:ascii="Times New Roman" w:hAnsi="Times New Roman" w:cs="Times New Roman"/>
        </w:rPr>
        <w:t xml:space="preserve"> policy scores on this dimension </w:t>
      </w:r>
      <w:r w:rsidRPr="00D169B0">
        <w:rPr>
          <w:rFonts w:ascii="Times New Roman" w:hAnsi="Times New Roman" w:cs="Times New Roman"/>
        </w:rPr>
        <w:t xml:space="preserve">exact high standards of latent integration on those seeking eligibility for citizenship, incentivizing </w:t>
      </w:r>
      <w:r w:rsidRPr="00D169B0">
        <w:rPr>
          <w:rFonts w:ascii="Times New Roman" w:hAnsi="Times New Roman" w:cs="Times New Roman"/>
        </w:rPr>
        <w:lastRenderedPageBreak/>
        <w:t>acquisition for those who may share certain ethnic, cultural, or social characteristics of the country, wh</w:t>
      </w:r>
      <w:r>
        <w:rPr>
          <w:rFonts w:ascii="Times New Roman" w:hAnsi="Times New Roman" w:cs="Times New Roman"/>
        </w:rPr>
        <w:t>ile restricting others entirely</w:t>
      </w:r>
      <w:r w:rsidRPr="00D169B0">
        <w:rPr>
          <w:rFonts w:ascii="Times New Roman" w:hAnsi="Times New Roman" w:cs="Times New Roman"/>
        </w:rPr>
        <w:t>.</w:t>
      </w:r>
      <w:r>
        <w:rPr>
          <w:rFonts w:ascii="Times New Roman" w:hAnsi="Times New Roman" w:cs="Times New Roman"/>
        </w:rPr>
        <w:t xml:space="preserve"> </w:t>
      </w:r>
      <w:r w:rsidRPr="00D169B0">
        <w:rPr>
          <w:rFonts w:ascii="Times New Roman" w:hAnsi="Times New Roman" w:cs="Times New Roman"/>
        </w:rPr>
        <w:t>Using revisions of Howard’s (2010) CPI, this dimension includes what I call social, cultural, lineal, and ethnic criteria for eligibility</w:t>
      </w:r>
      <w:r w:rsidR="001F4CEC">
        <w:rPr>
          <w:rFonts w:ascii="Times New Roman" w:hAnsi="Times New Roman" w:cs="Times New Roman"/>
        </w:rPr>
        <w:t>, the specific coding scheme for which is detailed in the table below</w:t>
      </w:r>
      <w:r w:rsidRPr="00D169B0">
        <w:rPr>
          <w:rFonts w:ascii="Times New Roman" w:hAnsi="Times New Roman" w:cs="Times New Roman"/>
        </w:rPr>
        <w:t>.</w:t>
      </w:r>
      <w:r w:rsidRPr="00D169B0">
        <w:rPr>
          <w:rFonts w:ascii="Times New Roman" w:hAnsi="Times New Roman" w:cs="Times New Roman"/>
          <w:vertAlign w:val="superscript"/>
        </w:rPr>
        <w:footnoteReference w:id="1"/>
      </w:r>
      <w:r w:rsidR="001F4CEC">
        <w:rPr>
          <w:rFonts w:ascii="Times New Roman" w:hAnsi="Times New Roman" w:cs="Times New Roman"/>
        </w:rPr>
        <w:t xml:space="preserve"> </w:t>
      </w:r>
      <w:r w:rsidR="004E70EA" w:rsidRPr="0091182C">
        <w:rPr>
          <w:rFonts w:ascii="Times New Roman" w:hAnsi="Times New Roman" w:cs="Times New Roman"/>
        </w:rPr>
        <w:t>Th</w:t>
      </w:r>
      <w:r w:rsidR="004E70EA">
        <w:rPr>
          <w:rFonts w:ascii="Times New Roman" w:hAnsi="Times New Roman" w:cs="Times New Roman"/>
        </w:rPr>
        <w:t xml:space="preserve">e second </w:t>
      </w:r>
      <w:r w:rsidR="001F4CEC">
        <w:rPr>
          <w:rFonts w:ascii="Times New Roman" w:hAnsi="Times New Roman" w:cs="Times New Roman"/>
        </w:rPr>
        <w:t xml:space="preserve">set of criteria fall along a </w:t>
      </w:r>
      <w:proofErr w:type="spellStart"/>
      <w:r w:rsidR="001F4CEC" w:rsidRPr="007A751F">
        <w:rPr>
          <w:rFonts w:ascii="Times New Roman" w:hAnsi="Times New Roman" w:cs="Times New Roman"/>
          <w:i/>
        </w:rPr>
        <w:t>performative</w:t>
      </w:r>
      <w:proofErr w:type="spellEnd"/>
      <w:r w:rsidR="001F4CEC">
        <w:rPr>
          <w:rFonts w:ascii="Times New Roman" w:hAnsi="Times New Roman" w:cs="Times New Roman"/>
        </w:rPr>
        <w:t xml:space="preserve"> dimension and</w:t>
      </w:r>
      <w:r w:rsidR="004E70EA">
        <w:rPr>
          <w:rFonts w:ascii="Times New Roman" w:hAnsi="Times New Roman" w:cs="Times New Roman"/>
        </w:rPr>
        <w:t xml:space="preserve"> reflect the extent to which citizenship is costly</w:t>
      </w:r>
      <w:r w:rsidR="001F4CEC">
        <w:rPr>
          <w:rFonts w:ascii="Times New Roman" w:hAnsi="Times New Roman" w:cs="Times New Roman"/>
        </w:rPr>
        <w:t xml:space="preserve"> for immigrants in terms of their performance and achievement. These criteria are more </w:t>
      </w:r>
      <w:r w:rsidR="001F4CEC" w:rsidRPr="001F4CEC">
        <w:rPr>
          <w:rFonts w:ascii="Times New Roman" w:hAnsi="Times New Roman" w:cs="Times New Roman"/>
        </w:rPr>
        <w:t xml:space="preserve">descriptive than </w:t>
      </w:r>
      <w:proofErr w:type="spellStart"/>
      <w:r w:rsidR="001F4CEC" w:rsidRPr="001F4CEC">
        <w:rPr>
          <w:rFonts w:ascii="Times New Roman" w:hAnsi="Times New Roman" w:cs="Times New Roman"/>
        </w:rPr>
        <w:t>ascriptive</w:t>
      </w:r>
      <w:proofErr w:type="spellEnd"/>
      <w:r w:rsidR="001F4CEC">
        <w:rPr>
          <w:rFonts w:ascii="Times New Roman" w:hAnsi="Times New Roman" w:cs="Times New Roman"/>
        </w:rPr>
        <w:t xml:space="preserve">, and reflect a state’s efforts to </w:t>
      </w:r>
      <w:r w:rsidR="001F4CEC" w:rsidRPr="001F4CEC">
        <w:rPr>
          <w:rFonts w:ascii="Times New Roman" w:hAnsi="Times New Roman" w:cs="Times New Roman"/>
        </w:rPr>
        <w:t>observe and measure the content and achievement of integration directly</w:t>
      </w:r>
      <w:r w:rsidR="001F4CEC">
        <w:rPr>
          <w:rFonts w:ascii="Times New Roman" w:hAnsi="Times New Roman" w:cs="Times New Roman"/>
        </w:rPr>
        <w:t xml:space="preserve"> (Goodman 201</w:t>
      </w:r>
      <w:r w:rsidR="00854873">
        <w:rPr>
          <w:rFonts w:ascii="Times New Roman" w:hAnsi="Times New Roman" w:cs="Times New Roman"/>
        </w:rPr>
        <w:t>0, 2012</w:t>
      </w:r>
      <w:bookmarkStart w:id="0" w:name="_GoBack"/>
      <w:bookmarkEnd w:id="0"/>
      <w:r w:rsidR="001F4CEC">
        <w:rPr>
          <w:rFonts w:ascii="Times New Roman" w:hAnsi="Times New Roman" w:cs="Times New Roman"/>
        </w:rPr>
        <w:t>)</w:t>
      </w:r>
      <w:r w:rsidR="001F4CEC" w:rsidRPr="001F4CEC">
        <w:rPr>
          <w:rFonts w:ascii="Times New Roman" w:hAnsi="Times New Roman" w:cs="Times New Roman"/>
        </w:rPr>
        <w:t xml:space="preserve">. </w:t>
      </w:r>
      <w:r w:rsidR="001F4CEC">
        <w:rPr>
          <w:rFonts w:ascii="Times New Roman" w:hAnsi="Times New Roman" w:cs="Times New Roman"/>
        </w:rPr>
        <w:t>Higher</w:t>
      </w:r>
      <w:r w:rsidR="001F4CEC" w:rsidRPr="001F4CEC">
        <w:rPr>
          <w:rFonts w:ascii="Times New Roman" w:hAnsi="Times New Roman" w:cs="Times New Roman"/>
        </w:rPr>
        <w:t xml:space="preserve"> </w:t>
      </w:r>
      <w:r w:rsidR="001F4CEC">
        <w:rPr>
          <w:rFonts w:ascii="Times New Roman" w:hAnsi="Times New Roman" w:cs="Times New Roman"/>
        </w:rPr>
        <w:t>policy</w:t>
      </w:r>
      <w:r w:rsidR="001F4CEC" w:rsidRPr="001F4CEC">
        <w:rPr>
          <w:rFonts w:ascii="Times New Roman" w:hAnsi="Times New Roman" w:cs="Times New Roman"/>
        </w:rPr>
        <w:t xml:space="preserve"> scores on this dimension </w:t>
      </w:r>
      <w:r w:rsidR="001F4CEC">
        <w:rPr>
          <w:rFonts w:ascii="Times New Roman" w:hAnsi="Times New Roman" w:cs="Times New Roman"/>
        </w:rPr>
        <w:t xml:space="preserve">exact higher standards of manifest integration and membership, incentivizing </w:t>
      </w:r>
      <w:r w:rsidR="001F4CEC" w:rsidRPr="001F4CEC">
        <w:rPr>
          <w:rFonts w:ascii="Times New Roman" w:hAnsi="Times New Roman" w:cs="Times New Roman"/>
        </w:rPr>
        <w:t>citizenship acquisition am</w:t>
      </w:r>
      <w:r w:rsidR="001F4CEC">
        <w:rPr>
          <w:rFonts w:ascii="Times New Roman" w:hAnsi="Times New Roman" w:cs="Times New Roman"/>
        </w:rPr>
        <w:t xml:space="preserve">ong immigrants who can bear such demonstrable </w:t>
      </w:r>
      <w:r w:rsidR="001F4CEC" w:rsidRPr="001F4CEC">
        <w:rPr>
          <w:rFonts w:ascii="Times New Roman" w:hAnsi="Times New Roman" w:cs="Times New Roman"/>
        </w:rPr>
        <w:t xml:space="preserve">costs of membership. </w:t>
      </w:r>
      <w:r w:rsidR="001F4CEC">
        <w:rPr>
          <w:rFonts w:ascii="Times New Roman" w:hAnsi="Times New Roman" w:cs="Times New Roman"/>
        </w:rPr>
        <w:t xml:space="preserve">The policy components captured within this set of measures </w:t>
      </w:r>
      <w:r w:rsidR="00F75EC6">
        <w:rPr>
          <w:rFonts w:ascii="Times New Roman" w:hAnsi="Times New Roman" w:cs="Times New Roman"/>
        </w:rPr>
        <w:t xml:space="preserve">also adapts and expands on aspects of previous scholarship, namely Goodman’s (2010) CIVIX and </w:t>
      </w:r>
      <w:proofErr w:type="spellStart"/>
      <w:r w:rsidR="00F75EC6">
        <w:rPr>
          <w:rFonts w:ascii="Times New Roman" w:hAnsi="Times New Roman" w:cs="Times New Roman"/>
        </w:rPr>
        <w:t>Janoski’s</w:t>
      </w:r>
      <w:proofErr w:type="spellEnd"/>
      <w:r w:rsidR="00F75EC6">
        <w:rPr>
          <w:rFonts w:ascii="Times New Roman" w:hAnsi="Times New Roman" w:cs="Times New Roman"/>
        </w:rPr>
        <w:t xml:space="preserve"> (2010) BNI, and </w:t>
      </w:r>
      <w:r w:rsidR="001F4CEC">
        <w:rPr>
          <w:rFonts w:ascii="Times New Roman" w:hAnsi="Times New Roman" w:cs="Times New Roman"/>
        </w:rPr>
        <w:t xml:space="preserve">include </w:t>
      </w:r>
      <w:r w:rsidR="001F4CEC" w:rsidRPr="0091182C">
        <w:rPr>
          <w:rFonts w:ascii="Times New Roman" w:hAnsi="Times New Roman" w:cs="Times New Roman"/>
        </w:rPr>
        <w:t>linguistic, economic, civic, legal</w:t>
      </w:r>
      <w:r w:rsidR="001F4CEC">
        <w:rPr>
          <w:rFonts w:ascii="Times New Roman" w:hAnsi="Times New Roman" w:cs="Times New Roman"/>
        </w:rPr>
        <w:t>, and familial</w:t>
      </w:r>
      <w:r w:rsidR="001F4CEC" w:rsidRPr="0091182C">
        <w:rPr>
          <w:rFonts w:ascii="Times New Roman" w:hAnsi="Times New Roman" w:cs="Times New Roman"/>
        </w:rPr>
        <w:t xml:space="preserve"> </w:t>
      </w:r>
      <w:r w:rsidR="001F4CEC">
        <w:rPr>
          <w:rFonts w:ascii="Times New Roman" w:hAnsi="Times New Roman" w:cs="Times New Roman"/>
        </w:rPr>
        <w:t>requirements</w:t>
      </w:r>
      <w:r w:rsidR="001F4CEC" w:rsidRPr="0091182C">
        <w:rPr>
          <w:rFonts w:ascii="Times New Roman" w:hAnsi="Times New Roman" w:cs="Times New Roman"/>
        </w:rPr>
        <w:t xml:space="preserve"> of citizenship</w:t>
      </w:r>
      <w:r w:rsidR="001F4CEC">
        <w:rPr>
          <w:rFonts w:ascii="Times New Roman" w:hAnsi="Times New Roman" w:cs="Times New Roman"/>
        </w:rPr>
        <w:t>.</w:t>
      </w:r>
      <w:r w:rsidR="004E70EA">
        <w:rPr>
          <w:rStyle w:val="FootnoteReference"/>
          <w:rFonts w:ascii="Times New Roman" w:hAnsi="Times New Roman" w:cs="Times New Roman"/>
        </w:rPr>
        <w:footnoteReference w:id="2"/>
      </w:r>
      <w:r w:rsidR="004E70EA">
        <w:rPr>
          <w:rFonts w:ascii="Times New Roman" w:hAnsi="Times New Roman" w:cs="Times New Roman"/>
        </w:rPr>
        <w:t xml:space="preserve"> </w:t>
      </w:r>
    </w:p>
    <w:p w:rsidR="004E70EA" w:rsidRDefault="006720B2" w:rsidP="00663BB5">
      <w:pPr>
        <w:spacing w:line="480" w:lineRule="auto"/>
        <w:ind w:firstLine="720"/>
        <w:rPr>
          <w:rFonts w:ascii="Times New Roman" w:hAnsi="Times New Roman" w:cs="Times New Roman"/>
        </w:rPr>
      </w:pPr>
      <w:r>
        <w:rPr>
          <w:rFonts w:ascii="Times New Roman" w:hAnsi="Times New Roman" w:cs="Times New Roman"/>
        </w:rPr>
        <w:t xml:space="preserve">All components are scored from </w:t>
      </w:r>
      <w:r w:rsidR="004E70EA" w:rsidRPr="0087463C">
        <w:rPr>
          <w:rFonts w:ascii="Times New Roman" w:hAnsi="Times New Roman" w:cs="Times New Roman"/>
        </w:rPr>
        <w:t>0-2</w:t>
      </w:r>
      <w:r>
        <w:rPr>
          <w:rFonts w:ascii="Times New Roman" w:hAnsi="Times New Roman" w:cs="Times New Roman"/>
        </w:rPr>
        <w:t xml:space="preserve"> according to the coding scheme presented in the table below</w:t>
      </w:r>
      <w:r w:rsidR="004E70EA">
        <w:rPr>
          <w:rFonts w:ascii="Times New Roman" w:hAnsi="Times New Roman" w:cs="Times New Roman"/>
        </w:rPr>
        <w:t xml:space="preserve">, with the exception of linguistic cost, which goes up to a score of 3 to account for the various levels of the </w:t>
      </w:r>
      <w:r w:rsidR="004E70EA" w:rsidRPr="00426696">
        <w:rPr>
          <w:rFonts w:ascii="Times New Roman" w:hAnsi="Times New Roman" w:cs="Times New Roman"/>
        </w:rPr>
        <w:t>Common European Framework of Reference for Languages</w:t>
      </w:r>
      <w:r w:rsidR="004E70EA">
        <w:rPr>
          <w:rFonts w:ascii="Times New Roman" w:hAnsi="Times New Roman" w:cs="Times New Roman"/>
        </w:rPr>
        <w:t xml:space="preserve"> now formally incorporated by most countries.</w:t>
      </w:r>
      <w:r w:rsidR="000B0375">
        <w:rPr>
          <w:rFonts w:ascii="Times New Roman" w:hAnsi="Times New Roman" w:cs="Times New Roman"/>
        </w:rPr>
        <w:t xml:space="preserve"> For the sake of comparability, all components were finally </w:t>
      </w:r>
      <w:r w:rsidR="000B0375">
        <w:rPr>
          <w:rFonts w:ascii="Times New Roman" w:hAnsi="Times New Roman" w:cs="Times New Roman"/>
        </w:rPr>
        <w:lastRenderedPageBreak/>
        <w:t>normalized from 0 to 1 and then aggregated to capture the relative level of restrictiveness of overall citizenship policy of a state in a given year.</w:t>
      </w:r>
      <w:r w:rsidR="000B0375">
        <w:rPr>
          <w:rStyle w:val="FootnoteReference"/>
          <w:rFonts w:ascii="Times New Roman" w:hAnsi="Times New Roman" w:cs="Times New Roman"/>
        </w:rPr>
        <w:footnoteReference w:id="3"/>
      </w:r>
    </w:p>
    <w:p w:rsidR="004E70EA" w:rsidRDefault="000B0375" w:rsidP="00663BB5">
      <w:pPr>
        <w:spacing w:line="480" w:lineRule="auto"/>
        <w:ind w:firstLine="720"/>
        <w:rPr>
          <w:rFonts w:ascii="Times New Roman" w:hAnsi="Times New Roman" w:cs="Times New Roman"/>
        </w:rPr>
      </w:pPr>
      <w:r w:rsidRPr="000B0375">
        <w:rPr>
          <w:rFonts w:ascii="Times New Roman" w:hAnsi="Times New Roman" w:cs="Times New Roman"/>
        </w:rPr>
        <w:t xml:space="preserve">The countries </w:t>
      </w:r>
      <w:r>
        <w:rPr>
          <w:rFonts w:ascii="Times New Roman" w:hAnsi="Times New Roman" w:cs="Times New Roman"/>
        </w:rPr>
        <w:t xml:space="preserve">in the sample </w:t>
      </w:r>
      <w:r w:rsidRPr="000B0375">
        <w:rPr>
          <w:rFonts w:ascii="Times New Roman" w:hAnsi="Times New Roman" w:cs="Times New Roman"/>
        </w:rPr>
        <w:t>include Austria, Belgium, Denmark, Finland, France, Germany, Greece, Ireland, Italy, Luxembourg, Netherlands, Norway, Portugal, Spain, Sweden, and the United Kingdom.</w:t>
      </w:r>
      <w:r>
        <w:rPr>
          <w:rFonts w:ascii="Times New Roman" w:hAnsi="Times New Roman" w:cs="Times New Roman"/>
        </w:rPr>
        <w:t xml:space="preserve"> I restricted the analysis to these Western European countries in particular because that historical experiences with immigration differ from those of Eastern Europe, who have only recently begun to experience the same policy pressures associated with immigration. </w:t>
      </w:r>
      <w:r w:rsidRPr="000B0375">
        <w:rPr>
          <w:rFonts w:ascii="Times New Roman" w:hAnsi="Times New Roman" w:cs="Times New Roman"/>
        </w:rPr>
        <w:t>The year 1975 was selected as a start point since most Western European states by that year had settled upon a stable post-war citizenship policy, yet that is also a date prior to the period of increasing politicization of immigration and citizenship in Western European political discourse.</w:t>
      </w:r>
    </w:p>
    <w:p w:rsidR="00094A6D" w:rsidRDefault="00094A6D" w:rsidP="004E70EA">
      <w:pPr>
        <w:sectPr w:rsidR="00094A6D">
          <w:pgSz w:w="12240" w:h="15840"/>
          <w:pgMar w:top="1440" w:right="1440" w:bottom="1440" w:left="1440" w:header="720" w:footer="720" w:gutter="0"/>
          <w:cols w:space="720"/>
          <w:docGrid w:linePitch="360"/>
        </w:sectPr>
      </w:pPr>
    </w:p>
    <w:p w:rsidR="00BA1D0B" w:rsidRDefault="00094A6D" w:rsidP="004E70EA">
      <w:r w:rsidRPr="00094A6D">
        <w:rPr>
          <w:noProof/>
        </w:rPr>
        <w:lastRenderedPageBreak/>
        <w:drawing>
          <wp:inline distT="0" distB="0" distL="0" distR="0">
            <wp:extent cx="8229600" cy="6385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6385416"/>
                    </a:xfrm>
                    <a:prstGeom prst="rect">
                      <a:avLst/>
                    </a:prstGeom>
                    <a:noFill/>
                    <a:ln>
                      <a:noFill/>
                    </a:ln>
                  </pic:spPr>
                </pic:pic>
              </a:graphicData>
            </a:graphic>
          </wp:inline>
        </w:drawing>
      </w:r>
    </w:p>
    <w:sectPr w:rsidR="00BA1D0B" w:rsidSect="00094A6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92" w:rsidRDefault="00712092" w:rsidP="004E70EA">
      <w:r>
        <w:separator/>
      </w:r>
    </w:p>
  </w:endnote>
  <w:endnote w:type="continuationSeparator" w:id="0">
    <w:p w:rsidR="00712092" w:rsidRDefault="00712092" w:rsidP="004E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92" w:rsidRDefault="00712092" w:rsidP="004E70EA">
      <w:r>
        <w:separator/>
      </w:r>
    </w:p>
  </w:footnote>
  <w:footnote w:type="continuationSeparator" w:id="0">
    <w:p w:rsidR="00712092" w:rsidRDefault="00712092" w:rsidP="004E70EA">
      <w:r>
        <w:continuationSeparator/>
      </w:r>
    </w:p>
  </w:footnote>
  <w:footnote w:id="1">
    <w:p w:rsidR="00D169B0" w:rsidRPr="000B0375" w:rsidRDefault="00D169B0" w:rsidP="00D169B0">
      <w:pPr>
        <w:pStyle w:val="FootnoteText"/>
        <w:rPr>
          <w:rFonts w:ascii="Times New Roman" w:hAnsi="Times New Roman" w:cs="Times New Roman"/>
          <w:sz w:val="20"/>
          <w:szCs w:val="20"/>
        </w:rPr>
      </w:pPr>
      <w:r w:rsidRPr="000B0375">
        <w:rPr>
          <w:rStyle w:val="FootnoteReference"/>
          <w:rFonts w:ascii="Times New Roman" w:hAnsi="Times New Roman" w:cs="Times New Roman"/>
          <w:sz w:val="20"/>
          <w:szCs w:val="20"/>
        </w:rPr>
        <w:footnoteRef/>
      </w:r>
      <w:r w:rsidRPr="000B0375">
        <w:rPr>
          <w:rFonts w:ascii="Times New Roman" w:hAnsi="Times New Roman" w:cs="Times New Roman"/>
          <w:sz w:val="20"/>
          <w:szCs w:val="20"/>
        </w:rPr>
        <w:t xml:space="preserve"> In contrast to the CPI, I do not include </w:t>
      </w:r>
      <w:r w:rsidR="001F4CEC" w:rsidRPr="000B0375">
        <w:rPr>
          <w:rFonts w:ascii="Times New Roman" w:hAnsi="Times New Roman" w:cs="Times New Roman"/>
          <w:sz w:val="20"/>
          <w:szCs w:val="20"/>
        </w:rPr>
        <w:t xml:space="preserve">on this dimension </w:t>
      </w:r>
      <w:r w:rsidRPr="000B0375">
        <w:rPr>
          <w:rFonts w:ascii="Times New Roman" w:hAnsi="Times New Roman" w:cs="Times New Roman"/>
          <w:sz w:val="20"/>
          <w:szCs w:val="20"/>
        </w:rPr>
        <w:t>‘civic integration’ requirements</w:t>
      </w:r>
      <w:r w:rsidR="001F4CEC" w:rsidRPr="000B0375">
        <w:rPr>
          <w:rFonts w:ascii="Times New Roman" w:hAnsi="Times New Roman" w:cs="Times New Roman"/>
          <w:sz w:val="20"/>
          <w:szCs w:val="20"/>
        </w:rPr>
        <w:t xml:space="preserve"> here</w:t>
      </w:r>
      <w:r w:rsidRPr="000B0375">
        <w:rPr>
          <w:rFonts w:ascii="Times New Roman" w:hAnsi="Times New Roman" w:cs="Times New Roman"/>
          <w:sz w:val="20"/>
          <w:szCs w:val="20"/>
        </w:rPr>
        <w:t xml:space="preserve">, such as mandatory language and civics tests, </w:t>
      </w:r>
      <w:r w:rsidR="001F4CEC" w:rsidRPr="000B0375">
        <w:rPr>
          <w:rFonts w:ascii="Times New Roman" w:hAnsi="Times New Roman" w:cs="Times New Roman"/>
          <w:sz w:val="20"/>
          <w:szCs w:val="20"/>
        </w:rPr>
        <w:t xml:space="preserve">nor spousal naturalization criteria, which is more consistent with </w:t>
      </w:r>
      <w:r w:rsidRPr="000B0375">
        <w:rPr>
          <w:rFonts w:ascii="Times New Roman" w:hAnsi="Times New Roman" w:cs="Times New Roman"/>
          <w:sz w:val="20"/>
          <w:szCs w:val="20"/>
        </w:rPr>
        <w:t>Goodman (2010)</w:t>
      </w:r>
      <w:r w:rsidR="001F4CEC" w:rsidRPr="000B0375">
        <w:rPr>
          <w:rFonts w:ascii="Times New Roman" w:hAnsi="Times New Roman" w:cs="Times New Roman"/>
          <w:sz w:val="20"/>
          <w:szCs w:val="20"/>
        </w:rPr>
        <w:t>. I also omit the CPI’s adjustment for naturalization rates, since these measures are the product of citizenship policy rather than a formal component of it. M</w:t>
      </w:r>
      <w:r w:rsidRPr="000B0375">
        <w:rPr>
          <w:rFonts w:ascii="Times New Roman" w:hAnsi="Times New Roman" w:cs="Times New Roman"/>
          <w:sz w:val="20"/>
          <w:szCs w:val="20"/>
        </w:rPr>
        <w:t xml:space="preserve">y coding </w:t>
      </w:r>
      <w:r w:rsidR="001F4CEC" w:rsidRPr="000B0375">
        <w:rPr>
          <w:rFonts w:ascii="Times New Roman" w:hAnsi="Times New Roman" w:cs="Times New Roman"/>
          <w:sz w:val="20"/>
          <w:szCs w:val="20"/>
        </w:rPr>
        <w:t xml:space="preserve">does </w:t>
      </w:r>
      <w:r w:rsidRPr="000B0375">
        <w:rPr>
          <w:rFonts w:ascii="Times New Roman" w:hAnsi="Times New Roman" w:cs="Times New Roman"/>
          <w:sz w:val="20"/>
          <w:szCs w:val="20"/>
        </w:rPr>
        <w:t xml:space="preserve">include an ethnic dimension that </w:t>
      </w:r>
      <w:r w:rsidR="001F4CEC" w:rsidRPr="000B0375">
        <w:rPr>
          <w:rFonts w:ascii="Times New Roman" w:hAnsi="Times New Roman" w:cs="Times New Roman"/>
          <w:sz w:val="20"/>
          <w:szCs w:val="20"/>
        </w:rPr>
        <w:t>the CPI</w:t>
      </w:r>
      <w:r w:rsidRPr="000B0375">
        <w:rPr>
          <w:rFonts w:ascii="Times New Roman" w:hAnsi="Times New Roman" w:cs="Times New Roman"/>
          <w:sz w:val="20"/>
          <w:szCs w:val="20"/>
        </w:rPr>
        <w:t xml:space="preserve"> does not</w:t>
      </w:r>
      <w:r w:rsidR="001F4CEC" w:rsidRPr="000B0375">
        <w:rPr>
          <w:rFonts w:ascii="Times New Roman" w:hAnsi="Times New Roman" w:cs="Times New Roman"/>
          <w:sz w:val="20"/>
          <w:szCs w:val="20"/>
        </w:rPr>
        <w:t>. Wit</w:t>
      </w:r>
      <w:r w:rsidRPr="000B0375">
        <w:rPr>
          <w:rFonts w:ascii="Times New Roman" w:hAnsi="Times New Roman" w:cs="Times New Roman"/>
          <w:sz w:val="20"/>
          <w:szCs w:val="20"/>
        </w:rPr>
        <w:t xml:space="preserve">h these adjustments, the Pearson’s </w:t>
      </w:r>
      <w:r w:rsidRPr="000B0375">
        <w:rPr>
          <w:rFonts w:ascii="Times New Roman" w:hAnsi="Times New Roman" w:cs="Times New Roman"/>
          <w:i/>
          <w:sz w:val="20"/>
          <w:szCs w:val="20"/>
        </w:rPr>
        <w:t>r</w:t>
      </w:r>
      <w:r w:rsidRPr="000B0375">
        <w:rPr>
          <w:rFonts w:ascii="Times New Roman" w:hAnsi="Times New Roman" w:cs="Times New Roman"/>
          <w:sz w:val="20"/>
          <w:szCs w:val="20"/>
        </w:rPr>
        <w:t xml:space="preserve"> correlation statistic between my </w:t>
      </w:r>
      <w:proofErr w:type="spellStart"/>
      <w:r w:rsidRPr="000B0375">
        <w:rPr>
          <w:rFonts w:ascii="Times New Roman" w:hAnsi="Times New Roman" w:cs="Times New Roman"/>
          <w:sz w:val="20"/>
          <w:szCs w:val="20"/>
        </w:rPr>
        <w:t>ascriptive</w:t>
      </w:r>
      <w:proofErr w:type="spellEnd"/>
      <w:r w:rsidRPr="000B0375">
        <w:rPr>
          <w:rFonts w:ascii="Times New Roman" w:hAnsi="Times New Roman" w:cs="Times New Roman"/>
          <w:sz w:val="20"/>
          <w:szCs w:val="20"/>
        </w:rPr>
        <w:t xml:space="preserve"> </w:t>
      </w:r>
      <w:proofErr w:type="spellStart"/>
      <w:r w:rsidR="00E73E12" w:rsidRPr="000B0375">
        <w:rPr>
          <w:rFonts w:ascii="Times New Roman" w:hAnsi="Times New Roman" w:cs="Times New Roman"/>
          <w:sz w:val="20"/>
          <w:szCs w:val="20"/>
        </w:rPr>
        <w:t>critieria</w:t>
      </w:r>
      <w:proofErr w:type="spellEnd"/>
      <w:r w:rsidRPr="000B0375">
        <w:rPr>
          <w:rFonts w:ascii="Times New Roman" w:hAnsi="Times New Roman" w:cs="Times New Roman"/>
          <w:sz w:val="20"/>
          <w:szCs w:val="20"/>
        </w:rPr>
        <w:t xml:space="preserve"> and the CPI is -0.78 (</w:t>
      </w:r>
      <w:r w:rsidRPr="000B0375">
        <w:rPr>
          <w:rFonts w:ascii="Times New Roman" w:hAnsi="Times New Roman" w:cs="Times New Roman"/>
          <w:i/>
          <w:sz w:val="20"/>
          <w:szCs w:val="20"/>
        </w:rPr>
        <w:t>p</w:t>
      </w:r>
      <w:r w:rsidRPr="000B0375">
        <w:rPr>
          <w:rFonts w:ascii="Times New Roman" w:hAnsi="Times New Roman" w:cs="Times New Roman"/>
          <w:sz w:val="20"/>
          <w:szCs w:val="20"/>
        </w:rPr>
        <w:t xml:space="preserve"> = 0.000).</w:t>
      </w:r>
    </w:p>
  </w:footnote>
  <w:footnote w:id="2">
    <w:p w:rsidR="004E70EA" w:rsidRPr="000B0375" w:rsidRDefault="004E70EA" w:rsidP="004E70EA">
      <w:pPr>
        <w:pStyle w:val="FootnoteText"/>
        <w:rPr>
          <w:rFonts w:ascii="Times New Roman" w:hAnsi="Times New Roman" w:cs="Times New Roman"/>
          <w:sz w:val="20"/>
          <w:szCs w:val="20"/>
        </w:rPr>
      </w:pPr>
      <w:r w:rsidRPr="000B0375">
        <w:rPr>
          <w:rStyle w:val="FootnoteReference"/>
          <w:rFonts w:ascii="Times New Roman" w:hAnsi="Times New Roman" w:cs="Times New Roman"/>
          <w:sz w:val="20"/>
          <w:szCs w:val="20"/>
        </w:rPr>
        <w:footnoteRef/>
      </w:r>
      <w:r w:rsidRPr="000B0375">
        <w:rPr>
          <w:rFonts w:ascii="Times New Roman" w:hAnsi="Times New Roman" w:cs="Times New Roman"/>
          <w:sz w:val="20"/>
          <w:szCs w:val="20"/>
        </w:rPr>
        <w:t xml:space="preserve"> </w:t>
      </w:r>
      <w:r w:rsidR="00E73E12" w:rsidRPr="000B0375">
        <w:rPr>
          <w:rFonts w:ascii="Times New Roman" w:hAnsi="Times New Roman" w:cs="Times New Roman"/>
          <w:sz w:val="20"/>
          <w:szCs w:val="20"/>
        </w:rPr>
        <w:t xml:space="preserve">My measures differ from CIVIX in that they only measure membership criteria at the stage of citizenship </w:t>
      </w:r>
      <w:r w:rsidRPr="000B0375">
        <w:rPr>
          <w:rFonts w:ascii="Times New Roman" w:hAnsi="Times New Roman" w:cs="Times New Roman"/>
          <w:sz w:val="20"/>
          <w:szCs w:val="20"/>
        </w:rPr>
        <w:t xml:space="preserve">(Gate 3), whereas CIVIX incorporates requirements at the stages of immigrant entry (Gate 1) and immigrant settlement (Gate 2). </w:t>
      </w:r>
      <w:r w:rsidR="00E73E12" w:rsidRPr="000B0375">
        <w:rPr>
          <w:rFonts w:ascii="Times New Roman" w:hAnsi="Times New Roman" w:cs="Times New Roman"/>
          <w:sz w:val="20"/>
          <w:szCs w:val="20"/>
        </w:rPr>
        <w:t xml:space="preserve">My quantification also includes good character/criminality requirements and </w:t>
      </w:r>
      <w:proofErr w:type="spellStart"/>
      <w:r w:rsidR="00E73E12" w:rsidRPr="000B0375">
        <w:rPr>
          <w:rFonts w:ascii="Times New Roman" w:hAnsi="Times New Roman" w:cs="Times New Roman"/>
          <w:sz w:val="20"/>
          <w:szCs w:val="20"/>
        </w:rPr>
        <w:t>and</w:t>
      </w:r>
      <w:proofErr w:type="spellEnd"/>
      <w:r w:rsidR="00E73E12" w:rsidRPr="000B0375">
        <w:rPr>
          <w:rFonts w:ascii="Times New Roman" w:hAnsi="Times New Roman" w:cs="Times New Roman"/>
          <w:sz w:val="20"/>
          <w:szCs w:val="20"/>
        </w:rPr>
        <w:t xml:space="preserve"> economic self-sufficiency requirements that are not included in the CIVIX but are included in </w:t>
      </w:r>
      <w:proofErr w:type="spellStart"/>
      <w:r w:rsidR="00E73E12" w:rsidRPr="000B0375">
        <w:rPr>
          <w:rFonts w:ascii="Times New Roman" w:hAnsi="Times New Roman" w:cs="Times New Roman"/>
          <w:sz w:val="20"/>
          <w:szCs w:val="20"/>
        </w:rPr>
        <w:t>Janoski’s</w:t>
      </w:r>
      <w:proofErr w:type="spellEnd"/>
      <w:r w:rsidR="00E73E12" w:rsidRPr="000B0375">
        <w:rPr>
          <w:rFonts w:ascii="Times New Roman" w:hAnsi="Times New Roman" w:cs="Times New Roman"/>
          <w:sz w:val="20"/>
          <w:szCs w:val="20"/>
        </w:rPr>
        <w:t xml:space="preserve"> (2010) Barriers to Nationality Index (BNI). W</w:t>
      </w:r>
      <w:r w:rsidRPr="000B0375">
        <w:rPr>
          <w:rFonts w:ascii="Times New Roman" w:hAnsi="Times New Roman" w:cs="Times New Roman"/>
          <w:sz w:val="20"/>
          <w:szCs w:val="20"/>
        </w:rPr>
        <w:t xml:space="preserve">ith these adjustments, the Pearson’s </w:t>
      </w:r>
      <w:r w:rsidRPr="000B0375">
        <w:rPr>
          <w:rFonts w:ascii="Times New Roman" w:hAnsi="Times New Roman" w:cs="Times New Roman"/>
          <w:i/>
          <w:sz w:val="20"/>
          <w:szCs w:val="20"/>
        </w:rPr>
        <w:t>r</w:t>
      </w:r>
      <w:r w:rsidRPr="000B0375">
        <w:rPr>
          <w:rFonts w:ascii="Times New Roman" w:hAnsi="Times New Roman" w:cs="Times New Roman"/>
          <w:sz w:val="20"/>
          <w:szCs w:val="20"/>
        </w:rPr>
        <w:t xml:space="preserve"> correlation statistic between my </w:t>
      </w:r>
      <w:proofErr w:type="spellStart"/>
      <w:r w:rsidRPr="000B0375">
        <w:rPr>
          <w:rFonts w:ascii="Times New Roman" w:hAnsi="Times New Roman" w:cs="Times New Roman"/>
          <w:sz w:val="20"/>
          <w:szCs w:val="20"/>
        </w:rPr>
        <w:t>performative</w:t>
      </w:r>
      <w:proofErr w:type="spellEnd"/>
      <w:r w:rsidRPr="000B0375">
        <w:rPr>
          <w:rFonts w:ascii="Times New Roman" w:hAnsi="Times New Roman" w:cs="Times New Roman"/>
          <w:sz w:val="20"/>
          <w:szCs w:val="20"/>
        </w:rPr>
        <w:t xml:space="preserve"> </w:t>
      </w:r>
      <w:r w:rsidR="00E73E12" w:rsidRPr="000B0375">
        <w:rPr>
          <w:rFonts w:ascii="Times New Roman" w:hAnsi="Times New Roman" w:cs="Times New Roman"/>
          <w:sz w:val="20"/>
          <w:szCs w:val="20"/>
        </w:rPr>
        <w:t>criteria</w:t>
      </w:r>
      <w:r w:rsidRPr="000B0375">
        <w:rPr>
          <w:rFonts w:ascii="Times New Roman" w:hAnsi="Times New Roman" w:cs="Times New Roman"/>
          <w:sz w:val="20"/>
          <w:szCs w:val="20"/>
        </w:rPr>
        <w:t xml:space="preserve"> and CIVIX is 0.75 (</w:t>
      </w:r>
      <w:r w:rsidRPr="000B0375">
        <w:rPr>
          <w:rFonts w:ascii="Times New Roman" w:hAnsi="Times New Roman" w:cs="Times New Roman"/>
          <w:i/>
          <w:sz w:val="20"/>
          <w:szCs w:val="20"/>
        </w:rPr>
        <w:t>p</w:t>
      </w:r>
      <w:r w:rsidRPr="000B0375">
        <w:rPr>
          <w:rFonts w:ascii="Times New Roman" w:hAnsi="Times New Roman" w:cs="Times New Roman"/>
          <w:sz w:val="20"/>
          <w:szCs w:val="20"/>
        </w:rPr>
        <w:t xml:space="preserve"> = 0.000).</w:t>
      </w:r>
    </w:p>
  </w:footnote>
  <w:footnote w:id="3">
    <w:p w:rsidR="000B0375" w:rsidRPr="000B0375" w:rsidRDefault="000B0375">
      <w:pPr>
        <w:pStyle w:val="FootnoteText"/>
        <w:rPr>
          <w:rFonts w:ascii="Times New Roman" w:hAnsi="Times New Roman" w:cs="Times New Roman"/>
          <w:sz w:val="20"/>
          <w:szCs w:val="20"/>
        </w:rPr>
      </w:pPr>
      <w:r w:rsidRPr="000B0375">
        <w:rPr>
          <w:rStyle w:val="FootnoteReference"/>
          <w:rFonts w:ascii="Times New Roman" w:hAnsi="Times New Roman" w:cs="Times New Roman"/>
          <w:sz w:val="20"/>
          <w:szCs w:val="20"/>
        </w:rPr>
        <w:footnoteRef/>
      </w:r>
      <w:r w:rsidRPr="000B0375">
        <w:rPr>
          <w:rFonts w:ascii="Times New Roman" w:hAnsi="Times New Roman" w:cs="Times New Roman"/>
          <w:sz w:val="20"/>
          <w:szCs w:val="20"/>
        </w:rPr>
        <w:t xml:space="preserve"> </w:t>
      </w:r>
      <w:r>
        <w:rPr>
          <w:rFonts w:ascii="Times New Roman" w:hAnsi="Times New Roman" w:cs="Times New Roman"/>
          <w:sz w:val="20"/>
          <w:szCs w:val="20"/>
        </w:rPr>
        <w:t xml:space="preserve">For a discussion of coding and measurement issues in the </w:t>
      </w:r>
      <w:r w:rsidRPr="000B0375">
        <w:rPr>
          <w:rFonts w:ascii="Times New Roman" w:hAnsi="Times New Roman" w:cs="Times New Roman"/>
          <w:sz w:val="20"/>
          <w:szCs w:val="20"/>
        </w:rPr>
        <w:t xml:space="preserve">literature on citizenship policy </w:t>
      </w:r>
      <w:r>
        <w:rPr>
          <w:rFonts w:ascii="Times New Roman" w:hAnsi="Times New Roman" w:cs="Times New Roman"/>
          <w:sz w:val="20"/>
          <w:szCs w:val="20"/>
        </w:rPr>
        <w:t xml:space="preserve">that I used to guide my quantification process, see </w:t>
      </w:r>
      <w:r w:rsidRPr="000B0375">
        <w:rPr>
          <w:rFonts w:ascii="Times New Roman" w:hAnsi="Times New Roman" w:cs="Times New Roman"/>
          <w:sz w:val="20"/>
          <w:szCs w:val="20"/>
        </w:rPr>
        <w:t xml:space="preserve">Michalowski and van </w:t>
      </w:r>
      <w:proofErr w:type="spellStart"/>
      <w:r w:rsidRPr="000B0375">
        <w:rPr>
          <w:rFonts w:ascii="Times New Roman" w:hAnsi="Times New Roman" w:cs="Times New Roman"/>
          <w:sz w:val="20"/>
          <w:szCs w:val="20"/>
        </w:rPr>
        <w:t>Oers</w:t>
      </w:r>
      <w:proofErr w:type="spellEnd"/>
      <w:r w:rsidRPr="000B0375">
        <w:rPr>
          <w:rFonts w:ascii="Times New Roman" w:hAnsi="Times New Roman" w:cs="Times New Roman"/>
          <w:sz w:val="20"/>
          <w:szCs w:val="20"/>
        </w:rPr>
        <w:t xml:space="preserve"> </w:t>
      </w:r>
      <w:r w:rsidRPr="000B0375">
        <w:rPr>
          <w:rFonts w:ascii="Times New Roman" w:hAnsi="Times New Roman" w:cs="Times New Roman"/>
          <w:sz w:val="20"/>
          <w:szCs w:val="20"/>
        </w:rPr>
        <w:fldChar w:fldCharType="begin"/>
      </w:r>
      <w:r w:rsidRPr="000B0375">
        <w:rPr>
          <w:rFonts w:ascii="Times New Roman" w:hAnsi="Times New Roman" w:cs="Times New Roman"/>
          <w:sz w:val="20"/>
          <w:szCs w:val="20"/>
        </w:rPr>
        <w:instrText xml:space="preserve"> ADDIN EN.CITE &lt;EndNote&gt;&lt;Cite ExcludeAuth="1"&gt;&lt;Author&gt;Michalowski&lt;/Author&gt;&lt;Year&gt;2012&lt;/Year&gt;&lt;IDText&gt;How can we categorise and interpret civic integration policies?&lt;/IDText&gt;&lt;DisplayText&gt;(2012)&lt;/DisplayText&gt;&lt;record&gt;&lt;titles&gt;&lt;title&gt;How can we categorise and interpret civic integration policies?&lt;/title&gt;&lt;secondary-title&gt;Journal of Ethnic and Migration Studies&lt;/secondary-title&gt;&lt;/titles&gt;&lt;pages&gt;163-171&lt;/pages&gt;&lt;number&gt;1&lt;/number&gt;&lt;contributors&gt;&lt;authors&gt;&lt;author&gt;Michalowski, Ines&lt;/author&gt;&lt;author&gt;van Oers, Ricky&lt;/author&gt;&lt;/authors&gt;&lt;/contributors&gt;&lt;added-date format="utc"&gt;1427383683&lt;/added-date&gt;&lt;ref-type name="Journal Article"&gt;17&lt;/ref-type&gt;&lt;dates&gt;&lt;year&gt;2012&lt;/year&gt;&lt;/dates&gt;&lt;rec-number&gt;234&lt;/rec-number&gt;&lt;last-updated-date format="utc"&gt;1439234975&lt;/last-updated-date&gt;&lt;volume&gt;38&lt;/volume&gt;&lt;/record&gt;&lt;/Cite&gt;&lt;/EndNote&gt;</w:instrText>
      </w:r>
      <w:r w:rsidRPr="000B0375">
        <w:rPr>
          <w:rFonts w:ascii="Times New Roman" w:hAnsi="Times New Roman" w:cs="Times New Roman"/>
          <w:sz w:val="20"/>
          <w:szCs w:val="20"/>
        </w:rPr>
        <w:fldChar w:fldCharType="separate"/>
      </w:r>
      <w:r w:rsidRPr="000B0375">
        <w:rPr>
          <w:rFonts w:ascii="Times New Roman" w:hAnsi="Times New Roman" w:cs="Times New Roman"/>
          <w:sz w:val="20"/>
          <w:szCs w:val="20"/>
        </w:rPr>
        <w:t>(2012)</w:t>
      </w:r>
      <w:r w:rsidRPr="000B0375">
        <w:rPr>
          <w:rFonts w:ascii="Times New Roman" w:hAnsi="Times New Roman" w:cs="Times New Roman"/>
          <w:sz w:val="20"/>
          <w:szCs w:val="20"/>
        </w:rPr>
        <w:fldChar w:fldCharType="end"/>
      </w:r>
      <w:r w:rsidRPr="000B0375">
        <w:rPr>
          <w:rFonts w:ascii="Times New Roman" w:hAnsi="Times New Roman" w:cs="Times New Roman"/>
          <w:sz w:val="20"/>
          <w:szCs w:val="20"/>
        </w:rPr>
        <w:t xml:space="preserve">, Goodman </w:t>
      </w:r>
      <w:r w:rsidRPr="000B0375">
        <w:rPr>
          <w:rFonts w:ascii="Times New Roman" w:hAnsi="Times New Roman" w:cs="Times New Roman"/>
          <w:sz w:val="20"/>
          <w:szCs w:val="20"/>
        </w:rPr>
        <w:fldChar w:fldCharType="begin"/>
      </w:r>
      <w:r w:rsidRPr="000B0375">
        <w:rPr>
          <w:rFonts w:ascii="Times New Roman" w:hAnsi="Times New Roman" w:cs="Times New Roman"/>
          <w:sz w:val="20"/>
          <w:szCs w:val="20"/>
        </w:rPr>
        <w:instrText xml:space="preserve"> ADDIN EN.CITE &lt;EndNote&gt;&lt;Cite ExcludeAuth="1"&gt;&lt;Author&gt;Goodman&lt;/Author&gt;&lt;Year&gt;2012&lt;/Year&gt;&lt;IDText&gt;Measurement and Interpretation Issues in Civic Integration Studies: A Rejoinder&lt;/IDText&gt;&lt;DisplayText&gt;(2012b)&lt;/DisplayText&gt;&lt;record&gt;&lt;titles&gt;&lt;title&gt;Measurement and Interpretation Issues in Civic Integration Studies: A Rejoinder&lt;/title&gt;&lt;secondary-title&gt;Journal of Ethnic and Migration Studies 38&lt;/secondary-title&gt;&lt;/titles&gt;&lt;number&gt;173-186&lt;/number&gt;&lt;contributors&gt;&lt;authors&gt;&lt;author&gt;Goodman, Sara Wallace&lt;/author&gt;&lt;/authors&gt;&lt;/contributors&gt;&lt;added-date format="utc"&gt;1427383683&lt;/added-date&gt;&lt;ref-type name="Journal Article"&gt;17&lt;/ref-type&gt;&lt;dates&gt;&lt;year&gt;2012&lt;/year&gt;&lt;/dates&gt;&lt;rec-number&gt;235&lt;/rec-number&gt;&lt;last-updated-date format="utc"&gt;1439234975&lt;/last-updated-date&gt;&lt;volume&gt;1&lt;/volume&gt;&lt;/record&gt;&lt;/Cite&gt;&lt;/EndNote&gt;</w:instrText>
      </w:r>
      <w:r w:rsidRPr="000B0375">
        <w:rPr>
          <w:rFonts w:ascii="Times New Roman" w:hAnsi="Times New Roman" w:cs="Times New Roman"/>
          <w:sz w:val="20"/>
          <w:szCs w:val="20"/>
        </w:rPr>
        <w:fldChar w:fldCharType="separate"/>
      </w:r>
      <w:r w:rsidRPr="000B0375">
        <w:rPr>
          <w:rFonts w:ascii="Times New Roman" w:hAnsi="Times New Roman" w:cs="Times New Roman"/>
          <w:sz w:val="20"/>
          <w:szCs w:val="20"/>
        </w:rPr>
        <w:t>(2012b)</w:t>
      </w:r>
      <w:r w:rsidRPr="000B0375">
        <w:rPr>
          <w:rFonts w:ascii="Times New Roman" w:hAnsi="Times New Roman" w:cs="Times New Roman"/>
          <w:sz w:val="20"/>
          <w:szCs w:val="20"/>
        </w:rPr>
        <w:fldChar w:fldCharType="end"/>
      </w:r>
      <w:r w:rsidRPr="000B0375">
        <w:rPr>
          <w:rFonts w:ascii="Times New Roman" w:hAnsi="Times New Roman" w:cs="Times New Roman"/>
          <w:sz w:val="20"/>
          <w:szCs w:val="20"/>
        </w:rPr>
        <w:t xml:space="preserve">, and </w:t>
      </w:r>
      <w:proofErr w:type="spellStart"/>
      <w:r w:rsidRPr="000B0375">
        <w:rPr>
          <w:rFonts w:ascii="Times New Roman" w:hAnsi="Times New Roman" w:cs="Times New Roman"/>
          <w:sz w:val="20"/>
          <w:szCs w:val="20"/>
        </w:rPr>
        <w:t>Helbling</w:t>
      </w:r>
      <w:proofErr w:type="spellEnd"/>
      <w:r w:rsidRPr="000B0375">
        <w:rPr>
          <w:rFonts w:ascii="Times New Roman" w:hAnsi="Times New Roman" w:cs="Times New Roman"/>
          <w:sz w:val="20"/>
          <w:szCs w:val="20"/>
        </w:rPr>
        <w:t xml:space="preserve"> et al. </w:t>
      </w:r>
      <w:r w:rsidRPr="000B0375">
        <w:rPr>
          <w:rFonts w:ascii="Times New Roman" w:hAnsi="Times New Roman" w:cs="Times New Roman"/>
          <w:sz w:val="20"/>
          <w:szCs w:val="20"/>
        </w:rPr>
        <w:fldChar w:fldCharType="begin"/>
      </w:r>
      <w:r w:rsidRPr="000B0375">
        <w:rPr>
          <w:rFonts w:ascii="Times New Roman" w:hAnsi="Times New Roman" w:cs="Times New Roman"/>
          <w:sz w:val="20"/>
          <w:szCs w:val="20"/>
        </w:rPr>
        <w:instrText xml:space="preserve"> ADDIN EN.CITE &lt;EndNote&gt;&lt;Cite ExcludeAuth="1"&gt;&lt;Author&gt;Helbling&lt;/Author&gt;&lt;Year&gt;2013&lt;/Year&gt;&lt;IDText&gt;Introduction: How to Measure Immigration Policies&lt;/IDText&gt;&lt;DisplayText&gt;(2013)&lt;/DisplayText&gt;&lt;record&gt;&lt;titles&gt;&lt;title&gt;Introduction: How to Measure Immigration Policies&lt;/title&gt;&lt;secondary-title&gt;Symposium: How to Measure Immigration Policies&lt;/secondary-title&gt;&lt;/titles&gt;&lt;pages&gt;4-8&lt;/pages&gt;&lt;contributors&gt;&lt;authors&gt;&lt;author&gt;Helbling, Marc&lt;/author&gt;&lt;author&gt;Bjerre, Liv&lt;/author&gt;&lt;author&gt;Römer, Friederike&lt;/author&gt;&lt;author&gt;Zobel, Malisa&lt;/author&gt;&lt;/authors&gt;&lt;/contributors&gt;&lt;added-date format="utc"&gt;1427731883&lt;/added-date&gt;&lt;ref-type name="Electronic Book Section"&gt;60&lt;/ref-type&gt;&lt;dates&gt;&lt;year&gt;2013&lt;/year&gt;&lt;/dates&gt;&lt;rec-number&gt;252&lt;/rec-number&gt;&lt;publisher&gt;American Political Science Association Migration and Citizenship Section&lt;/publisher&gt;&lt;last-updated-date format="utc"&gt;1439234975&lt;/last-updated-date&gt;&lt;contributors&gt;&lt;secondary-authors&gt;&lt;author&gt;Ellermann, Antje&lt;/author&gt;&lt;/secondary-authors&gt;&lt;/contributors&gt;&lt;volume&gt;1(2)&lt;/volume&gt;&lt;/record&gt;&lt;/Cite&gt;&lt;/EndNote&gt;</w:instrText>
      </w:r>
      <w:r w:rsidRPr="000B0375">
        <w:rPr>
          <w:rFonts w:ascii="Times New Roman" w:hAnsi="Times New Roman" w:cs="Times New Roman"/>
          <w:sz w:val="20"/>
          <w:szCs w:val="20"/>
        </w:rPr>
        <w:fldChar w:fldCharType="separate"/>
      </w:r>
      <w:r w:rsidRPr="000B0375">
        <w:rPr>
          <w:rFonts w:ascii="Times New Roman" w:hAnsi="Times New Roman" w:cs="Times New Roman"/>
          <w:sz w:val="20"/>
          <w:szCs w:val="20"/>
        </w:rPr>
        <w:t>(2013)</w:t>
      </w:r>
      <w:r w:rsidRPr="000B0375">
        <w:rPr>
          <w:rFonts w:ascii="Times New Roman" w:hAnsi="Times New Roman" w:cs="Times New Roman"/>
          <w:sz w:val="20"/>
          <w:szCs w:val="20"/>
        </w:rPr>
        <w:fldChar w:fldCharType="end"/>
      </w:r>
      <w:r w:rsidRPr="000B0375">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EA"/>
    <w:rsid w:val="00094A6D"/>
    <w:rsid w:val="0009569C"/>
    <w:rsid w:val="000A1F15"/>
    <w:rsid w:val="000B0375"/>
    <w:rsid w:val="00114C5E"/>
    <w:rsid w:val="001F25C7"/>
    <w:rsid w:val="001F3D30"/>
    <w:rsid w:val="001F4CEC"/>
    <w:rsid w:val="00484804"/>
    <w:rsid w:val="004C41DA"/>
    <w:rsid w:val="004E70EA"/>
    <w:rsid w:val="00663BB5"/>
    <w:rsid w:val="006720B2"/>
    <w:rsid w:val="00712092"/>
    <w:rsid w:val="007A751F"/>
    <w:rsid w:val="00824B7B"/>
    <w:rsid w:val="00854873"/>
    <w:rsid w:val="00874D52"/>
    <w:rsid w:val="009B3D1F"/>
    <w:rsid w:val="009C2BFC"/>
    <w:rsid w:val="00B04DA6"/>
    <w:rsid w:val="00B05BDF"/>
    <w:rsid w:val="00B72F6C"/>
    <w:rsid w:val="00B84F3E"/>
    <w:rsid w:val="00BA1D0B"/>
    <w:rsid w:val="00BA751C"/>
    <w:rsid w:val="00BB15D3"/>
    <w:rsid w:val="00CB165C"/>
    <w:rsid w:val="00D169B0"/>
    <w:rsid w:val="00E026BD"/>
    <w:rsid w:val="00E73E12"/>
    <w:rsid w:val="00F7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56510-46E9-4552-81C0-EEC59ED7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E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70EA"/>
  </w:style>
  <w:style w:type="character" w:customStyle="1" w:styleId="FootnoteTextChar">
    <w:name w:val="Footnote Text Char"/>
    <w:basedOn w:val="DefaultParagraphFont"/>
    <w:link w:val="FootnoteText"/>
    <w:uiPriority w:val="99"/>
    <w:rsid w:val="004E70EA"/>
    <w:rPr>
      <w:rFonts w:eastAsiaTheme="minorEastAsia"/>
      <w:sz w:val="24"/>
      <w:szCs w:val="24"/>
    </w:rPr>
  </w:style>
  <w:style w:type="character" w:styleId="FootnoteReference">
    <w:name w:val="footnote reference"/>
    <w:basedOn w:val="DefaultParagraphFont"/>
    <w:uiPriority w:val="99"/>
    <w:unhideWhenUsed/>
    <w:rsid w:val="004E7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0C0E-A84E-4DA4-B4BC-051F2231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Graeber, John</dc:creator>
  <cp:keywords/>
  <dc:description/>
  <cp:lastModifiedBy>Graeber, John</cp:lastModifiedBy>
  <cp:revision>13</cp:revision>
  <dcterms:created xsi:type="dcterms:W3CDTF">2019-11-25T05:53:00Z</dcterms:created>
  <dcterms:modified xsi:type="dcterms:W3CDTF">2019-12-11T19:14:00Z</dcterms:modified>
</cp:coreProperties>
</file>