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79C93" w14:textId="1E648FE0" w:rsidR="003B6936" w:rsidRDefault="00424F65" w:rsidP="00902129">
      <w:pPr>
        <w:pStyle w:val="Standa1"/>
        <w:spacing w:after="0" w:line="480" w:lineRule="auto"/>
        <w:rPr>
          <w:rFonts w:ascii="Times New Roman" w:hAnsi="Times New Roman"/>
          <w:b/>
          <w:sz w:val="24"/>
          <w:szCs w:val="24"/>
          <w:lang w:val="en-US"/>
        </w:rPr>
      </w:pPr>
      <w:r>
        <w:rPr>
          <w:rFonts w:ascii="Times New Roman" w:hAnsi="Times New Roman"/>
          <w:b/>
          <w:sz w:val="24"/>
          <w:szCs w:val="24"/>
          <w:lang w:val="en-US"/>
        </w:rPr>
        <w:t xml:space="preserve">Appendix A. </w:t>
      </w:r>
      <w:r w:rsidR="003B6936" w:rsidRPr="003B6936">
        <w:rPr>
          <w:rFonts w:ascii="Times New Roman" w:hAnsi="Times New Roman"/>
          <w:b/>
          <w:sz w:val="24"/>
          <w:szCs w:val="24"/>
          <w:lang w:val="en-US"/>
        </w:rPr>
        <w:t>Detailed Description of the W-NOMINATE Method</w:t>
      </w:r>
    </w:p>
    <w:p w14:paraId="09ECFB0C" w14:textId="72E20F88" w:rsidR="007B230A" w:rsidRPr="007B230A" w:rsidRDefault="00854000" w:rsidP="00902129">
      <w:pPr>
        <w:pStyle w:val="Standa1"/>
        <w:spacing w:after="0" w:line="480" w:lineRule="auto"/>
        <w:rPr>
          <w:rFonts w:ascii="Times New Roman" w:hAnsi="Times New Roman"/>
          <w:i/>
          <w:sz w:val="24"/>
          <w:szCs w:val="24"/>
          <w:lang w:val="en-US"/>
        </w:rPr>
      </w:pPr>
      <w:r>
        <w:rPr>
          <w:rFonts w:ascii="Times New Roman" w:hAnsi="Times New Roman"/>
          <w:i/>
          <w:sz w:val="24"/>
          <w:szCs w:val="24"/>
          <w:lang w:val="en-US"/>
        </w:rPr>
        <w:t>Spatial Voting and Single-Peaked Preferences</w:t>
      </w:r>
    </w:p>
    <w:p w14:paraId="0A28D5A5" w14:textId="63A8D1FB" w:rsidR="00902129" w:rsidRDefault="00697643" w:rsidP="00902129">
      <w:pPr>
        <w:pStyle w:val="Standa1"/>
        <w:spacing w:after="0" w:line="480" w:lineRule="auto"/>
        <w:rPr>
          <w:rFonts w:ascii="Times New Roman" w:hAnsi="Times New Roman"/>
          <w:sz w:val="24"/>
          <w:szCs w:val="24"/>
          <w:lang w:val="en-US"/>
        </w:rPr>
      </w:pPr>
      <w:r>
        <w:rPr>
          <w:rFonts w:ascii="Times New Roman" w:hAnsi="Times New Roman"/>
          <w:sz w:val="24"/>
          <w:szCs w:val="24"/>
          <w:lang w:val="en-US"/>
        </w:rPr>
        <w:t>The W-NOMINATE method</w:t>
      </w:r>
      <w:r w:rsidR="00F35EB7">
        <w:rPr>
          <w:rFonts w:ascii="Times New Roman" w:hAnsi="Times New Roman"/>
          <w:sz w:val="24"/>
          <w:szCs w:val="24"/>
          <w:lang w:val="en-US"/>
        </w:rPr>
        <w:t>, developed by Poole</w:t>
      </w:r>
      <w:r w:rsidR="00902129">
        <w:rPr>
          <w:rFonts w:ascii="Times New Roman" w:hAnsi="Times New Roman"/>
          <w:sz w:val="24"/>
          <w:szCs w:val="24"/>
          <w:lang w:val="en-US"/>
        </w:rPr>
        <w:t xml:space="preserve"> (</w:t>
      </w:r>
      <w:r w:rsidR="00F35EB7">
        <w:rPr>
          <w:rFonts w:ascii="Times New Roman" w:hAnsi="Times New Roman"/>
          <w:sz w:val="24"/>
          <w:szCs w:val="24"/>
          <w:lang w:val="en-US"/>
        </w:rPr>
        <w:t>2005</w:t>
      </w:r>
      <w:r w:rsidR="00902129">
        <w:rPr>
          <w:rFonts w:ascii="Times New Roman" w:hAnsi="Times New Roman"/>
          <w:sz w:val="24"/>
          <w:szCs w:val="24"/>
          <w:lang w:val="en-US"/>
        </w:rPr>
        <w:t xml:space="preserve">) is a probabilistic model designed to uncover the underlying ideal points of voters based upon a series of votes in a given legislative body. Originally, W-NOMINATE was designed to capture the political polarization of American politics based on legislators in the U.S. Congress. </w:t>
      </w:r>
      <w:r>
        <w:rPr>
          <w:rFonts w:ascii="Times New Roman" w:hAnsi="Times New Roman"/>
          <w:sz w:val="24"/>
          <w:szCs w:val="24"/>
          <w:lang w:val="en-US"/>
        </w:rPr>
        <w:t xml:space="preserve">Later work suggested applications </w:t>
      </w:r>
      <w:r w:rsidR="00DF6215">
        <w:rPr>
          <w:rFonts w:ascii="Times New Roman" w:hAnsi="Times New Roman"/>
          <w:sz w:val="24"/>
          <w:szCs w:val="24"/>
          <w:lang w:val="en-US"/>
        </w:rPr>
        <w:t>for</w:t>
      </w:r>
      <w:r>
        <w:rPr>
          <w:rFonts w:ascii="Times New Roman" w:hAnsi="Times New Roman"/>
          <w:sz w:val="24"/>
          <w:szCs w:val="24"/>
          <w:lang w:val="en-US"/>
        </w:rPr>
        <w:t xml:space="preserve"> international and supranational legislatures such as the UN General Assembly and the European Parliament.</w:t>
      </w:r>
      <w:r w:rsidR="00902129" w:rsidRPr="008E52BB">
        <w:rPr>
          <w:rFonts w:ascii="Times New Roman" w:hAnsi="Times New Roman"/>
          <w:sz w:val="24"/>
          <w:szCs w:val="24"/>
          <w:lang w:val="en-US"/>
        </w:rPr>
        <w:t xml:space="preserve"> </w:t>
      </w:r>
      <w:r>
        <w:rPr>
          <w:rFonts w:ascii="Times New Roman" w:hAnsi="Times New Roman"/>
          <w:sz w:val="24"/>
          <w:szCs w:val="24"/>
          <w:lang w:val="en-US"/>
        </w:rPr>
        <w:t>Based in theories of spatial voting (Bl</w:t>
      </w:r>
      <w:r w:rsidR="00D03BA4">
        <w:rPr>
          <w:rFonts w:ascii="Times New Roman" w:hAnsi="Times New Roman"/>
          <w:sz w:val="24"/>
          <w:szCs w:val="24"/>
          <w:lang w:val="en-US"/>
        </w:rPr>
        <w:t>ack 195</w:t>
      </w:r>
      <w:r>
        <w:rPr>
          <w:rFonts w:ascii="Times New Roman" w:hAnsi="Times New Roman"/>
          <w:sz w:val="24"/>
          <w:szCs w:val="24"/>
          <w:lang w:val="en-US"/>
        </w:rPr>
        <w:t>8</w:t>
      </w:r>
      <w:r w:rsidR="00D03BA4">
        <w:rPr>
          <w:rFonts w:ascii="Times New Roman" w:hAnsi="Times New Roman"/>
          <w:sz w:val="24"/>
          <w:szCs w:val="24"/>
          <w:lang w:val="en-US"/>
        </w:rPr>
        <w:t>; Downs 1957</w:t>
      </w:r>
      <w:r>
        <w:rPr>
          <w:rFonts w:ascii="Times New Roman" w:hAnsi="Times New Roman"/>
          <w:sz w:val="24"/>
          <w:szCs w:val="24"/>
          <w:lang w:val="en-US"/>
        </w:rPr>
        <w:t>)</w:t>
      </w:r>
      <w:r w:rsidR="00D03BA4">
        <w:rPr>
          <w:rFonts w:ascii="Times New Roman" w:hAnsi="Times New Roman"/>
          <w:sz w:val="24"/>
          <w:szCs w:val="24"/>
          <w:lang w:val="en-US"/>
        </w:rPr>
        <w:t xml:space="preserve">, W-NOMINATE assumes that voters maintain single-peaked preferences over an issue. </w:t>
      </w:r>
      <w:r w:rsidR="00890698">
        <w:rPr>
          <w:rFonts w:ascii="Times New Roman" w:hAnsi="Times New Roman"/>
          <w:sz w:val="24"/>
          <w:szCs w:val="24"/>
          <w:lang w:val="en-US"/>
        </w:rPr>
        <w:t>That is to say, if a legislator is, for example,</w:t>
      </w:r>
      <w:r w:rsidR="00D03BA4">
        <w:rPr>
          <w:rFonts w:ascii="Times New Roman" w:hAnsi="Times New Roman"/>
          <w:sz w:val="24"/>
          <w:szCs w:val="24"/>
          <w:lang w:val="en-US"/>
        </w:rPr>
        <w:t xml:space="preserve"> fully pro-choice on the issue of abortion, then they would prefer a policy with </w:t>
      </w:r>
      <w:r w:rsidR="00DF6215">
        <w:rPr>
          <w:rFonts w:ascii="Times New Roman" w:hAnsi="Times New Roman"/>
          <w:sz w:val="24"/>
          <w:szCs w:val="24"/>
          <w:lang w:val="en-US"/>
        </w:rPr>
        <w:t>some</w:t>
      </w:r>
      <w:r w:rsidR="00D03BA4">
        <w:rPr>
          <w:rFonts w:ascii="Times New Roman" w:hAnsi="Times New Roman"/>
          <w:sz w:val="24"/>
          <w:szCs w:val="24"/>
          <w:lang w:val="en-US"/>
        </w:rPr>
        <w:t xml:space="preserve"> restrictions over an outright ban.  In the case of t</w:t>
      </w:r>
      <w:r w:rsidR="0024621F">
        <w:rPr>
          <w:rFonts w:ascii="Times New Roman" w:hAnsi="Times New Roman"/>
          <w:sz w:val="24"/>
          <w:szCs w:val="24"/>
          <w:lang w:val="en-US"/>
        </w:rPr>
        <w:t>he GA, policies that states might vote over include condemning Israeli settlement</w:t>
      </w:r>
      <w:r w:rsidR="00DF6215">
        <w:rPr>
          <w:rFonts w:ascii="Times New Roman" w:hAnsi="Times New Roman"/>
          <w:sz w:val="24"/>
          <w:szCs w:val="24"/>
          <w:lang w:val="en-US"/>
        </w:rPr>
        <w:t>s</w:t>
      </w:r>
      <w:r w:rsidR="0024621F">
        <w:rPr>
          <w:rFonts w:ascii="Times New Roman" w:hAnsi="Times New Roman"/>
          <w:sz w:val="24"/>
          <w:szCs w:val="24"/>
          <w:lang w:val="en-US"/>
        </w:rPr>
        <w:t xml:space="preserve"> in the West Bank, in which a single-peaked preference would indicate that a country that prefers an independent Palestinian state with no Israeli settlements would prefer condemna</w:t>
      </w:r>
      <w:r w:rsidR="00DF6215">
        <w:rPr>
          <w:rFonts w:ascii="Times New Roman" w:hAnsi="Times New Roman"/>
          <w:sz w:val="24"/>
          <w:szCs w:val="24"/>
          <w:lang w:val="en-US"/>
        </w:rPr>
        <w:t xml:space="preserve">tion of new settlement construction to no condemnation </w:t>
      </w:r>
      <w:r w:rsidR="0024621F">
        <w:rPr>
          <w:rFonts w:ascii="Times New Roman" w:hAnsi="Times New Roman"/>
          <w:sz w:val="24"/>
          <w:szCs w:val="24"/>
          <w:lang w:val="en-US"/>
        </w:rPr>
        <w:t>of Israel at all. Similarly, a state that prefers a complete lift</w:t>
      </w:r>
      <w:r w:rsidR="003B6936">
        <w:rPr>
          <w:rFonts w:ascii="Times New Roman" w:hAnsi="Times New Roman"/>
          <w:sz w:val="24"/>
          <w:szCs w:val="24"/>
          <w:lang w:val="en-US"/>
        </w:rPr>
        <w:t>ing</w:t>
      </w:r>
      <w:r w:rsidR="0024621F">
        <w:rPr>
          <w:rFonts w:ascii="Times New Roman" w:hAnsi="Times New Roman"/>
          <w:sz w:val="24"/>
          <w:szCs w:val="24"/>
          <w:lang w:val="en-US"/>
        </w:rPr>
        <w:t xml:space="preserve"> of the U.S. embargo on Cuba should prefer a partial lifting of that embargo versus the status quo.</w:t>
      </w:r>
      <w:r w:rsidR="00902129" w:rsidRPr="008E52BB">
        <w:rPr>
          <w:rFonts w:ascii="Times New Roman" w:hAnsi="Times New Roman"/>
          <w:sz w:val="24"/>
          <w:szCs w:val="24"/>
          <w:lang w:val="en-US"/>
        </w:rPr>
        <w:t xml:space="preserve"> Seeking to maximize their utility (i.e. national interest) states will vote for or against a particular policy.</w:t>
      </w:r>
    </w:p>
    <w:p w14:paraId="478A122D" w14:textId="77777777" w:rsidR="00A84B8D" w:rsidRDefault="00A84B8D" w:rsidP="00902129">
      <w:pPr>
        <w:pStyle w:val="Standa1"/>
        <w:spacing w:after="0" w:line="480" w:lineRule="auto"/>
        <w:rPr>
          <w:rFonts w:ascii="Times New Roman" w:hAnsi="Times New Roman"/>
          <w:sz w:val="24"/>
          <w:szCs w:val="24"/>
          <w:lang w:val="en-US"/>
        </w:rPr>
      </w:pPr>
    </w:p>
    <w:p w14:paraId="5B98CB0B" w14:textId="4AF40CB6" w:rsidR="00902129" w:rsidRDefault="003B6936" w:rsidP="00902129">
      <w:pPr>
        <w:pStyle w:val="Standa1"/>
        <w:spacing w:after="0" w:line="480" w:lineRule="auto"/>
        <w:rPr>
          <w:rFonts w:ascii="Times New Roman" w:hAnsi="Times New Roman"/>
          <w:sz w:val="24"/>
          <w:szCs w:val="24"/>
          <w:lang w:val="en-US"/>
        </w:rPr>
      </w:pPr>
      <w:r>
        <w:rPr>
          <w:rFonts w:ascii="Times New Roman" w:hAnsi="Times New Roman"/>
          <w:sz w:val="24"/>
          <w:szCs w:val="24"/>
          <w:lang w:val="en-US"/>
        </w:rPr>
        <w:t>Typically, W-NOMINATE has been used to understand legislators’ preferences on a left-right dimension with respect to their voting behavior in a legislative body (U.S. Congress, EU Parliament, etc.). Thus we can see</w:t>
      </w:r>
      <w:r w:rsidR="00924767">
        <w:rPr>
          <w:rFonts w:ascii="Times New Roman" w:hAnsi="Times New Roman"/>
          <w:sz w:val="24"/>
          <w:szCs w:val="24"/>
          <w:lang w:val="en-US"/>
        </w:rPr>
        <w:t xml:space="preserve"> that in the 115</w:t>
      </w:r>
      <w:r w:rsidR="00924767" w:rsidRPr="00924767">
        <w:rPr>
          <w:rFonts w:ascii="Times New Roman" w:hAnsi="Times New Roman"/>
          <w:sz w:val="24"/>
          <w:szCs w:val="24"/>
          <w:vertAlign w:val="superscript"/>
          <w:lang w:val="en-US"/>
        </w:rPr>
        <w:t>th</w:t>
      </w:r>
      <w:r w:rsidR="00924767">
        <w:rPr>
          <w:rFonts w:ascii="Times New Roman" w:hAnsi="Times New Roman"/>
          <w:sz w:val="24"/>
          <w:szCs w:val="24"/>
          <w:lang w:val="en-US"/>
        </w:rPr>
        <w:t xml:space="preserve"> Congress</w:t>
      </w:r>
      <w:r w:rsidR="00902129" w:rsidRPr="008E52BB">
        <w:rPr>
          <w:rFonts w:ascii="Times New Roman" w:hAnsi="Times New Roman"/>
          <w:sz w:val="24"/>
          <w:szCs w:val="24"/>
          <w:lang w:val="en-US"/>
        </w:rPr>
        <w:t xml:space="preserve"> that Sen. </w:t>
      </w:r>
      <w:r w:rsidR="00924767">
        <w:rPr>
          <w:rFonts w:ascii="Times New Roman" w:hAnsi="Times New Roman"/>
          <w:sz w:val="24"/>
          <w:szCs w:val="24"/>
          <w:lang w:val="en-US"/>
        </w:rPr>
        <w:t xml:space="preserve">Mazie </w:t>
      </w:r>
      <w:proofErr w:type="spellStart"/>
      <w:r w:rsidR="00924767">
        <w:rPr>
          <w:rFonts w:ascii="Times New Roman" w:hAnsi="Times New Roman"/>
          <w:sz w:val="24"/>
          <w:szCs w:val="24"/>
          <w:lang w:val="en-US"/>
        </w:rPr>
        <w:t>Hirono</w:t>
      </w:r>
      <w:proofErr w:type="spellEnd"/>
      <w:r w:rsidR="00924767">
        <w:rPr>
          <w:rFonts w:ascii="Times New Roman" w:hAnsi="Times New Roman"/>
          <w:sz w:val="24"/>
          <w:szCs w:val="24"/>
          <w:lang w:val="en-US"/>
        </w:rPr>
        <w:t xml:space="preserve"> (D-HI</w:t>
      </w:r>
      <w:r w:rsidR="00902129" w:rsidRPr="008E52BB">
        <w:rPr>
          <w:rFonts w:ascii="Times New Roman" w:hAnsi="Times New Roman"/>
          <w:sz w:val="24"/>
          <w:szCs w:val="24"/>
          <w:lang w:val="en-US"/>
        </w:rPr>
        <w:t xml:space="preserve">) is located to the left of Sen. </w:t>
      </w:r>
      <w:r w:rsidR="004974D8">
        <w:rPr>
          <w:rFonts w:ascii="Times New Roman" w:hAnsi="Times New Roman"/>
          <w:sz w:val="24"/>
          <w:szCs w:val="24"/>
          <w:lang w:val="en-US"/>
        </w:rPr>
        <w:t>Lisa Murkowski (R-AK</w:t>
      </w:r>
      <w:r w:rsidR="00902129" w:rsidRPr="008E52BB">
        <w:rPr>
          <w:rFonts w:ascii="Times New Roman" w:hAnsi="Times New Roman"/>
          <w:sz w:val="24"/>
          <w:szCs w:val="24"/>
          <w:lang w:val="en-US"/>
        </w:rPr>
        <w:t>) who is to the left of Sen. Ted Cruz (R-TX)</w:t>
      </w:r>
      <w:r w:rsidR="0044733B">
        <w:rPr>
          <w:rFonts w:ascii="Times New Roman" w:hAnsi="Times New Roman"/>
          <w:sz w:val="24"/>
          <w:szCs w:val="24"/>
          <w:lang w:val="en-US"/>
        </w:rPr>
        <w:t xml:space="preserve"> </w:t>
      </w:r>
      <w:r w:rsidR="00924767">
        <w:rPr>
          <w:rFonts w:ascii="Times New Roman" w:hAnsi="Times New Roman"/>
          <w:sz w:val="24"/>
          <w:szCs w:val="24"/>
          <w:lang w:val="en-US"/>
        </w:rPr>
        <w:t>(</w:t>
      </w:r>
      <w:r w:rsidR="00607986">
        <w:rPr>
          <w:rFonts w:ascii="Times New Roman" w:hAnsi="Times New Roman"/>
          <w:sz w:val="24"/>
          <w:szCs w:val="24"/>
          <w:lang w:val="en-US"/>
        </w:rPr>
        <w:t>Lewis et al.</w:t>
      </w:r>
      <w:r w:rsidR="00924767">
        <w:rPr>
          <w:rFonts w:ascii="Times New Roman" w:hAnsi="Times New Roman"/>
          <w:sz w:val="24"/>
          <w:szCs w:val="24"/>
          <w:lang w:val="en-US"/>
        </w:rPr>
        <w:t xml:space="preserve"> 2019)</w:t>
      </w:r>
      <w:r w:rsidR="00902129" w:rsidRPr="008E52BB">
        <w:rPr>
          <w:rFonts w:ascii="Times New Roman" w:hAnsi="Times New Roman"/>
          <w:sz w:val="24"/>
          <w:szCs w:val="24"/>
          <w:lang w:val="en-US"/>
        </w:rPr>
        <w:t xml:space="preserve">. Each legislator </w:t>
      </w:r>
      <w:r w:rsidR="007B230A">
        <w:rPr>
          <w:rFonts w:ascii="Times New Roman" w:hAnsi="Times New Roman"/>
          <w:sz w:val="24"/>
          <w:szCs w:val="24"/>
          <w:lang w:val="en-US"/>
        </w:rPr>
        <w:t>is represented by a point in Euclidean space</w:t>
      </w:r>
      <w:r w:rsidR="00902129" w:rsidRPr="008E52BB">
        <w:rPr>
          <w:rFonts w:ascii="Times New Roman" w:hAnsi="Times New Roman"/>
          <w:sz w:val="24"/>
          <w:szCs w:val="24"/>
          <w:lang w:val="en-US"/>
        </w:rPr>
        <w:t xml:space="preserve">, while each </w:t>
      </w:r>
      <w:r w:rsidR="007B230A">
        <w:rPr>
          <w:rFonts w:ascii="Times New Roman" w:hAnsi="Times New Roman"/>
          <w:sz w:val="24"/>
          <w:szCs w:val="24"/>
          <w:lang w:val="en-US"/>
        </w:rPr>
        <w:t>vote</w:t>
      </w:r>
      <w:r w:rsidR="00902129" w:rsidRPr="008E52BB">
        <w:rPr>
          <w:rFonts w:ascii="Times New Roman" w:hAnsi="Times New Roman"/>
          <w:sz w:val="24"/>
          <w:szCs w:val="24"/>
          <w:lang w:val="en-US"/>
        </w:rPr>
        <w:t xml:space="preserve"> </w:t>
      </w:r>
      <w:r w:rsidR="00902129" w:rsidRPr="008E52BB">
        <w:rPr>
          <w:rFonts w:ascii="Times New Roman" w:hAnsi="Times New Roman"/>
          <w:sz w:val="24"/>
          <w:szCs w:val="24"/>
          <w:lang w:val="en-US"/>
        </w:rPr>
        <w:lastRenderedPageBreak/>
        <w:t>is a line that divides legislators who are for or against a particular issue tha</w:t>
      </w:r>
      <w:r w:rsidR="004974D8">
        <w:rPr>
          <w:rFonts w:ascii="Times New Roman" w:hAnsi="Times New Roman"/>
          <w:sz w:val="24"/>
          <w:szCs w:val="24"/>
          <w:lang w:val="en-US"/>
        </w:rPr>
        <w:t>t is up for a vote (Poole 2005). In the case of the cloture motion to advance the nomination of Brett Kavanaugh to the U.S. Supreme Court,</w:t>
      </w:r>
      <w:r w:rsidR="00902129" w:rsidRPr="008E52BB">
        <w:rPr>
          <w:rFonts w:ascii="Times New Roman" w:hAnsi="Times New Roman"/>
          <w:sz w:val="24"/>
          <w:szCs w:val="24"/>
          <w:lang w:val="en-US"/>
        </w:rPr>
        <w:t xml:space="preserve"> </w:t>
      </w:r>
      <w:proofErr w:type="spellStart"/>
      <w:r w:rsidR="004974D8">
        <w:rPr>
          <w:rFonts w:ascii="Times New Roman" w:hAnsi="Times New Roman"/>
          <w:sz w:val="24"/>
          <w:szCs w:val="24"/>
          <w:lang w:val="en-US"/>
        </w:rPr>
        <w:t>Hirono</w:t>
      </w:r>
      <w:proofErr w:type="spellEnd"/>
      <w:r w:rsidR="004974D8">
        <w:rPr>
          <w:rFonts w:ascii="Times New Roman" w:hAnsi="Times New Roman"/>
          <w:sz w:val="24"/>
          <w:szCs w:val="24"/>
          <w:lang w:val="en-US"/>
        </w:rPr>
        <w:t xml:space="preserve"> and Murkowski</w:t>
      </w:r>
      <w:r w:rsidR="00902129" w:rsidRPr="008E52BB">
        <w:rPr>
          <w:rFonts w:ascii="Times New Roman" w:hAnsi="Times New Roman"/>
          <w:sz w:val="24"/>
          <w:szCs w:val="24"/>
          <w:lang w:val="en-US"/>
        </w:rPr>
        <w:t xml:space="preserve"> </w:t>
      </w:r>
      <w:r w:rsidR="004974D8">
        <w:rPr>
          <w:rFonts w:ascii="Times New Roman" w:hAnsi="Times New Roman"/>
          <w:sz w:val="24"/>
          <w:szCs w:val="24"/>
          <w:lang w:val="en-US"/>
        </w:rPr>
        <w:t>voted agains</w:t>
      </w:r>
      <w:r w:rsidR="00854000">
        <w:rPr>
          <w:rFonts w:ascii="Times New Roman" w:hAnsi="Times New Roman"/>
          <w:sz w:val="24"/>
          <w:szCs w:val="24"/>
          <w:lang w:val="en-US"/>
        </w:rPr>
        <w:t>t</w:t>
      </w:r>
      <w:r w:rsidR="004974D8">
        <w:rPr>
          <w:rFonts w:ascii="Times New Roman" w:hAnsi="Times New Roman"/>
          <w:sz w:val="24"/>
          <w:szCs w:val="24"/>
          <w:lang w:val="en-US"/>
        </w:rPr>
        <w:t xml:space="preserve"> the motion while</w:t>
      </w:r>
      <w:r w:rsidR="00902129" w:rsidRPr="008E52BB">
        <w:rPr>
          <w:rFonts w:ascii="Times New Roman" w:hAnsi="Times New Roman"/>
          <w:sz w:val="24"/>
          <w:szCs w:val="24"/>
          <w:lang w:val="en-US"/>
        </w:rPr>
        <w:t xml:space="preserve"> Cruz </w:t>
      </w:r>
      <w:r w:rsidR="004974D8">
        <w:rPr>
          <w:rFonts w:ascii="Times New Roman" w:hAnsi="Times New Roman"/>
          <w:sz w:val="24"/>
          <w:szCs w:val="24"/>
          <w:lang w:val="en-US"/>
        </w:rPr>
        <w:t>voted for the motion</w:t>
      </w:r>
      <w:r w:rsidR="00902129" w:rsidRPr="008E52BB">
        <w:rPr>
          <w:rFonts w:ascii="Times New Roman" w:hAnsi="Times New Roman"/>
          <w:sz w:val="24"/>
          <w:szCs w:val="24"/>
          <w:lang w:val="en-US"/>
        </w:rPr>
        <w:t>, despite the shared party affiliation of the latter two legislators. If ideology were the only dimension on which Democrats and Republicans voted, then that line may have cut the legislators differently.</w:t>
      </w:r>
      <w:r w:rsidR="007A79EC">
        <w:rPr>
          <w:rFonts w:ascii="Times New Roman" w:hAnsi="Times New Roman"/>
          <w:sz w:val="24"/>
          <w:szCs w:val="24"/>
          <w:lang w:val="en-US"/>
        </w:rPr>
        <w:t xml:space="preserve"> While legislators do not frequently bridge ideological divides, the occurrence is common enough to suggest the existence of multiple dimensions of voting.</w:t>
      </w:r>
      <w:r w:rsidR="00902129" w:rsidRPr="008E52BB">
        <w:rPr>
          <w:rFonts w:ascii="Times New Roman" w:hAnsi="Times New Roman"/>
          <w:sz w:val="24"/>
          <w:szCs w:val="24"/>
          <w:lang w:val="en-US"/>
        </w:rPr>
        <w:t xml:space="preserve"> </w:t>
      </w:r>
    </w:p>
    <w:p w14:paraId="459912A8" w14:textId="77777777" w:rsidR="00C92F01" w:rsidRDefault="00C92F01" w:rsidP="00A84B8D">
      <w:pPr>
        <w:pStyle w:val="Standa1"/>
        <w:spacing w:after="0" w:line="480" w:lineRule="auto"/>
        <w:rPr>
          <w:rFonts w:ascii="Times New Roman" w:hAnsi="Times New Roman"/>
          <w:i/>
          <w:sz w:val="24"/>
          <w:szCs w:val="24"/>
          <w:lang w:val="en-US"/>
        </w:rPr>
      </w:pPr>
    </w:p>
    <w:p w14:paraId="057F7079" w14:textId="77777777" w:rsidR="00A84B8D" w:rsidRPr="00854000" w:rsidRDefault="00A84B8D" w:rsidP="00A84B8D">
      <w:pPr>
        <w:pStyle w:val="Standa1"/>
        <w:spacing w:after="0" w:line="480" w:lineRule="auto"/>
        <w:rPr>
          <w:rFonts w:ascii="Times New Roman" w:hAnsi="Times New Roman"/>
          <w:i/>
          <w:sz w:val="24"/>
          <w:szCs w:val="24"/>
          <w:lang w:val="en-US"/>
        </w:rPr>
      </w:pPr>
      <w:r>
        <w:rPr>
          <w:rFonts w:ascii="Times New Roman" w:hAnsi="Times New Roman"/>
          <w:i/>
          <w:sz w:val="24"/>
          <w:szCs w:val="24"/>
          <w:lang w:val="en-US"/>
        </w:rPr>
        <w:t>Unit Circle and Cartesian Coordinates in Euclidean Space</w:t>
      </w:r>
    </w:p>
    <w:p w14:paraId="050A958C" w14:textId="441029C0" w:rsidR="00A84B8D" w:rsidRDefault="00A84B8D" w:rsidP="00A84B8D">
      <w:pPr>
        <w:pStyle w:val="Standa1"/>
        <w:spacing w:after="0" w:line="480" w:lineRule="auto"/>
        <w:rPr>
          <w:rFonts w:ascii="Times New Roman" w:hAnsi="Times New Roman"/>
          <w:sz w:val="24"/>
          <w:szCs w:val="24"/>
          <w:lang w:val="en-US"/>
        </w:rPr>
      </w:pPr>
      <w:r>
        <w:rPr>
          <w:rFonts w:ascii="Times New Roman" w:hAnsi="Times New Roman"/>
          <w:sz w:val="24"/>
          <w:szCs w:val="24"/>
          <w:lang w:val="en-US"/>
        </w:rPr>
        <w:t xml:space="preserve">Figure 1 </w:t>
      </w:r>
      <w:r w:rsidR="008B034D">
        <w:rPr>
          <w:rFonts w:ascii="Times New Roman" w:hAnsi="Times New Roman"/>
          <w:sz w:val="24"/>
          <w:szCs w:val="24"/>
          <w:lang w:val="en-US"/>
        </w:rPr>
        <w:t xml:space="preserve">(in the text) </w:t>
      </w:r>
      <w:r>
        <w:rPr>
          <w:rFonts w:ascii="Times New Roman" w:hAnsi="Times New Roman"/>
          <w:sz w:val="24"/>
          <w:szCs w:val="24"/>
          <w:lang w:val="en-US"/>
        </w:rPr>
        <w:t>displays the results of the W-NOMINATE analysis on the GA roll call voting data. Each state is represented by a poi</w:t>
      </w:r>
      <w:r w:rsidR="00DC19CD">
        <w:rPr>
          <w:rFonts w:ascii="Times New Roman" w:hAnsi="Times New Roman"/>
          <w:sz w:val="24"/>
          <w:szCs w:val="24"/>
          <w:lang w:val="en-US"/>
        </w:rPr>
        <w:t xml:space="preserve">nt on a unit circle. The unit circle </w:t>
      </w:r>
      <w:r w:rsidR="00C92F01">
        <w:rPr>
          <w:rFonts w:ascii="Times New Roman" w:hAnsi="Times New Roman"/>
          <w:sz w:val="24"/>
          <w:szCs w:val="24"/>
          <w:lang w:val="en-US"/>
        </w:rPr>
        <w:t>has</w:t>
      </w:r>
      <w:r w:rsidR="00DC19CD">
        <w:rPr>
          <w:rFonts w:ascii="Times New Roman" w:hAnsi="Times New Roman"/>
          <w:sz w:val="24"/>
          <w:szCs w:val="24"/>
          <w:lang w:val="en-US"/>
        </w:rPr>
        <w:t xml:space="preserve"> a radius of 1 </w:t>
      </w:r>
      <w:r w:rsidR="00C92F01">
        <w:rPr>
          <w:rFonts w:ascii="Times New Roman" w:hAnsi="Times New Roman"/>
          <w:sz w:val="24"/>
          <w:szCs w:val="24"/>
          <w:lang w:val="en-US"/>
        </w:rPr>
        <w:t>and an</w:t>
      </w:r>
      <w:r w:rsidR="00DC19CD">
        <w:rPr>
          <w:rFonts w:ascii="Times New Roman" w:hAnsi="Times New Roman"/>
          <w:sz w:val="24"/>
          <w:szCs w:val="24"/>
          <w:lang w:val="en-US"/>
        </w:rPr>
        <w:t xml:space="preserve"> origin </w:t>
      </w:r>
      <w:r w:rsidR="00C92F01">
        <w:rPr>
          <w:rFonts w:ascii="Times New Roman" w:hAnsi="Times New Roman"/>
          <w:sz w:val="24"/>
          <w:szCs w:val="24"/>
          <w:lang w:val="en-US"/>
        </w:rPr>
        <w:t>with</w:t>
      </w:r>
      <w:r w:rsidR="00DC19CD">
        <w:rPr>
          <w:rFonts w:ascii="Times New Roman" w:hAnsi="Times New Roman"/>
          <w:sz w:val="24"/>
          <w:szCs w:val="24"/>
          <w:lang w:val="en-US"/>
        </w:rPr>
        <w:t xml:space="preserve"> Cartesian coordinates (0,0). Thus each point refers to a specific Cartesian coordinate</w:t>
      </w:r>
      <w:r w:rsidR="00C92F01">
        <w:rPr>
          <w:rFonts w:ascii="Times New Roman" w:hAnsi="Times New Roman"/>
          <w:sz w:val="24"/>
          <w:szCs w:val="24"/>
          <w:lang w:val="en-US"/>
        </w:rPr>
        <w:t xml:space="preserve"> each representing a dimension of voting.</w:t>
      </w:r>
    </w:p>
    <w:p w14:paraId="3B1E7BAD" w14:textId="77777777" w:rsidR="008B034D" w:rsidRDefault="008B034D" w:rsidP="00A84B8D">
      <w:pPr>
        <w:pStyle w:val="Standa1"/>
        <w:spacing w:after="0" w:line="480" w:lineRule="auto"/>
        <w:rPr>
          <w:rFonts w:ascii="Times New Roman" w:hAnsi="Times New Roman"/>
          <w:sz w:val="24"/>
          <w:szCs w:val="24"/>
          <w:lang w:val="en-US"/>
        </w:rPr>
      </w:pPr>
    </w:p>
    <w:p w14:paraId="0FB2565E" w14:textId="0EF80357" w:rsidR="00902129" w:rsidRPr="008E52BB" w:rsidRDefault="00902129" w:rsidP="00A84B8D">
      <w:pPr>
        <w:pStyle w:val="Standa1"/>
        <w:spacing w:after="0" w:line="480" w:lineRule="auto"/>
        <w:rPr>
          <w:rFonts w:ascii="Times New Roman" w:hAnsi="Times New Roman"/>
          <w:sz w:val="24"/>
          <w:szCs w:val="24"/>
          <w:lang w:val="en-US"/>
        </w:rPr>
      </w:pPr>
      <w:r w:rsidRPr="008E52BB">
        <w:rPr>
          <w:rFonts w:ascii="Times New Roman" w:hAnsi="Times New Roman"/>
          <w:sz w:val="24"/>
          <w:szCs w:val="24"/>
          <w:lang w:val="en-US"/>
        </w:rPr>
        <w:t>W-NOMINATE</w:t>
      </w:r>
      <w:r w:rsidR="006D3280">
        <w:rPr>
          <w:rFonts w:ascii="Times New Roman" w:hAnsi="Times New Roman"/>
          <w:sz w:val="24"/>
          <w:szCs w:val="24"/>
          <w:lang w:val="en-US"/>
        </w:rPr>
        <w:t xml:space="preserve"> does not assume equal importance of the dimensions</w:t>
      </w:r>
      <w:r w:rsidRPr="008E52BB">
        <w:rPr>
          <w:rFonts w:ascii="Times New Roman" w:hAnsi="Times New Roman"/>
          <w:sz w:val="24"/>
          <w:szCs w:val="24"/>
          <w:lang w:val="en-US"/>
        </w:rPr>
        <w:t>.</w:t>
      </w:r>
      <w:r w:rsidR="006D3280">
        <w:rPr>
          <w:rStyle w:val="FootnoteReference"/>
          <w:rFonts w:ascii="Times New Roman" w:hAnsi="Times New Roman"/>
          <w:sz w:val="24"/>
          <w:szCs w:val="24"/>
          <w:lang w:val="en-US"/>
        </w:rPr>
        <w:footnoteReference w:id="1"/>
      </w:r>
      <w:r w:rsidRPr="008E52BB">
        <w:rPr>
          <w:rFonts w:ascii="Times New Roman" w:hAnsi="Times New Roman"/>
          <w:sz w:val="24"/>
          <w:szCs w:val="24"/>
          <w:lang w:val="en-US"/>
        </w:rPr>
        <w:t xml:space="preserve"> But, when a voter values issues — dimensions — differently (for instance, a U.S. Republican that puts more importance on economic issues than social ones</w:t>
      </w:r>
      <w:r w:rsidR="00F31D9B">
        <w:rPr>
          <w:rFonts w:ascii="Times New Roman" w:hAnsi="Times New Roman"/>
          <w:sz w:val="24"/>
          <w:szCs w:val="24"/>
          <w:lang w:val="en-US"/>
        </w:rPr>
        <w:t xml:space="preserve"> or an emerging economy that puts greater emphasis</w:t>
      </w:r>
      <w:r w:rsidR="006004DD">
        <w:rPr>
          <w:rFonts w:ascii="Times New Roman" w:hAnsi="Times New Roman"/>
          <w:sz w:val="24"/>
          <w:szCs w:val="24"/>
          <w:lang w:val="en-US"/>
        </w:rPr>
        <w:t xml:space="preserve"> issues of development than upon nuclear proliferation</w:t>
      </w:r>
      <w:r w:rsidRPr="008E52BB">
        <w:rPr>
          <w:rFonts w:ascii="Times New Roman" w:hAnsi="Times New Roman"/>
          <w:sz w:val="24"/>
          <w:szCs w:val="24"/>
          <w:lang w:val="en-US"/>
        </w:rPr>
        <w:t xml:space="preserve">), the indifference curves will be elongated rather than symmetrical, meaning that a relatively small move on one dimension may imply a much larger one on another. For example, Hix, </w:t>
      </w:r>
      <w:proofErr w:type="spellStart"/>
      <w:r w:rsidRPr="008E52BB">
        <w:rPr>
          <w:rFonts w:ascii="Times New Roman" w:hAnsi="Times New Roman"/>
          <w:sz w:val="24"/>
          <w:szCs w:val="24"/>
          <w:lang w:val="en-US"/>
        </w:rPr>
        <w:t>Noury</w:t>
      </w:r>
      <w:proofErr w:type="spellEnd"/>
      <w:r w:rsidRPr="008E52BB">
        <w:rPr>
          <w:rFonts w:ascii="Times New Roman" w:hAnsi="Times New Roman"/>
          <w:sz w:val="24"/>
          <w:szCs w:val="24"/>
          <w:lang w:val="en-US"/>
        </w:rPr>
        <w:t xml:space="preserve">, and Roland (2009) have suggested that voting in the European Parliament occurs along two dimensions, the traditional left-right, and of secondary importance, pro and anti-EU dispositions. </w:t>
      </w:r>
    </w:p>
    <w:p w14:paraId="5E0FB3CC" w14:textId="77777777" w:rsidR="006004DD" w:rsidRDefault="006004DD" w:rsidP="006004DD">
      <w:pPr>
        <w:pStyle w:val="Standa1"/>
        <w:spacing w:after="0" w:line="480" w:lineRule="auto"/>
        <w:rPr>
          <w:rFonts w:ascii="Times New Roman" w:hAnsi="Times New Roman"/>
          <w:sz w:val="24"/>
          <w:szCs w:val="24"/>
          <w:lang w:val="en-US"/>
        </w:rPr>
      </w:pPr>
    </w:p>
    <w:p w14:paraId="1B719006" w14:textId="49960784" w:rsidR="006004DD" w:rsidRPr="006004DD" w:rsidRDefault="00424F65" w:rsidP="006004DD">
      <w:pPr>
        <w:pStyle w:val="Standa1"/>
        <w:spacing w:after="0" w:line="480" w:lineRule="auto"/>
        <w:rPr>
          <w:rFonts w:ascii="Times New Roman" w:hAnsi="Times New Roman"/>
          <w:b/>
          <w:sz w:val="24"/>
          <w:szCs w:val="24"/>
          <w:lang w:val="en-US"/>
        </w:rPr>
      </w:pPr>
      <w:r>
        <w:rPr>
          <w:rFonts w:ascii="Times New Roman" w:hAnsi="Times New Roman"/>
          <w:b/>
          <w:sz w:val="24"/>
          <w:szCs w:val="24"/>
          <w:lang w:val="en-US"/>
        </w:rPr>
        <w:t xml:space="preserve">Appendix B. </w:t>
      </w:r>
      <w:r w:rsidR="006004DD">
        <w:rPr>
          <w:rFonts w:ascii="Times New Roman" w:hAnsi="Times New Roman"/>
          <w:b/>
          <w:sz w:val="24"/>
          <w:szCs w:val="24"/>
          <w:lang w:val="en-US"/>
        </w:rPr>
        <w:t>Explaining Dimensionality in the Context of the UN General Assembly</w:t>
      </w:r>
    </w:p>
    <w:p w14:paraId="47A800CE" w14:textId="77777777" w:rsidR="00902129" w:rsidRPr="008E52BB" w:rsidRDefault="00902129" w:rsidP="006004DD">
      <w:pPr>
        <w:pStyle w:val="Standa1"/>
        <w:spacing w:after="0" w:line="480" w:lineRule="auto"/>
        <w:rPr>
          <w:rFonts w:ascii="Times New Roman" w:hAnsi="Times New Roman"/>
          <w:sz w:val="24"/>
          <w:szCs w:val="24"/>
          <w:lang w:val="en-US"/>
        </w:rPr>
      </w:pPr>
      <w:r w:rsidRPr="008E52BB">
        <w:rPr>
          <w:rFonts w:ascii="Times New Roman" w:hAnsi="Times New Roman"/>
          <w:sz w:val="24"/>
          <w:szCs w:val="24"/>
          <w:lang w:val="en-US"/>
        </w:rPr>
        <w:t xml:space="preserve">In most analyses that consider multidimensional spatial voting, the dimensions fall along the lines of left-right or government-opposition; however, in international politics, these dimensions are more difficult to identify, given the comparative lack of predictability in GA voting as compared to domestic legislatures and the EU Parliament, in which there are established political parties. In the results below, we offer some intuition as to the importance of the dimensions and use different techniques to analyze what these may represent. </w:t>
      </w:r>
    </w:p>
    <w:p w14:paraId="1BAB399C" w14:textId="77777777" w:rsidR="00424F65" w:rsidRDefault="00424F65" w:rsidP="00FB702E">
      <w:pPr>
        <w:pStyle w:val="Standard1"/>
        <w:pBdr>
          <w:top w:val="nil"/>
          <w:left w:val="nil"/>
          <w:bottom w:val="nil"/>
          <w:right w:val="nil"/>
          <w:between w:val="nil"/>
        </w:pBdr>
        <w:spacing w:line="480" w:lineRule="auto"/>
        <w:jc w:val="both"/>
        <w:rPr>
          <w:color w:val="000000"/>
        </w:rPr>
      </w:pPr>
    </w:p>
    <w:p w14:paraId="6866A9FE" w14:textId="77777777" w:rsidR="00FB702E" w:rsidRPr="00320448" w:rsidRDefault="00FB702E" w:rsidP="00FB702E">
      <w:pPr>
        <w:pStyle w:val="Standard1"/>
        <w:pBdr>
          <w:top w:val="nil"/>
          <w:left w:val="nil"/>
          <w:bottom w:val="nil"/>
          <w:right w:val="nil"/>
          <w:between w:val="nil"/>
        </w:pBdr>
        <w:spacing w:line="480" w:lineRule="auto"/>
        <w:jc w:val="both"/>
        <w:rPr>
          <w:color w:val="000000"/>
        </w:rPr>
      </w:pPr>
      <w:r w:rsidRPr="00320448">
        <w:rPr>
          <w:color w:val="000000"/>
        </w:rPr>
        <w:t xml:space="preserve">In addition to the ideal point estimates for each state, W-NOMINATE reports statistics that are used to determine the dimensionality of voting in the GA. Table 1 reports these summary statistics. The geometric mean probability (GMP) is a test statistic that indicates how much the model is explaining compared to chance. The GMP ranges from 0.5 to 1, with 0.5 meaning that the model does no better than a coin toss. The GMP for each time period hovers just above 0.8, meaning that the model correctly predicts 80 percent of the roll-call behavior across the votes analyzed. The aggregate proportional reduction in error (APRE) is a statistic that provides further information on the correct classification of roll-call votes and ranges between 0 and 1. The closer the test statistic is to 1, the more variation the model explains. Each dimension receives an APRE score, and the difference between the second and first dimension relays information about the importance of the second dimension relative to the first. The classification percentage is derived from the APRE. Thus, in the first period under investigation, the first dimension correctly classifies 92 percent of the voting decisions, while the second dimension explains only 1.24 percent of the voting decisions (93.25-92.01). In the second period, 2002-2011, the first </w:t>
      </w:r>
      <w:r w:rsidRPr="00320448">
        <w:rPr>
          <w:color w:val="000000"/>
        </w:rPr>
        <w:lastRenderedPageBreak/>
        <w:t>dimension is responsible for about 66 percent of the proportional reduction in error, whereas the second dimension only further reduces that error by 8 percent. While the percentage of variation explained by the second dimension remains rather low across the two periods analyzed, it is higher in the last decade, calling into question what these dimensions could be.</w:t>
      </w:r>
    </w:p>
    <w:p w14:paraId="4594570E" w14:textId="77777777" w:rsidR="00FB702E" w:rsidRPr="00320448" w:rsidRDefault="00FB702E" w:rsidP="00FB702E">
      <w:pPr>
        <w:pStyle w:val="Standard1"/>
        <w:widowControl w:val="0"/>
        <w:pBdr>
          <w:top w:val="nil"/>
          <w:left w:val="nil"/>
          <w:bottom w:val="nil"/>
          <w:right w:val="nil"/>
          <w:between w:val="nil"/>
        </w:pBdr>
        <w:spacing w:after="200" w:line="276" w:lineRule="auto"/>
        <w:rPr>
          <w:b/>
          <w:color w:val="000000"/>
        </w:rPr>
      </w:pPr>
    </w:p>
    <w:p w14:paraId="66DC8F7F" w14:textId="0A69699B" w:rsidR="00FB702E" w:rsidRPr="00320448" w:rsidRDefault="00FB702E" w:rsidP="00FB702E">
      <w:pPr>
        <w:pStyle w:val="Standa1"/>
        <w:widowControl w:val="0"/>
        <w:rPr>
          <w:rFonts w:ascii="Times New Roman" w:hAnsi="Times New Roman"/>
          <w:b/>
          <w:sz w:val="24"/>
          <w:szCs w:val="24"/>
          <w:lang w:val="en-US"/>
        </w:rPr>
      </w:pPr>
      <w:r w:rsidRPr="00320448">
        <w:rPr>
          <w:rFonts w:ascii="Times New Roman" w:hAnsi="Times New Roman"/>
          <w:b/>
          <w:sz w:val="24"/>
          <w:szCs w:val="24"/>
          <w:lang w:val="en-US"/>
        </w:rPr>
        <w:t xml:space="preserve">Table </w:t>
      </w:r>
      <w:r w:rsidR="00424F65">
        <w:rPr>
          <w:rFonts w:ascii="Times New Roman" w:hAnsi="Times New Roman"/>
          <w:b/>
          <w:sz w:val="24"/>
          <w:szCs w:val="24"/>
          <w:lang w:val="en-US"/>
        </w:rPr>
        <w:t>B</w:t>
      </w:r>
      <w:r w:rsidRPr="00320448">
        <w:rPr>
          <w:rFonts w:ascii="Times New Roman" w:hAnsi="Times New Roman"/>
          <w:b/>
          <w:sz w:val="24"/>
          <w:szCs w:val="24"/>
          <w:lang w:val="en-US"/>
        </w:rPr>
        <w:t xml:space="preserve">1: W-NOMINATE Summary statistics </w:t>
      </w:r>
    </w:p>
    <w:tbl>
      <w:tblPr>
        <w:tblW w:w="7645" w:type="dxa"/>
        <w:tblCellMar>
          <w:left w:w="70" w:type="dxa"/>
          <w:right w:w="70" w:type="dxa"/>
        </w:tblCellMar>
        <w:tblLook w:val="0000" w:firstRow="0" w:lastRow="0" w:firstColumn="0" w:lastColumn="0" w:noHBand="0" w:noVBand="0"/>
      </w:tblPr>
      <w:tblGrid>
        <w:gridCol w:w="794"/>
        <w:gridCol w:w="815"/>
        <w:gridCol w:w="714"/>
        <w:gridCol w:w="1474"/>
        <w:gridCol w:w="1474"/>
        <w:gridCol w:w="847"/>
        <w:gridCol w:w="847"/>
        <w:gridCol w:w="680"/>
      </w:tblGrid>
      <w:tr w:rsidR="00FB702E" w:rsidRPr="00320448" w14:paraId="339482E8" w14:textId="77777777" w:rsidTr="00902129">
        <w:trPr>
          <w:cantSplit/>
          <w:trHeight w:hRule="exact" w:val="567"/>
        </w:trPr>
        <w:tc>
          <w:tcPr>
            <w:tcW w:w="794" w:type="dxa"/>
            <w:tcBorders>
              <w:top w:val="single" w:sz="4" w:space="0" w:color="auto"/>
              <w:left w:val="nil"/>
              <w:bottom w:val="single" w:sz="4" w:space="0" w:color="auto"/>
              <w:right w:val="nil"/>
            </w:tcBorders>
            <w:vAlign w:val="center"/>
          </w:tcPr>
          <w:p w14:paraId="3679EC0E" w14:textId="77777777" w:rsidR="00FB702E" w:rsidRPr="00320448" w:rsidRDefault="00FB702E" w:rsidP="00902129">
            <w:pPr>
              <w:pStyle w:val="Standa1"/>
              <w:rPr>
                <w:rFonts w:ascii="Times New Roman" w:hAnsi="Times New Roman"/>
                <w:i/>
                <w:sz w:val="24"/>
                <w:szCs w:val="24"/>
                <w:lang w:val="en-US"/>
              </w:rPr>
            </w:pPr>
            <w:r w:rsidRPr="00320448">
              <w:rPr>
                <w:rFonts w:ascii="Times New Roman" w:hAnsi="Times New Roman"/>
                <w:i/>
                <w:sz w:val="24"/>
                <w:szCs w:val="24"/>
                <w:lang w:val="en-US"/>
              </w:rPr>
              <w:t>Period</w:t>
            </w:r>
          </w:p>
        </w:tc>
        <w:tc>
          <w:tcPr>
            <w:tcW w:w="815" w:type="dxa"/>
            <w:tcBorders>
              <w:top w:val="single" w:sz="4" w:space="0" w:color="auto"/>
              <w:left w:val="nil"/>
              <w:bottom w:val="single" w:sz="4" w:space="0" w:color="auto"/>
              <w:right w:val="nil"/>
            </w:tcBorders>
            <w:vAlign w:val="center"/>
          </w:tcPr>
          <w:p w14:paraId="7E61A4A8" w14:textId="77777777" w:rsidR="00FB702E" w:rsidRPr="00320448" w:rsidRDefault="00FB702E" w:rsidP="00902129">
            <w:pPr>
              <w:pStyle w:val="Standa1"/>
              <w:spacing w:after="0" w:line="240" w:lineRule="auto"/>
              <w:jc w:val="both"/>
              <w:rPr>
                <w:rFonts w:ascii="Times New Roman" w:hAnsi="Times New Roman"/>
                <w:i/>
                <w:sz w:val="24"/>
                <w:szCs w:val="24"/>
                <w:lang w:val="en-US"/>
              </w:rPr>
            </w:pPr>
            <w:r w:rsidRPr="00320448">
              <w:rPr>
                <w:rFonts w:ascii="Times New Roman" w:hAnsi="Times New Roman"/>
                <w:i/>
                <w:sz w:val="24"/>
                <w:szCs w:val="24"/>
                <w:lang w:val="en-US"/>
              </w:rPr>
              <w:t xml:space="preserve">Votes </w:t>
            </w:r>
          </w:p>
          <w:p w14:paraId="02F6BD7E" w14:textId="77777777" w:rsidR="00FB702E" w:rsidRPr="00320448" w:rsidRDefault="00FB702E" w:rsidP="00902129">
            <w:pPr>
              <w:pStyle w:val="Standa1"/>
              <w:spacing w:after="0" w:line="240" w:lineRule="auto"/>
              <w:jc w:val="both"/>
              <w:rPr>
                <w:rFonts w:ascii="Times New Roman" w:hAnsi="Times New Roman"/>
                <w:i/>
                <w:sz w:val="24"/>
                <w:szCs w:val="24"/>
                <w:lang w:val="en-US"/>
              </w:rPr>
            </w:pPr>
          </w:p>
          <w:p w14:paraId="4ED03302" w14:textId="77777777" w:rsidR="00FB702E" w:rsidRPr="00320448" w:rsidRDefault="00FB702E" w:rsidP="00902129">
            <w:pPr>
              <w:pStyle w:val="Standa1"/>
              <w:spacing w:line="240" w:lineRule="auto"/>
              <w:rPr>
                <w:rFonts w:ascii="Times New Roman" w:hAnsi="Times New Roman"/>
                <w:i/>
                <w:sz w:val="24"/>
                <w:szCs w:val="24"/>
                <w:lang w:val="en-US"/>
              </w:rPr>
            </w:pPr>
          </w:p>
          <w:p w14:paraId="2441C253" w14:textId="77777777" w:rsidR="00FB702E" w:rsidRPr="00320448" w:rsidRDefault="00FB702E" w:rsidP="00902129">
            <w:pPr>
              <w:pStyle w:val="Standa1"/>
              <w:rPr>
                <w:rFonts w:ascii="Times New Roman" w:hAnsi="Times New Roman"/>
                <w:i/>
                <w:sz w:val="24"/>
                <w:szCs w:val="24"/>
                <w:lang w:val="en-US"/>
              </w:rPr>
            </w:pPr>
          </w:p>
          <w:p w14:paraId="09C8B888" w14:textId="77777777" w:rsidR="00FB702E" w:rsidRPr="00320448" w:rsidRDefault="00FB702E" w:rsidP="00902129">
            <w:pPr>
              <w:pStyle w:val="Standa1"/>
              <w:rPr>
                <w:rFonts w:ascii="Times New Roman" w:hAnsi="Times New Roman"/>
                <w:i/>
                <w:sz w:val="24"/>
                <w:szCs w:val="24"/>
                <w:lang w:val="en-US"/>
              </w:rPr>
            </w:pPr>
          </w:p>
          <w:p w14:paraId="745BECBB" w14:textId="77777777" w:rsidR="00FB702E" w:rsidRPr="00320448" w:rsidRDefault="00FB702E" w:rsidP="00902129">
            <w:pPr>
              <w:pStyle w:val="Standa1"/>
              <w:rPr>
                <w:rFonts w:ascii="Times New Roman" w:hAnsi="Times New Roman"/>
                <w:i/>
                <w:sz w:val="24"/>
                <w:szCs w:val="24"/>
                <w:lang w:val="en-US"/>
              </w:rPr>
            </w:pPr>
          </w:p>
          <w:p w14:paraId="0595AC09" w14:textId="77777777" w:rsidR="00FB702E" w:rsidRPr="00320448" w:rsidRDefault="00FB702E" w:rsidP="00902129">
            <w:pPr>
              <w:pStyle w:val="Standa1"/>
              <w:rPr>
                <w:rFonts w:ascii="Times New Roman" w:hAnsi="Times New Roman"/>
                <w:i/>
                <w:sz w:val="24"/>
                <w:szCs w:val="24"/>
                <w:lang w:val="en-US"/>
              </w:rPr>
            </w:pPr>
            <w:r w:rsidRPr="00320448">
              <w:rPr>
                <w:rFonts w:ascii="Times New Roman" w:hAnsi="Times New Roman"/>
                <w:i/>
                <w:sz w:val="24"/>
                <w:szCs w:val="24"/>
                <w:lang w:val="en-US"/>
              </w:rPr>
              <w:t>s</w:t>
            </w:r>
          </w:p>
        </w:tc>
        <w:tc>
          <w:tcPr>
            <w:tcW w:w="714" w:type="dxa"/>
            <w:tcBorders>
              <w:top w:val="single" w:sz="4" w:space="0" w:color="auto"/>
              <w:left w:val="nil"/>
              <w:bottom w:val="single" w:sz="4" w:space="0" w:color="auto"/>
              <w:right w:val="nil"/>
            </w:tcBorders>
            <w:vAlign w:val="center"/>
          </w:tcPr>
          <w:p w14:paraId="59F59089" w14:textId="77777777" w:rsidR="00FB702E" w:rsidRPr="00320448" w:rsidRDefault="00FB702E" w:rsidP="00902129">
            <w:pPr>
              <w:pStyle w:val="Standa1"/>
              <w:rPr>
                <w:rFonts w:ascii="Times New Roman" w:hAnsi="Times New Roman"/>
                <w:i/>
                <w:sz w:val="24"/>
                <w:szCs w:val="24"/>
                <w:lang w:val="en-US"/>
              </w:rPr>
            </w:pPr>
            <w:r w:rsidRPr="00320448">
              <w:rPr>
                <w:rFonts w:ascii="Times New Roman" w:hAnsi="Times New Roman"/>
                <w:i/>
                <w:sz w:val="24"/>
                <w:szCs w:val="24"/>
                <w:lang w:val="en-US"/>
              </w:rPr>
              <w:t xml:space="preserve">States </w:t>
            </w:r>
          </w:p>
        </w:tc>
        <w:tc>
          <w:tcPr>
            <w:tcW w:w="1474" w:type="dxa"/>
            <w:tcBorders>
              <w:top w:val="single" w:sz="4" w:space="0" w:color="auto"/>
              <w:left w:val="nil"/>
              <w:bottom w:val="single" w:sz="4" w:space="0" w:color="auto"/>
              <w:right w:val="nil"/>
            </w:tcBorders>
            <w:vAlign w:val="center"/>
          </w:tcPr>
          <w:p w14:paraId="3CB6CB9C" w14:textId="77777777" w:rsidR="00FB702E" w:rsidRPr="00320448" w:rsidRDefault="00FB702E" w:rsidP="00902129">
            <w:pPr>
              <w:pStyle w:val="Standa1"/>
              <w:rPr>
                <w:rFonts w:ascii="Times New Roman" w:hAnsi="Times New Roman"/>
                <w:i/>
                <w:sz w:val="24"/>
                <w:szCs w:val="24"/>
                <w:lang w:val="en-US"/>
              </w:rPr>
            </w:pPr>
            <w:r w:rsidRPr="00320448">
              <w:rPr>
                <w:rFonts w:ascii="Times New Roman" w:hAnsi="Times New Roman"/>
                <w:i/>
                <w:sz w:val="24"/>
                <w:szCs w:val="24"/>
                <w:lang w:val="en-US"/>
              </w:rPr>
              <w:t>Classification %, 1-dim.</w:t>
            </w:r>
          </w:p>
        </w:tc>
        <w:tc>
          <w:tcPr>
            <w:tcW w:w="1474" w:type="dxa"/>
            <w:tcBorders>
              <w:top w:val="single" w:sz="4" w:space="0" w:color="auto"/>
              <w:left w:val="nil"/>
              <w:bottom w:val="single" w:sz="4" w:space="0" w:color="auto"/>
              <w:right w:val="nil"/>
            </w:tcBorders>
            <w:vAlign w:val="center"/>
          </w:tcPr>
          <w:p w14:paraId="4BADF278" w14:textId="77777777" w:rsidR="00FB702E" w:rsidRPr="00320448" w:rsidRDefault="00FB702E" w:rsidP="00902129">
            <w:pPr>
              <w:pStyle w:val="Standa1"/>
              <w:rPr>
                <w:rFonts w:ascii="Times New Roman" w:hAnsi="Times New Roman"/>
                <w:i/>
                <w:sz w:val="24"/>
                <w:szCs w:val="24"/>
                <w:lang w:val="en-US"/>
              </w:rPr>
            </w:pPr>
            <w:r w:rsidRPr="00320448">
              <w:rPr>
                <w:rFonts w:ascii="Times New Roman" w:hAnsi="Times New Roman"/>
                <w:i/>
                <w:sz w:val="24"/>
                <w:szCs w:val="24"/>
                <w:lang w:val="en-US"/>
              </w:rPr>
              <w:t>Classification %, 2-dim.</w:t>
            </w:r>
          </w:p>
        </w:tc>
        <w:tc>
          <w:tcPr>
            <w:tcW w:w="847" w:type="dxa"/>
            <w:tcBorders>
              <w:top w:val="single" w:sz="4" w:space="0" w:color="auto"/>
              <w:left w:val="nil"/>
              <w:bottom w:val="single" w:sz="4" w:space="0" w:color="auto"/>
              <w:right w:val="nil"/>
            </w:tcBorders>
            <w:vAlign w:val="center"/>
          </w:tcPr>
          <w:p w14:paraId="6B3BB46A" w14:textId="77777777" w:rsidR="00FB702E" w:rsidRPr="00320448" w:rsidRDefault="00FB702E" w:rsidP="00902129">
            <w:pPr>
              <w:pStyle w:val="Standa1"/>
              <w:rPr>
                <w:rFonts w:ascii="Times New Roman" w:hAnsi="Times New Roman"/>
                <w:i/>
                <w:sz w:val="24"/>
                <w:szCs w:val="24"/>
                <w:lang w:val="en-US"/>
              </w:rPr>
            </w:pPr>
            <w:r w:rsidRPr="00320448">
              <w:rPr>
                <w:rFonts w:ascii="Times New Roman" w:hAnsi="Times New Roman"/>
                <w:i/>
                <w:sz w:val="24"/>
                <w:szCs w:val="24"/>
                <w:lang w:val="en-US"/>
              </w:rPr>
              <w:t>APRE1</w:t>
            </w:r>
          </w:p>
        </w:tc>
        <w:tc>
          <w:tcPr>
            <w:tcW w:w="847" w:type="dxa"/>
            <w:tcBorders>
              <w:top w:val="single" w:sz="4" w:space="0" w:color="auto"/>
              <w:left w:val="nil"/>
              <w:bottom w:val="single" w:sz="4" w:space="0" w:color="auto"/>
              <w:right w:val="nil"/>
            </w:tcBorders>
            <w:vAlign w:val="center"/>
          </w:tcPr>
          <w:p w14:paraId="6C854A01" w14:textId="77777777" w:rsidR="00FB702E" w:rsidRPr="00320448" w:rsidRDefault="00FB702E" w:rsidP="00902129">
            <w:pPr>
              <w:pStyle w:val="Standa1"/>
              <w:rPr>
                <w:rFonts w:ascii="Times New Roman" w:hAnsi="Times New Roman"/>
                <w:i/>
                <w:sz w:val="24"/>
                <w:szCs w:val="24"/>
                <w:lang w:val="en-US"/>
              </w:rPr>
            </w:pPr>
            <w:r w:rsidRPr="00320448">
              <w:rPr>
                <w:rFonts w:ascii="Times New Roman" w:hAnsi="Times New Roman"/>
                <w:i/>
                <w:sz w:val="24"/>
                <w:szCs w:val="24"/>
                <w:lang w:val="en-US"/>
              </w:rPr>
              <w:t>APRE2</w:t>
            </w:r>
          </w:p>
        </w:tc>
        <w:tc>
          <w:tcPr>
            <w:tcW w:w="680" w:type="dxa"/>
            <w:tcBorders>
              <w:top w:val="single" w:sz="4" w:space="0" w:color="auto"/>
              <w:left w:val="nil"/>
              <w:bottom w:val="single" w:sz="4" w:space="0" w:color="auto"/>
              <w:right w:val="nil"/>
            </w:tcBorders>
            <w:vAlign w:val="center"/>
          </w:tcPr>
          <w:p w14:paraId="5075002C" w14:textId="77777777" w:rsidR="00FB702E" w:rsidRPr="00320448" w:rsidRDefault="00FB702E" w:rsidP="00902129">
            <w:pPr>
              <w:pStyle w:val="Standa1"/>
              <w:rPr>
                <w:rFonts w:ascii="Times New Roman" w:hAnsi="Times New Roman"/>
                <w:i/>
                <w:sz w:val="24"/>
                <w:szCs w:val="24"/>
                <w:lang w:val="en-US"/>
              </w:rPr>
            </w:pPr>
            <w:r w:rsidRPr="00320448">
              <w:rPr>
                <w:rFonts w:ascii="Times New Roman" w:hAnsi="Times New Roman"/>
                <w:i/>
                <w:sz w:val="24"/>
                <w:szCs w:val="24"/>
                <w:lang w:val="en-US"/>
              </w:rPr>
              <w:t>GMP</w:t>
            </w:r>
          </w:p>
        </w:tc>
      </w:tr>
      <w:tr w:rsidR="00FB702E" w:rsidRPr="00320448" w14:paraId="34E32477" w14:textId="77777777" w:rsidTr="00902129">
        <w:trPr>
          <w:cantSplit/>
          <w:trHeight w:hRule="exact" w:val="567"/>
        </w:trPr>
        <w:tc>
          <w:tcPr>
            <w:tcW w:w="794" w:type="dxa"/>
            <w:tcBorders>
              <w:top w:val="nil"/>
              <w:left w:val="nil"/>
              <w:right w:val="nil"/>
            </w:tcBorders>
            <w:noWrap/>
          </w:tcPr>
          <w:p w14:paraId="636EDFD6" w14:textId="77777777" w:rsidR="00FB702E" w:rsidRPr="00320448" w:rsidRDefault="00FB702E" w:rsidP="00902129">
            <w:pPr>
              <w:pStyle w:val="Standa1"/>
              <w:spacing w:after="0" w:line="240" w:lineRule="auto"/>
              <w:rPr>
                <w:rFonts w:ascii="Times New Roman" w:hAnsi="Times New Roman"/>
                <w:sz w:val="24"/>
                <w:szCs w:val="24"/>
                <w:lang w:val="en-US"/>
              </w:rPr>
            </w:pPr>
            <w:r w:rsidRPr="00320448">
              <w:rPr>
                <w:rFonts w:ascii="Times New Roman" w:hAnsi="Times New Roman"/>
                <w:sz w:val="24"/>
                <w:szCs w:val="24"/>
                <w:lang w:val="en-US"/>
              </w:rPr>
              <w:t>1992-2001</w:t>
            </w:r>
          </w:p>
        </w:tc>
        <w:tc>
          <w:tcPr>
            <w:tcW w:w="815" w:type="dxa"/>
            <w:tcBorders>
              <w:top w:val="nil"/>
              <w:left w:val="nil"/>
              <w:right w:val="nil"/>
            </w:tcBorders>
            <w:noWrap/>
          </w:tcPr>
          <w:p w14:paraId="2F8E019D" w14:textId="77777777" w:rsidR="00FB702E" w:rsidRPr="00320448" w:rsidRDefault="00FB702E" w:rsidP="00902129">
            <w:pPr>
              <w:pStyle w:val="Standa1"/>
              <w:spacing w:after="0" w:line="240" w:lineRule="auto"/>
              <w:rPr>
                <w:rFonts w:ascii="Times New Roman" w:hAnsi="Times New Roman"/>
                <w:sz w:val="24"/>
                <w:szCs w:val="24"/>
                <w:lang w:val="en-US"/>
              </w:rPr>
            </w:pPr>
            <w:r w:rsidRPr="00320448">
              <w:rPr>
                <w:rFonts w:ascii="Times New Roman" w:hAnsi="Times New Roman"/>
                <w:sz w:val="24"/>
                <w:szCs w:val="24"/>
                <w:lang w:val="en-US"/>
              </w:rPr>
              <w:t>566</w:t>
            </w:r>
          </w:p>
        </w:tc>
        <w:tc>
          <w:tcPr>
            <w:tcW w:w="714" w:type="dxa"/>
            <w:tcBorders>
              <w:top w:val="nil"/>
              <w:left w:val="nil"/>
              <w:right w:val="nil"/>
            </w:tcBorders>
            <w:noWrap/>
          </w:tcPr>
          <w:p w14:paraId="75E0BAF3" w14:textId="77777777" w:rsidR="00FB702E" w:rsidRPr="00320448" w:rsidRDefault="00FB702E" w:rsidP="00902129">
            <w:pPr>
              <w:pStyle w:val="Standa1"/>
              <w:spacing w:after="0" w:line="240" w:lineRule="auto"/>
              <w:rPr>
                <w:rFonts w:ascii="Times New Roman" w:hAnsi="Times New Roman"/>
                <w:sz w:val="24"/>
                <w:szCs w:val="24"/>
                <w:lang w:val="en-US"/>
              </w:rPr>
            </w:pPr>
            <w:r w:rsidRPr="00320448">
              <w:rPr>
                <w:rFonts w:ascii="Times New Roman" w:hAnsi="Times New Roman"/>
                <w:sz w:val="24"/>
                <w:szCs w:val="24"/>
                <w:lang w:val="en-US"/>
              </w:rPr>
              <w:t>187</w:t>
            </w:r>
          </w:p>
        </w:tc>
        <w:tc>
          <w:tcPr>
            <w:tcW w:w="1474" w:type="dxa"/>
            <w:tcBorders>
              <w:top w:val="nil"/>
              <w:left w:val="nil"/>
              <w:right w:val="nil"/>
            </w:tcBorders>
            <w:noWrap/>
          </w:tcPr>
          <w:p w14:paraId="4970F117" w14:textId="77777777" w:rsidR="00FB702E" w:rsidRPr="00320448" w:rsidRDefault="00FB702E" w:rsidP="00902129">
            <w:pPr>
              <w:pStyle w:val="Standa1"/>
              <w:spacing w:after="0" w:line="240" w:lineRule="auto"/>
              <w:rPr>
                <w:rFonts w:ascii="Times New Roman" w:hAnsi="Times New Roman"/>
                <w:sz w:val="24"/>
                <w:szCs w:val="24"/>
                <w:lang w:val="en-US"/>
              </w:rPr>
            </w:pPr>
            <w:r w:rsidRPr="00320448">
              <w:rPr>
                <w:rFonts w:ascii="Times New Roman" w:hAnsi="Times New Roman"/>
                <w:sz w:val="24"/>
                <w:szCs w:val="24"/>
                <w:lang w:val="en-US"/>
              </w:rPr>
              <w:t>92.01</w:t>
            </w:r>
          </w:p>
        </w:tc>
        <w:tc>
          <w:tcPr>
            <w:tcW w:w="1474" w:type="dxa"/>
            <w:tcBorders>
              <w:top w:val="nil"/>
              <w:left w:val="nil"/>
              <w:right w:val="nil"/>
            </w:tcBorders>
            <w:noWrap/>
          </w:tcPr>
          <w:p w14:paraId="0CDDE017" w14:textId="77777777" w:rsidR="00FB702E" w:rsidRPr="00320448" w:rsidRDefault="00FB702E" w:rsidP="00902129">
            <w:pPr>
              <w:pStyle w:val="Standa1"/>
              <w:spacing w:after="0" w:line="240" w:lineRule="auto"/>
              <w:rPr>
                <w:rFonts w:ascii="Times New Roman" w:hAnsi="Times New Roman"/>
                <w:sz w:val="24"/>
                <w:szCs w:val="24"/>
                <w:lang w:val="en-US"/>
              </w:rPr>
            </w:pPr>
            <w:r w:rsidRPr="00320448">
              <w:rPr>
                <w:rFonts w:ascii="Times New Roman" w:hAnsi="Times New Roman"/>
                <w:sz w:val="24"/>
                <w:szCs w:val="24"/>
                <w:lang w:val="en-US"/>
              </w:rPr>
              <w:t>93.25</w:t>
            </w:r>
          </w:p>
        </w:tc>
        <w:tc>
          <w:tcPr>
            <w:tcW w:w="847" w:type="dxa"/>
            <w:tcBorders>
              <w:top w:val="nil"/>
              <w:left w:val="nil"/>
              <w:right w:val="nil"/>
            </w:tcBorders>
            <w:noWrap/>
          </w:tcPr>
          <w:p w14:paraId="36EA98F0" w14:textId="77777777" w:rsidR="00FB702E" w:rsidRPr="00320448" w:rsidRDefault="00FB702E" w:rsidP="00902129">
            <w:pPr>
              <w:pStyle w:val="Standa1"/>
              <w:spacing w:after="0" w:line="240" w:lineRule="auto"/>
              <w:rPr>
                <w:rFonts w:ascii="Times New Roman" w:hAnsi="Times New Roman"/>
                <w:sz w:val="24"/>
                <w:szCs w:val="24"/>
                <w:lang w:val="en-US"/>
              </w:rPr>
            </w:pPr>
            <w:r w:rsidRPr="00320448">
              <w:rPr>
                <w:rFonts w:ascii="Times New Roman" w:hAnsi="Times New Roman"/>
                <w:sz w:val="24"/>
                <w:szCs w:val="24"/>
                <w:lang w:val="en-US"/>
              </w:rPr>
              <w:t>0.627</w:t>
            </w:r>
          </w:p>
        </w:tc>
        <w:tc>
          <w:tcPr>
            <w:tcW w:w="847" w:type="dxa"/>
            <w:tcBorders>
              <w:top w:val="nil"/>
              <w:left w:val="nil"/>
              <w:right w:val="nil"/>
            </w:tcBorders>
            <w:noWrap/>
          </w:tcPr>
          <w:p w14:paraId="60FA0D12" w14:textId="77777777" w:rsidR="00FB702E" w:rsidRPr="00320448" w:rsidRDefault="00FB702E" w:rsidP="00902129">
            <w:pPr>
              <w:pStyle w:val="Standa1"/>
              <w:spacing w:after="0" w:line="240" w:lineRule="auto"/>
              <w:rPr>
                <w:rFonts w:ascii="Times New Roman" w:hAnsi="Times New Roman"/>
                <w:sz w:val="24"/>
                <w:szCs w:val="24"/>
                <w:lang w:val="en-US"/>
              </w:rPr>
            </w:pPr>
            <w:r w:rsidRPr="00320448">
              <w:rPr>
                <w:rFonts w:ascii="Times New Roman" w:hAnsi="Times New Roman"/>
                <w:sz w:val="24"/>
                <w:szCs w:val="24"/>
                <w:lang w:val="en-US"/>
              </w:rPr>
              <w:t>0.685</w:t>
            </w:r>
          </w:p>
        </w:tc>
        <w:tc>
          <w:tcPr>
            <w:tcW w:w="680" w:type="dxa"/>
            <w:tcBorders>
              <w:top w:val="nil"/>
              <w:left w:val="nil"/>
              <w:right w:val="nil"/>
            </w:tcBorders>
            <w:noWrap/>
          </w:tcPr>
          <w:p w14:paraId="73D45C3A" w14:textId="77777777" w:rsidR="00FB702E" w:rsidRPr="00320448" w:rsidRDefault="00FB702E" w:rsidP="00902129">
            <w:pPr>
              <w:pStyle w:val="Standa1"/>
              <w:spacing w:after="0" w:line="240" w:lineRule="auto"/>
              <w:rPr>
                <w:rFonts w:ascii="Times New Roman" w:hAnsi="Times New Roman"/>
                <w:sz w:val="24"/>
                <w:szCs w:val="24"/>
                <w:lang w:val="en-US"/>
              </w:rPr>
            </w:pPr>
            <w:r w:rsidRPr="00320448">
              <w:rPr>
                <w:rFonts w:ascii="Times New Roman" w:hAnsi="Times New Roman"/>
                <w:sz w:val="24"/>
                <w:szCs w:val="24"/>
                <w:lang w:val="en-US"/>
              </w:rPr>
              <w:t>0.813</w:t>
            </w:r>
          </w:p>
        </w:tc>
      </w:tr>
      <w:tr w:rsidR="00FB702E" w:rsidRPr="00320448" w14:paraId="0E3D9714" w14:textId="77777777" w:rsidTr="00902129">
        <w:trPr>
          <w:cantSplit/>
          <w:trHeight w:hRule="exact" w:val="567"/>
        </w:trPr>
        <w:tc>
          <w:tcPr>
            <w:tcW w:w="794" w:type="dxa"/>
            <w:tcBorders>
              <w:top w:val="nil"/>
              <w:left w:val="nil"/>
              <w:bottom w:val="single" w:sz="4" w:space="0" w:color="auto"/>
              <w:right w:val="nil"/>
            </w:tcBorders>
            <w:noWrap/>
          </w:tcPr>
          <w:p w14:paraId="08FACBC4" w14:textId="77777777" w:rsidR="00FB702E" w:rsidRPr="00320448" w:rsidRDefault="00FB702E" w:rsidP="00902129">
            <w:pPr>
              <w:pStyle w:val="Standa1"/>
              <w:spacing w:after="0" w:line="240" w:lineRule="auto"/>
              <w:rPr>
                <w:rFonts w:ascii="Times New Roman" w:hAnsi="Times New Roman"/>
                <w:sz w:val="24"/>
                <w:szCs w:val="24"/>
                <w:lang w:val="en-US"/>
              </w:rPr>
            </w:pPr>
            <w:r w:rsidRPr="00320448">
              <w:rPr>
                <w:rFonts w:ascii="Times New Roman" w:hAnsi="Times New Roman"/>
                <w:sz w:val="24"/>
                <w:szCs w:val="24"/>
                <w:lang w:val="en-US"/>
              </w:rPr>
              <w:t>2002-2011</w:t>
            </w:r>
          </w:p>
        </w:tc>
        <w:tc>
          <w:tcPr>
            <w:tcW w:w="815" w:type="dxa"/>
            <w:tcBorders>
              <w:top w:val="nil"/>
              <w:left w:val="nil"/>
              <w:bottom w:val="single" w:sz="4" w:space="0" w:color="auto"/>
              <w:right w:val="nil"/>
            </w:tcBorders>
            <w:noWrap/>
          </w:tcPr>
          <w:p w14:paraId="1867CC36" w14:textId="77777777" w:rsidR="00FB702E" w:rsidRPr="00320448" w:rsidRDefault="00FB702E" w:rsidP="00902129">
            <w:pPr>
              <w:pStyle w:val="Standa1"/>
              <w:spacing w:after="0" w:line="240" w:lineRule="auto"/>
              <w:rPr>
                <w:rFonts w:ascii="Times New Roman" w:hAnsi="Times New Roman"/>
                <w:sz w:val="24"/>
                <w:szCs w:val="24"/>
                <w:lang w:val="en-US"/>
              </w:rPr>
            </w:pPr>
            <w:r w:rsidRPr="00320448">
              <w:rPr>
                <w:rFonts w:ascii="Times New Roman" w:hAnsi="Times New Roman"/>
                <w:sz w:val="24"/>
                <w:szCs w:val="24"/>
                <w:lang w:val="en-US"/>
              </w:rPr>
              <w:t>544</w:t>
            </w:r>
          </w:p>
        </w:tc>
        <w:tc>
          <w:tcPr>
            <w:tcW w:w="714" w:type="dxa"/>
            <w:tcBorders>
              <w:top w:val="nil"/>
              <w:left w:val="nil"/>
              <w:bottom w:val="single" w:sz="4" w:space="0" w:color="auto"/>
              <w:right w:val="nil"/>
            </w:tcBorders>
            <w:noWrap/>
          </w:tcPr>
          <w:p w14:paraId="6111FB52" w14:textId="77777777" w:rsidR="00FB702E" w:rsidRPr="00320448" w:rsidRDefault="00FB702E" w:rsidP="00902129">
            <w:pPr>
              <w:pStyle w:val="Standa1"/>
              <w:spacing w:after="0" w:line="240" w:lineRule="auto"/>
              <w:rPr>
                <w:rFonts w:ascii="Times New Roman" w:hAnsi="Times New Roman"/>
                <w:sz w:val="24"/>
                <w:szCs w:val="24"/>
                <w:lang w:val="en-US"/>
              </w:rPr>
            </w:pPr>
            <w:r w:rsidRPr="00320448">
              <w:rPr>
                <w:rFonts w:ascii="Times New Roman" w:hAnsi="Times New Roman"/>
                <w:sz w:val="24"/>
                <w:szCs w:val="24"/>
                <w:lang w:val="en-US"/>
              </w:rPr>
              <w:t>191</w:t>
            </w:r>
          </w:p>
        </w:tc>
        <w:tc>
          <w:tcPr>
            <w:tcW w:w="1474" w:type="dxa"/>
            <w:tcBorders>
              <w:top w:val="nil"/>
              <w:left w:val="nil"/>
              <w:bottom w:val="single" w:sz="4" w:space="0" w:color="auto"/>
              <w:right w:val="nil"/>
            </w:tcBorders>
            <w:noWrap/>
          </w:tcPr>
          <w:p w14:paraId="09E3727A" w14:textId="77777777" w:rsidR="00FB702E" w:rsidRPr="00320448" w:rsidRDefault="00FB702E" w:rsidP="00902129">
            <w:pPr>
              <w:pStyle w:val="Standa1"/>
              <w:spacing w:after="0" w:line="240" w:lineRule="auto"/>
              <w:rPr>
                <w:rFonts w:ascii="Times New Roman" w:hAnsi="Times New Roman"/>
                <w:sz w:val="24"/>
                <w:szCs w:val="24"/>
                <w:lang w:val="en-US"/>
              </w:rPr>
            </w:pPr>
            <w:r w:rsidRPr="00320448">
              <w:rPr>
                <w:rFonts w:ascii="Times New Roman" w:hAnsi="Times New Roman"/>
                <w:sz w:val="24"/>
                <w:szCs w:val="24"/>
                <w:lang w:val="en-US"/>
              </w:rPr>
              <w:t>92.72</w:t>
            </w:r>
          </w:p>
        </w:tc>
        <w:tc>
          <w:tcPr>
            <w:tcW w:w="1474" w:type="dxa"/>
            <w:tcBorders>
              <w:top w:val="nil"/>
              <w:left w:val="nil"/>
              <w:bottom w:val="single" w:sz="4" w:space="0" w:color="auto"/>
              <w:right w:val="nil"/>
            </w:tcBorders>
            <w:noWrap/>
          </w:tcPr>
          <w:p w14:paraId="75AB6532" w14:textId="77777777" w:rsidR="00FB702E" w:rsidRPr="00320448" w:rsidRDefault="00FB702E" w:rsidP="00902129">
            <w:pPr>
              <w:pStyle w:val="Standa1"/>
              <w:spacing w:after="0" w:line="240" w:lineRule="auto"/>
              <w:rPr>
                <w:rFonts w:ascii="Times New Roman" w:hAnsi="Times New Roman"/>
                <w:sz w:val="24"/>
                <w:szCs w:val="24"/>
                <w:lang w:val="en-US"/>
              </w:rPr>
            </w:pPr>
            <w:r w:rsidRPr="00320448">
              <w:rPr>
                <w:rFonts w:ascii="Times New Roman" w:hAnsi="Times New Roman"/>
                <w:sz w:val="24"/>
                <w:szCs w:val="24"/>
                <w:lang w:val="en-US"/>
              </w:rPr>
              <w:t>94.47</w:t>
            </w:r>
          </w:p>
        </w:tc>
        <w:tc>
          <w:tcPr>
            <w:tcW w:w="847" w:type="dxa"/>
            <w:tcBorders>
              <w:top w:val="nil"/>
              <w:left w:val="nil"/>
              <w:bottom w:val="single" w:sz="4" w:space="0" w:color="auto"/>
              <w:right w:val="nil"/>
            </w:tcBorders>
            <w:noWrap/>
          </w:tcPr>
          <w:p w14:paraId="4B5615D1" w14:textId="77777777" w:rsidR="00FB702E" w:rsidRPr="00320448" w:rsidRDefault="00FB702E" w:rsidP="00902129">
            <w:pPr>
              <w:pStyle w:val="Standa1"/>
              <w:spacing w:after="0" w:line="240" w:lineRule="auto"/>
              <w:rPr>
                <w:rFonts w:ascii="Times New Roman" w:hAnsi="Times New Roman"/>
                <w:sz w:val="24"/>
                <w:szCs w:val="24"/>
                <w:lang w:val="en-US"/>
              </w:rPr>
            </w:pPr>
            <w:r w:rsidRPr="00320448">
              <w:rPr>
                <w:rFonts w:ascii="Times New Roman" w:hAnsi="Times New Roman"/>
                <w:sz w:val="24"/>
                <w:szCs w:val="24"/>
                <w:lang w:val="en-US"/>
              </w:rPr>
              <w:t>0.657</w:t>
            </w:r>
          </w:p>
        </w:tc>
        <w:tc>
          <w:tcPr>
            <w:tcW w:w="847" w:type="dxa"/>
            <w:tcBorders>
              <w:top w:val="nil"/>
              <w:left w:val="nil"/>
              <w:bottom w:val="single" w:sz="4" w:space="0" w:color="auto"/>
              <w:right w:val="nil"/>
            </w:tcBorders>
            <w:noWrap/>
          </w:tcPr>
          <w:p w14:paraId="408FC712" w14:textId="77777777" w:rsidR="00FB702E" w:rsidRPr="00320448" w:rsidRDefault="00FB702E" w:rsidP="00902129">
            <w:pPr>
              <w:pStyle w:val="Standa1"/>
              <w:spacing w:after="0" w:line="240" w:lineRule="auto"/>
              <w:rPr>
                <w:rFonts w:ascii="Times New Roman" w:hAnsi="Times New Roman"/>
                <w:sz w:val="24"/>
                <w:szCs w:val="24"/>
                <w:lang w:val="en-US"/>
              </w:rPr>
            </w:pPr>
            <w:r w:rsidRPr="00320448">
              <w:rPr>
                <w:rFonts w:ascii="Times New Roman" w:hAnsi="Times New Roman"/>
                <w:sz w:val="24"/>
                <w:szCs w:val="24"/>
                <w:lang w:val="en-US"/>
              </w:rPr>
              <w:t>0.739</w:t>
            </w:r>
          </w:p>
        </w:tc>
        <w:tc>
          <w:tcPr>
            <w:tcW w:w="680" w:type="dxa"/>
            <w:tcBorders>
              <w:top w:val="nil"/>
              <w:left w:val="nil"/>
              <w:bottom w:val="single" w:sz="4" w:space="0" w:color="auto"/>
              <w:right w:val="nil"/>
            </w:tcBorders>
            <w:noWrap/>
          </w:tcPr>
          <w:p w14:paraId="66D4D6B4" w14:textId="77777777" w:rsidR="00FB702E" w:rsidRPr="00320448" w:rsidRDefault="00FB702E" w:rsidP="00902129">
            <w:pPr>
              <w:pStyle w:val="Standa1"/>
              <w:spacing w:after="0" w:line="240" w:lineRule="auto"/>
              <w:rPr>
                <w:rFonts w:ascii="Times New Roman" w:hAnsi="Times New Roman"/>
                <w:sz w:val="24"/>
                <w:szCs w:val="24"/>
                <w:lang w:val="en-US"/>
              </w:rPr>
            </w:pPr>
            <w:r w:rsidRPr="00320448">
              <w:rPr>
                <w:rFonts w:ascii="Times New Roman" w:hAnsi="Times New Roman"/>
                <w:sz w:val="24"/>
                <w:szCs w:val="24"/>
                <w:lang w:val="en-US"/>
              </w:rPr>
              <w:t>0.821</w:t>
            </w:r>
          </w:p>
        </w:tc>
      </w:tr>
    </w:tbl>
    <w:p w14:paraId="666F9E0A" w14:textId="373DE865" w:rsidR="002E3C3E" w:rsidRDefault="002E3C3E"/>
    <w:p w14:paraId="48D8D898" w14:textId="16881DD3" w:rsidR="00FB702E" w:rsidRDefault="00FB702E" w:rsidP="00FB702E">
      <w:pPr>
        <w:pStyle w:val="Standard1"/>
        <w:pBdr>
          <w:top w:val="nil"/>
          <w:left w:val="nil"/>
          <w:bottom w:val="nil"/>
          <w:right w:val="nil"/>
          <w:between w:val="nil"/>
        </w:pBdr>
        <w:spacing w:line="480" w:lineRule="auto"/>
        <w:jc w:val="both"/>
        <w:rPr>
          <w:color w:val="000000"/>
        </w:rPr>
      </w:pPr>
      <w:r w:rsidRPr="00320448">
        <w:rPr>
          <w:color w:val="000000"/>
        </w:rPr>
        <w:t xml:space="preserve">While there is no purely objective way to determine what the dimensions are, there are a number of methods that can inform this task. </w:t>
      </w:r>
      <w:r w:rsidR="0008616C">
        <w:rPr>
          <w:color w:val="000000"/>
        </w:rPr>
        <w:t xml:space="preserve">The manuscript reports a visual inspection of ideal points, which is corroborated here by an </w:t>
      </w:r>
      <w:r w:rsidRPr="00320448">
        <w:rPr>
          <w:color w:val="000000"/>
        </w:rPr>
        <w:t>analysis of the angles and the location of the cutting lines</w:t>
      </w:r>
      <w:r w:rsidR="0008616C">
        <w:rPr>
          <w:color w:val="000000"/>
        </w:rPr>
        <w:t xml:space="preserve"> and a </w:t>
      </w:r>
      <w:r w:rsidRPr="00320448">
        <w:rPr>
          <w:color w:val="000000"/>
        </w:rPr>
        <w:t xml:space="preserve">statistical </w:t>
      </w:r>
      <w:r w:rsidR="0008616C">
        <w:rPr>
          <w:color w:val="000000"/>
        </w:rPr>
        <w:t>method</w:t>
      </w:r>
      <w:r w:rsidRPr="00320448">
        <w:rPr>
          <w:color w:val="000000"/>
        </w:rPr>
        <w:t xml:space="preserve">, where we regress individual states’ ideal points on state attributes. </w:t>
      </w:r>
    </w:p>
    <w:p w14:paraId="29B2A6CF" w14:textId="02BDA1A4" w:rsidR="00FB702E" w:rsidRPr="0008616C" w:rsidRDefault="0008616C" w:rsidP="00FB702E">
      <w:pPr>
        <w:pStyle w:val="Standard1"/>
        <w:pBdr>
          <w:top w:val="nil"/>
          <w:left w:val="nil"/>
          <w:bottom w:val="nil"/>
          <w:right w:val="nil"/>
          <w:between w:val="nil"/>
        </w:pBdr>
        <w:spacing w:line="480" w:lineRule="auto"/>
        <w:jc w:val="both"/>
        <w:rPr>
          <w:b/>
          <w:color w:val="000000"/>
        </w:rPr>
      </w:pPr>
      <w:r w:rsidRPr="0008616C">
        <w:rPr>
          <w:b/>
          <w:color w:val="000000"/>
        </w:rPr>
        <w:t xml:space="preserve">I. Angle and cutting line analysis </w:t>
      </w:r>
    </w:p>
    <w:p w14:paraId="656E1631" w14:textId="4F1ECC98" w:rsidR="00FB702E" w:rsidRPr="00320448" w:rsidRDefault="00424F65" w:rsidP="00FB702E">
      <w:pPr>
        <w:pStyle w:val="Standard1"/>
        <w:pBdr>
          <w:top w:val="nil"/>
          <w:left w:val="nil"/>
          <w:bottom w:val="nil"/>
          <w:right w:val="nil"/>
          <w:between w:val="nil"/>
        </w:pBdr>
        <w:spacing w:line="480" w:lineRule="auto"/>
        <w:jc w:val="both"/>
        <w:rPr>
          <w:color w:val="000000"/>
        </w:rPr>
      </w:pPr>
      <w:r>
        <w:rPr>
          <w:color w:val="000000"/>
        </w:rPr>
        <w:t>Table B</w:t>
      </w:r>
      <w:r w:rsidR="0008616C">
        <w:rPr>
          <w:color w:val="000000"/>
        </w:rPr>
        <w:t>2</w:t>
      </w:r>
      <w:r w:rsidR="00FB702E" w:rsidRPr="00320448">
        <w:rPr>
          <w:color w:val="000000"/>
        </w:rPr>
        <w:t xml:space="preserve">, which presents the mean and median angles of the cutting lines in each period, indicates that the three other issue areas together divide the first dimension with most of the angles falling around 90 degrees. The Palestinian question is the only cutting line with an angle outside of the range of the first dimension in both periods. The angles are very similar across both time periods, indicating that the dimensions exhibit stability across time. </w:t>
      </w:r>
    </w:p>
    <w:p w14:paraId="7912E87E" w14:textId="63740689" w:rsidR="00FB702E" w:rsidRDefault="00FB702E" w:rsidP="00FB702E">
      <w:pPr>
        <w:pStyle w:val="Standard1"/>
        <w:pBdr>
          <w:top w:val="nil"/>
          <w:left w:val="nil"/>
          <w:bottom w:val="nil"/>
          <w:right w:val="nil"/>
          <w:between w:val="nil"/>
        </w:pBdr>
        <w:spacing w:line="480" w:lineRule="auto"/>
        <w:jc w:val="both"/>
        <w:rPr>
          <w:color w:val="000000"/>
        </w:rPr>
      </w:pPr>
    </w:p>
    <w:p w14:paraId="5DDF8CB5" w14:textId="7EECE0D2" w:rsidR="00FB702E" w:rsidRDefault="00FB702E" w:rsidP="00FB702E">
      <w:pPr>
        <w:pStyle w:val="Standard1"/>
        <w:pBdr>
          <w:top w:val="nil"/>
          <w:left w:val="nil"/>
          <w:bottom w:val="nil"/>
          <w:right w:val="nil"/>
          <w:between w:val="nil"/>
        </w:pBdr>
        <w:spacing w:line="480" w:lineRule="auto"/>
        <w:jc w:val="both"/>
        <w:rPr>
          <w:color w:val="000000"/>
        </w:rPr>
      </w:pPr>
    </w:p>
    <w:p w14:paraId="6079C8D4" w14:textId="77777777" w:rsidR="0008616C" w:rsidRDefault="0008616C" w:rsidP="00FB702E">
      <w:pPr>
        <w:pStyle w:val="Standard1"/>
        <w:pBdr>
          <w:top w:val="nil"/>
          <w:left w:val="nil"/>
          <w:bottom w:val="nil"/>
          <w:right w:val="nil"/>
          <w:between w:val="nil"/>
        </w:pBdr>
        <w:spacing w:line="480" w:lineRule="auto"/>
        <w:jc w:val="both"/>
        <w:rPr>
          <w:color w:val="000000"/>
        </w:rPr>
      </w:pPr>
    </w:p>
    <w:p w14:paraId="1E17D082" w14:textId="77777777" w:rsidR="00FB702E" w:rsidRPr="00320448" w:rsidRDefault="00FB702E" w:rsidP="00FB702E">
      <w:pPr>
        <w:pStyle w:val="Standard1"/>
        <w:pBdr>
          <w:top w:val="nil"/>
          <w:left w:val="nil"/>
          <w:bottom w:val="nil"/>
          <w:right w:val="nil"/>
          <w:between w:val="nil"/>
        </w:pBdr>
        <w:spacing w:line="480" w:lineRule="auto"/>
        <w:jc w:val="both"/>
        <w:rPr>
          <w:color w:val="000000"/>
        </w:rPr>
      </w:pPr>
    </w:p>
    <w:p w14:paraId="5D094CEC" w14:textId="7070E66C" w:rsidR="00FB702E" w:rsidRDefault="00FB702E">
      <w:pPr>
        <w:rPr>
          <w:b/>
          <w:color w:val="000000"/>
        </w:rPr>
      </w:pPr>
      <w:r w:rsidRPr="00320448">
        <w:rPr>
          <w:b/>
          <w:color w:val="000000"/>
        </w:rPr>
        <w:lastRenderedPageBreak/>
        <w:t xml:space="preserve">Table </w:t>
      </w:r>
      <w:r w:rsidR="00431244">
        <w:rPr>
          <w:b/>
          <w:color w:val="000000"/>
        </w:rPr>
        <w:t>B</w:t>
      </w:r>
      <w:r w:rsidRPr="00320448">
        <w:rPr>
          <w:b/>
          <w:color w:val="000000"/>
        </w:rPr>
        <w:t>2: Average (median) angles for cutting lines</w:t>
      </w:r>
    </w:p>
    <w:p w14:paraId="18DFF460" w14:textId="62AED014" w:rsidR="00FB702E" w:rsidRDefault="00FB702E"/>
    <w:tbl>
      <w:tblPr>
        <w:tblW w:w="6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5"/>
        <w:gridCol w:w="1373"/>
        <w:gridCol w:w="1138"/>
        <w:gridCol w:w="1618"/>
        <w:gridCol w:w="1470"/>
      </w:tblGrid>
      <w:tr w:rsidR="00FB702E" w:rsidRPr="00320448" w14:paraId="1A4C2DA7" w14:textId="77777777" w:rsidTr="00902129">
        <w:tc>
          <w:tcPr>
            <w:tcW w:w="1335" w:type="dxa"/>
            <w:tcBorders>
              <w:left w:val="nil"/>
              <w:bottom w:val="single" w:sz="4" w:space="0" w:color="000000"/>
              <w:right w:val="nil"/>
            </w:tcBorders>
            <w:shd w:val="clear" w:color="auto" w:fill="auto"/>
          </w:tcPr>
          <w:p w14:paraId="078343D5" w14:textId="77777777" w:rsidR="00FB702E" w:rsidRPr="00320448" w:rsidRDefault="00FB702E" w:rsidP="00902129">
            <w:pPr>
              <w:pStyle w:val="Standard1"/>
              <w:pBdr>
                <w:top w:val="nil"/>
                <w:left w:val="nil"/>
                <w:bottom w:val="nil"/>
                <w:right w:val="nil"/>
                <w:between w:val="nil"/>
              </w:pBdr>
              <w:rPr>
                <w:rFonts w:eastAsia="Calibri"/>
                <w:i/>
                <w:color w:val="000000"/>
              </w:rPr>
            </w:pPr>
            <w:r w:rsidRPr="00320448">
              <w:rPr>
                <w:i/>
                <w:color w:val="000000"/>
              </w:rPr>
              <w:t>Period</w:t>
            </w:r>
          </w:p>
        </w:tc>
        <w:tc>
          <w:tcPr>
            <w:tcW w:w="1373" w:type="dxa"/>
            <w:tcBorders>
              <w:left w:val="nil"/>
              <w:bottom w:val="single" w:sz="4" w:space="0" w:color="000000"/>
              <w:right w:val="nil"/>
            </w:tcBorders>
            <w:shd w:val="clear" w:color="auto" w:fill="auto"/>
          </w:tcPr>
          <w:p w14:paraId="51CE0A29" w14:textId="77777777" w:rsidR="00FB702E" w:rsidRPr="00320448" w:rsidRDefault="00FB702E" w:rsidP="00902129">
            <w:pPr>
              <w:pStyle w:val="Standard1"/>
              <w:pBdr>
                <w:top w:val="nil"/>
                <w:left w:val="nil"/>
                <w:bottom w:val="nil"/>
                <w:right w:val="nil"/>
                <w:between w:val="nil"/>
              </w:pBdr>
              <w:rPr>
                <w:i/>
                <w:color w:val="000000"/>
              </w:rPr>
            </w:pPr>
            <w:r w:rsidRPr="00320448">
              <w:rPr>
                <w:i/>
                <w:color w:val="000000"/>
              </w:rPr>
              <w:t>Palestinian</w:t>
            </w:r>
          </w:p>
          <w:p w14:paraId="6868A12E" w14:textId="77777777" w:rsidR="00FB702E" w:rsidRPr="00320448" w:rsidRDefault="00FB702E" w:rsidP="00902129">
            <w:pPr>
              <w:pStyle w:val="Standard1"/>
              <w:pBdr>
                <w:top w:val="nil"/>
                <w:left w:val="nil"/>
                <w:bottom w:val="nil"/>
                <w:right w:val="nil"/>
                <w:between w:val="nil"/>
              </w:pBdr>
              <w:rPr>
                <w:i/>
                <w:color w:val="000000"/>
              </w:rPr>
            </w:pPr>
            <w:r w:rsidRPr="00320448">
              <w:rPr>
                <w:i/>
                <w:color w:val="000000"/>
              </w:rPr>
              <w:t>Question</w:t>
            </w:r>
          </w:p>
          <w:p w14:paraId="10FC5D32" w14:textId="77777777" w:rsidR="00FB702E" w:rsidRPr="00320448" w:rsidRDefault="00FB702E" w:rsidP="00902129">
            <w:pPr>
              <w:pStyle w:val="Standard1"/>
              <w:pBdr>
                <w:top w:val="nil"/>
                <w:left w:val="nil"/>
                <w:bottom w:val="nil"/>
                <w:right w:val="nil"/>
                <w:between w:val="nil"/>
              </w:pBdr>
              <w:rPr>
                <w:rFonts w:eastAsia="Calibri"/>
                <w:i/>
                <w:color w:val="000000"/>
              </w:rPr>
            </w:pPr>
          </w:p>
        </w:tc>
        <w:tc>
          <w:tcPr>
            <w:tcW w:w="1138" w:type="dxa"/>
            <w:tcBorders>
              <w:left w:val="nil"/>
              <w:bottom w:val="single" w:sz="4" w:space="0" w:color="000000"/>
              <w:right w:val="nil"/>
            </w:tcBorders>
            <w:shd w:val="clear" w:color="auto" w:fill="auto"/>
          </w:tcPr>
          <w:p w14:paraId="3C9007D4" w14:textId="77777777" w:rsidR="00FB702E" w:rsidRPr="00320448" w:rsidRDefault="00FB702E" w:rsidP="00902129">
            <w:pPr>
              <w:pStyle w:val="Standard1"/>
              <w:pBdr>
                <w:top w:val="nil"/>
                <w:left w:val="nil"/>
                <w:bottom w:val="nil"/>
                <w:right w:val="nil"/>
                <w:between w:val="nil"/>
              </w:pBdr>
              <w:rPr>
                <w:i/>
                <w:color w:val="000000"/>
              </w:rPr>
            </w:pPr>
            <w:r w:rsidRPr="00320448">
              <w:rPr>
                <w:i/>
                <w:color w:val="000000"/>
              </w:rPr>
              <w:t xml:space="preserve">Human </w:t>
            </w:r>
          </w:p>
          <w:p w14:paraId="7C89207C" w14:textId="77777777" w:rsidR="00FB702E" w:rsidRPr="00320448" w:rsidRDefault="00FB702E" w:rsidP="00902129">
            <w:pPr>
              <w:pStyle w:val="Standard1"/>
              <w:pBdr>
                <w:top w:val="nil"/>
                <w:left w:val="nil"/>
                <w:bottom w:val="nil"/>
                <w:right w:val="nil"/>
                <w:between w:val="nil"/>
              </w:pBdr>
              <w:rPr>
                <w:rFonts w:eastAsia="Calibri"/>
                <w:i/>
                <w:color w:val="000000"/>
              </w:rPr>
            </w:pPr>
            <w:r w:rsidRPr="00320448">
              <w:rPr>
                <w:i/>
                <w:color w:val="000000"/>
              </w:rPr>
              <w:t>Rights</w:t>
            </w:r>
          </w:p>
        </w:tc>
        <w:tc>
          <w:tcPr>
            <w:tcW w:w="1618" w:type="dxa"/>
            <w:tcBorders>
              <w:left w:val="nil"/>
              <w:bottom w:val="single" w:sz="4" w:space="0" w:color="000000"/>
              <w:right w:val="nil"/>
            </w:tcBorders>
            <w:shd w:val="clear" w:color="auto" w:fill="auto"/>
          </w:tcPr>
          <w:p w14:paraId="33B03866" w14:textId="77777777" w:rsidR="00FB702E" w:rsidRPr="00320448" w:rsidRDefault="00FB702E" w:rsidP="00902129">
            <w:pPr>
              <w:pStyle w:val="Standard1"/>
              <w:pBdr>
                <w:top w:val="nil"/>
                <w:left w:val="nil"/>
                <w:bottom w:val="nil"/>
                <w:right w:val="nil"/>
                <w:between w:val="nil"/>
              </w:pBdr>
              <w:rPr>
                <w:i/>
                <w:color w:val="000000"/>
              </w:rPr>
            </w:pPr>
            <w:r w:rsidRPr="00320448">
              <w:rPr>
                <w:i/>
                <w:color w:val="000000"/>
              </w:rPr>
              <w:t xml:space="preserve">Economic </w:t>
            </w:r>
          </w:p>
          <w:p w14:paraId="0A706492" w14:textId="77777777" w:rsidR="00FB702E" w:rsidRPr="00320448" w:rsidRDefault="00FB702E" w:rsidP="00902129">
            <w:pPr>
              <w:pStyle w:val="Standard1"/>
              <w:pBdr>
                <w:top w:val="nil"/>
                <w:left w:val="nil"/>
                <w:bottom w:val="nil"/>
                <w:right w:val="nil"/>
                <w:between w:val="nil"/>
              </w:pBdr>
              <w:rPr>
                <w:rFonts w:eastAsia="Calibri"/>
                <w:i/>
                <w:color w:val="000000"/>
              </w:rPr>
            </w:pPr>
            <w:r w:rsidRPr="00320448">
              <w:rPr>
                <w:i/>
                <w:color w:val="000000"/>
              </w:rPr>
              <w:t>Development</w:t>
            </w:r>
          </w:p>
        </w:tc>
        <w:tc>
          <w:tcPr>
            <w:tcW w:w="1470" w:type="dxa"/>
            <w:tcBorders>
              <w:left w:val="nil"/>
              <w:bottom w:val="single" w:sz="4" w:space="0" w:color="000000"/>
              <w:right w:val="nil"/>
            </w:tcBorders>
            <w:shd w:val="clear" w:color="auto" w:fill="auto"/>
          </w:tcPr>
          <w:p w14:paraId="14CEDB68" w14:textId="77777777" w:rsidR="00FB702E" w:rsidRPr="00320448" w:rsidRDefault="00FB702E" w:rsidP="00902129">
            <w:pPr>
              <w:pStyle w:val="Standard1"/>
              <w:pBdr>
                <w:top w:val="nil"/>
                <w:left w:val="nil"/>
                <w:bottom w:val="nil"/>
                <w:right w:val="nil"/>
                <w:between w:val="nil"/>
              </w:pBdr>
              <w:rPr>
                <w:i/>
                <w:color w:val="000000"/>
              </w:rPr>
            </w:pPr>
            <w:r w:rsidRPr="00320448">
              <w:rPr>
                <w:i/>
                <w:color w:val="000000"/>
              </w:rPr>
              <w:t xml:space="preserve">Nuclear </w:t>
            </w:r>
          </w:p>
          <w:p w14:paraId="5EC3D841" w14:textId="77777777" w:rsidR="00FB702E" w:rsidRPr="00320448" w:rsidRDefault="00FB702E" w:rsidP="00902129">
            <w:pPr>
              <w:pStyle w:val="Standard1"/>
              <w:pBdr>
                <w:top w:val="nil"/>
                <w:left w:val="nil"/>
                <w:bottom w:val="nil"/>
                <w:right w:val="nil"/>
                <w:between w:val="nil"/>
              </w:pBdr>
              <w:rPr>
                <w:rFonts w:eastAsia="Calibri"/>
                <w:i/>
                <w:color w:val="000000"/>
              </w:rPr>
            </w:pPr>
            <w:r w:rsidRPr="00320448">
              <w:rPr>
                <w:i/>
                <w:color w:val="000000"/>
              </w:rPr>
              <w:t>Proliferation</w:t>
            </w:r>
          </w:p>
        </w:tc>
      </w:tr>
      <w:tr w:rsidR="00FB702E" w:rsidRPr="00320448" w14:paraId="42BD48D2" w14:textId="77777777" w:rsidTr="00902129">
        <w:tc>
          <w:tcPr>
            <w:tcW w:w="1335" w:type="dxa"/>
            <w:tcBorders>
              <w:left w:val="nil"/>
              <w:bottom w:val="nil"/>
              <w:right w:val="nil"/>
            </w:tcBorders>
            <w:shd w:val="clear" w:color="auto" w:fill="auto"/>
          </w:tcPr>
          <w:p w14:paraId="778012B1" w14:textId="77777777" w:rsidR="00FB702E" w:rsidRPr="00320448" w:rsidRDefault="00FB702E" w:rsidP="00902129">
            <w:pPr>
              <w:pStyle w:val="Standard1"/>
              <w:pBdr>
                <w:top w:val="nil"/>
                <w:left w:val="nil"/>
                <w:bottom w:val="nil"/>
                <w:right w:val="nil"/>
                <w:between w:val="nil"/>
              </w:pBdr>
              <w:spacing w:after="200" w:line="276" w:lineRule="auto"/>
              <w:rPr>
                <w:rFonts w:eastAsia="Calibri"/>
                <w:color w:val="000000"/>
              </w:rPr>
            </w:pPr>
            <w:r w:rsidRPr="00320448">
              <w:rPr>
                <w:color w:val="000000"/>
              </w:rPr>
              <w:t>1992-2001</w:t>
            </w:r>
          </w:p>
        </w:tc>
        <w:tc>
          <w:tcPr>
            <w:tcW w:w="1373" w:type="dxa"/>
            <w:tcBorders>
              <w:left w:val="nil"/>
              <w:bottom w:val="nil"/>
              <w:right w:val="nil"/>
            </w:tcBorders>
            <w:shd w:val="clear" w:color="auto" w:fill="auto"/>
          </w:tcPr>
          <w:p w14:paraId="075A04E5" w14:textId="77777777" w:rsidR="00FB702E" w:rsidRPr="00320448" w:rsidRDefault="00FB702E" w:rsidP="00902129">
            <w:pPr>
              <w:pStyle w:val="Standard1"/>
              <w:pBdr>
                <w:top w:val="nil"/>
                <w:left w:val="nil"/>
                <w:bottom w:val="nil"/>
                <w:right w:val="nil"/>
                <w:between w:val="nil"/>
              </w:pBdr>
              <w:spacing w:after="200" w:line="276" w:lineRule="auto"/>
              <w:rPr>
                <w:rFonts w:eastAsia="Calibri"/>
                <w:color w:val="000000"/>
              </w:rPr>
            </w:pPr>
            <w:r w:rsidRPr="00320448">
              <w:rPr>
                <w:color w:val="000000"/>
              </w:rPr>
              <w:t>129 (126)</w:t>
            </w:r>
          </w:p>
        </w:tc>
        <w:tc>
          <w:tcPr>
            <w:tcW w:w="1138" w:type="dxa"/>
            <w:tcBorders>
              <w:left w:val="nil"/>
              <w:bottom w:val="nil"/>
              <w:right w:val="nil"/>
            </w:tcBorders>
            <w:shd w:val="clear" w:color="auto" w:fill="auto"/>
          </w:tcPr>
          <w:p w14:paraId="237A6A95" w14:textId="77777777" w:rsidR="00FB702E" w:rsidRPr="00320448" w:rsidRDefault="00FB702E" w:rsidP="00902129">
            <w:pPr>
              <w:pStyle w:val="Standard1"/>
              <w:pBdr>
                <w:top w:val="nil"/>
                <w:left w:val="nil"/>
                <w:bottom w:val="nil"/>
                <w:right w:val="nil"/>
                <w:between w:val="nil"/>
              </w:pBdr>
              <w:spacing w:after="200" w:line="276" w:lineRule="auto"/>
              <w:rPr>
                <w:rFonts w:eastAsia="Calibri"/>
                <w:color w:val="000000"/>
              </w:rPr>
            </w:pPr>
            <w:r w:rsidRPr="00320448">
              <w:rPr>
                <w:color w:val="000000"/>
              </w:rPr>
              <w:t>94 (90)</w:t>
            </w:r>
          </w:p>
        </w:tc>
        <w:tc>
          <w:tcPr>
            <w:tcW w:w="1618" w:type="dxa"/>
            <w:tcBorders>
              <w:left w:val="nil"/>
              <w:bottom w:val="nil"/>
              <w:right w:val="nil"/>
            </w:tcBorders>
            <w:shd w:val="clear" w:color="auto" w:fill="auto"/>
          </w:tcPr>
          <w:p w14:paraId="2A57A21C" w14:textId="77777777" w:rsidR="00FB702E" w:rsidRPr="00320448" w:rsidRDefault="00FB702E" w:rsidP="00902129">
            <w:pPr>
              <w:pStyle w:val="Standard1"/>
              <w:pBdr>
                <w:top w:val="nil"/>
                <w:left w:val="nil"/>
                <w:bottom w:val="nil"/>
                <w:right w:val="nil"/>
                <w:between w:val="nil"/>
              </w:pBdr>
              <w:spacing w:after="200" w:line="276" w:lineRule="auto"/>
              <w:rPr>
                <w:rFonts w:eastAsia="Calibri"/>
                <w:color w:val="000000"/>
              </w:rPr>
            </w:pPr>
            <w:r w:rsidRPr="00320448">
              <w:rPr>
                <w:color w:val="000000"/>
              </w:rPr>
              <w:t>98 (90)</w:t>
            </w:r>
          </w:p>
        </w:tc>
        <w:tc>
          <w:tcPr>
            <w:tcW w:w="1470" w:type="dxa"/>
            <w:tcBorders>
              <w:left w:val="nil"/>
              <w:bottom w:val="nil"/>
              <w:right w:val="nil"/>
            </w:tcBorders>
            <w:shd w:val="clear" w:color="auto" w:fill="auto"/>
          </w:tcPr>
          <w:p w14:paraId="7EF2C6B0" w14:textId="77777777" w:rsidR="00FB702E" w:rsidRPr="00320448" w:rsidRDefault="00FB702E" w:rsidP="00902129">
            <w:pPr>
              <w:pStyle w:val="Standard1"/>
              <w:pBdr>
                <w:top w:val="nil"/>
                <w:left w:val="nil"/>
                <w:bottom w:val="nil"/>
                <w:right w:val="nil"/>
                <w:between w:val="nil"/>
              </w:pBdr>
              <w:spacing w:after="200" w:line="276" w:lineRule="auto"/>
              <w:rPr>
                <w:rFonts w:eastAsia="Calibri"/>
                <w:color w:val="000000"/>
              </w:rPr>
            </w:pPr>
            <w:r w:rsidRPr="00320448">
              <w:rPr>
                <w:color w:val="000000"/>
              </w:rPr>
              <w:t>87 (87)</w:t>
            </w:r>
          </w:p>
        </w:tc>
      </w:tr>
      <w:tr w:rsidR="00FB702E" w:rsidRPr="00320448" w14:paraId="2C583F34" w14:textId="77777777" w:rsidTr="00902129">
        <w:tc>
          <w:tcPr>
            <w:tcW w:w="1335" w:type="dxa"/>
            <w:tcBorders>
              <w:top w:val="nil"/>
              <w:left w:val="nil"/>
              <w:bottom w:val="single" w:sz="4" w:space="0" w:color="000000"/>
              <w:right w:val="nil"/>
            </w:tcBorders>
            <w:shd w:val="clear" w:color="auto" w:fill="auto"/>
          </w:tcPr>
          <w:p w14:paraId="729F75EE" w14:textId="77777777" w:rsidR="00FB702E" w:rsidRPr="00320448" w:rsidRDefault="00FB702E" w:rsidP="00902129">
            <w:pPr>
              <w:pStyle w:val="Standard1"/>
              <w:pBdr>
                <w:top w:val="nil"/>
                <w:left w:val="nil"/>
                <w:bottom w:val="nil"/>
                <w:right w:val="nil"/>
                <w:between w:val="nil"/>
              </w:pBdr>
              <w:spacing w:after="200" w:line="276" w:lineRule="auto"/>
              <w:rPr>
                <w:rFonts w:eastAsia="Calibri"/>
                <w:color w:val="000000"/>
              </w:rPr>
            </w:pPr>
            <w:r w:rsidRPr="00320448">
              <w:rPr>
                <w:color w:val="000000"/>
              </w:rPr>
              <w:t>2002-2011</w:t>
            </w:r>
          </w:p>
        </w:tc>
        <w:tc>
          <w:tcPr>
            <w:tcW w:w="1373" w:type="dxa"/>
            <w:tcBorders>
              <w:top w:val="nil"/>
              <w:left w:val="nil"/>
              <w:bottom w:val="single" w:sz="4" w:space="0" w:color="000000"/>
              <w:right w:val="nil"/>
            </w:tcBorders>
            <w:shd w:val="clear" w:color="auto" w:fill="auto"/>
          </w:tcPr>
          <w:p w14:paraId="6A7C1CE6" w14:textId="77777777" w:rsidR="00FB702E" w:rsidRPr="00320448" w:rsidRDefault="00FB702E" w:rsidP="00902129">
            <w:pPr>
              <w:pStyle w:val="Standard1"/>
              <w:pBdr>
                <w:top w:val="nil"/>
                <w:left w:val="nil"/>
                <w:bottom w:val="nil"/>
                <w:right w:val="nil"/>
                <w:between w:val="nil"/>
              </w:pBdr>
              <w:spacing w:after="200" w:line="276" w:lineRule="auto"/>
              <w:rPr>
                <w:rFonts w:eastAsia="Calibri"/>
                <w:color w:val="000000"/>
              </w:rPr>
            </w:pPr>
            <w:r w:rsidRPr="00320448">
              <w:rPr>
                <w:color w:val="000000"/>
              </w:rPr>
              <w:t>135 (142)</w:t>
            </w:r>
          </w:p>
        </w:tc>
        <w:tc>
          <w:tcPr>
            <w:tcW w:w="1138" w:type="dxa"/>
            <w:tcBorders>
              <w:top w:val="nil"/>
              <w:left w:val="nil"/>
              <w:bottom w:val="single" w:sz="4" w:space="0" w:color="000000"/>
              <w:right w:val="nil"/>
            </w:tcBorders>
            <w:shd w:val="clear" w:color="auto" w:fill="auto"/>
          </w:tcPr>
          <w:p w14:paraId="366DA40F" w14:textId="77777777" w:rsidR="00FB702E" w:rsidRPr="00320448" w:rsidRDefault="00FB702E" w:rsidP="00902129">
            <w:pPr>
              <w:pStyle w:val="Standard1"/>
              <w:pBdr>
                <w:top w:val="nil"/>
                <w:left w:val="nil"/>
                <w:bottom w:val="nil"/>
                <w:right w:val="nil"/>
                <w:between w:val="nil"/>
              </w:pBdr>
              <w:spacing w:after="200" w:line="276" w:lineRule="auto"/>
              <w:rPr>
                <w:rFonts w:eastAsia="Calibri"/>
                <w:color w:val="000000"/>
              </w:rPr>
            </w:pPr>
            <w:r w:rsidRPr="00320448">
              <w:rPr>
                <w:color w:val="000000"/>
              </w:rPr>
              <w:t>101 (90)</w:t>
            </w:r>
          </w:p>
        </w:tc>
        <w:tc>
          <w:tcPr>
            <w:tcW w:w="1618" w:type="dxa"/>
            <w:tcBorders>
              <w:top w:val="nil"/>
              <w:left w:val="nil"/>
              <w:bottom w:val="single" w:sz="4" w:space="0" w:color="000000"/>
              <w:right w:val="nil"/>
            </w:tcBorders>
            <w:shd w:val="clear" w:color="auto" w:fill="auto"/>
          </w:tcPr>
          <w:p w14:paraId="273B9AA2" w14:textId="77777777" w:rsidR="00FB702E" w:rsidRPr="00320448" w:rsidRDefault="00FB702E" w:rsidP="00902129">
            <w:pPr>
              <w:pStyle w:val="Standard1"/>
              <w:pBdr>
                <w:top w:val="nil"/>
                <w:left w:val="nil"/>
                <w:bottom w:val="nil"/>
                <w:right w:val="nil"/>
                <w:between w:val="nil"/>
              </w:pBdr>
              <w:spacing w:after="200" w:line="276" w:lineRule="auto"/>
              <w:rPr>
                <w:rFonts w:eastAsia="Calibri"/>
                <w:color w:val="000000"/>
              </w:rPr>
            </w:pPr>
            <w:r w:rsidRPr="00320448">
              <w:rPr>
                <w:color w:val="000000"/>
              </w:rPr>
              <w:t>96 (90)</w:t>
            </w:r>
          </w:p>
        </w:tc>
        <w:tc>
          <w:tcPr>
            <w:tcW w:w="1470" w:type="dxa"/>
            <w:tcBorders>
              <w:top w:val="nil"/>
              <w:left w:val="nil"/>
              <w:bottom w:val="single" w:sz="4" w:space="0" w:color="000000"/>
              <w:right w:val="nil"/>
            </w:tcBorders>
            <w:shd w:val="clear" w:color="auto" w:fill="auto"/>
          </w:tcPr>
          <w:p w14:paraId="34A801C2" w14:textId="77777777" w:rsidR="00FB702E" w:rsidRPr="00320448" w:rsidRDefault="00FB702E" w:rsidP="00902129">
            <w:pPr>
              <w:pStyle w:val="Standard1"/>
              <w:pBdr>
                <w:top w:val="nil"/>
                <w:left w:val="nil"/>
                <w:bottom w:val="nil"/>
                <w:right w:val="nil"/>
                <w:between w:val="nil"/>
              </w:pBdr>
              <w:spacing w:after="200" w:line="276" w:lineRule="auto"/>
              <w:rPr>
                <w:rFonts w:eastAsia="Calibri"/>
                <w:color w:val="000000"/>
              </w:rPr>
            </w:pPr>
            <w:r w:rsidRPr="00320448">
              <w:rPr>
                <w:color w:val="000000"/>
              </w:rPr>
              <w:t>82 (79)</w:t>
            </w:r>
          </w:p>
        </w:tc>
      </w:tr>
    </w:tbl>
    <w:p w14:paraId="0178793D" w14:textId="05CFC72C" w:rsidR="00431244" w:rsidRDefault="00431244"/>
    <w:p w14:paraId="1BD7ED19" w14:textId="77777777" w:rsidR="00431244" w:rsidRDefault="00431244" w:rsidP="00431244">
      <w:pPr>
        <w:spacing w:line="480" w:lineRule="auto"/>
        <w:jc w:val="both"/>
        <w:rPr>
          <w:b/>
        </w:rPr>
      </w:pPr>
    </w:p>
    <w:p w14:paraId="3A996955" w14:textId="1541E416" w:rsidR="00431244" w:rsidRPr="006F4407" w:rsidRDefault="00431244" w:rsidP="00431244">
      <w:pPr>
        <w:spacing w:line="480" w:lineRule="auto"/>
        <w:jc w:val="both"/>
        <w:rPr>
          <w:b/>
        </w:rPr>
      </w:pPr>
      <w:r w:rsidRPr="006F4407">
        <w:rPr>
          <w:b/>
        </w:rPr>
        <w:t>II. What regression analysis reveals about dimensionality in W-NOMINATE</w:t>
      </w:r>
    </w:p>
    <w:p w14:paraId="2A6AC225" w14:textId="77777777" w:rsidR="00431244" w:rsidRDefault="00431244" w:rsidP="00431244">
      <w:pPr>
        <w:spacing w:line="480" w:lineRule="auto"/>
        <w:jc w:val="both"/>
      </w:pPr>
      <w:r>
        <w:t>To statistically assess the dimensions</w:t>
      </w:r>
      <w:r w:rsidRPr="00F05386">
        <w:t>, we regress individual states’ ideal points on state attributes. The ideal points range from -1 to 1 with higher values falling closest to the US position. To determine whether there is a West/Non-West divide among states, we use the regional groupings as identified by the UN. We therefore identify several dummy variables indicating whether a state belongs to the African, Asia-Pacific, Latin American and Caribbean, Eastern European, or Western European and Others (WEOG) groups. In the analysis, the WEOG group serves as the reference category. To assess whether either of the two dimensions address the global economic divide, we include a variable gross domestic product (GDP) per capita, measured in current US dollars, for the level of development.</w:t>
      </w:r>
      <w:r>
        <w:rPr>
          <w:rStyle w:val="FootnoteReference"/>
        </w:rPr>
        <w:footnoteReference w:id="2"/>
      </w:r>
      <w:r w:rsidRPr="00F05386">
        <w:t xml:space="preserve"> We also include the regime type variable Polity IV to assess whether similarity of the regime type influences whether states will vote together.</w:t>
      </w:r>
      <w:r w:rsidRPr="00F05386">
        <w:rPr>
          <w:vertAlign w:val="superscript"/>
        </w:rPr>
        <w:footnoteReference w:id="3"/>
      </w:r>
      <w:r w:rsidRPr="00F05386">
        <w:t xml:space="preserve"> </w:t>
      </w:r>
      <w:r>
        <w:t>Polity ranges from -10 to 10 with higher values associated higher levels of democracy.</w:t>
      </w:r>
    </w:p>
    <w:p w14:paraId="5CA6D071" w14:textId="77777777" w:rsidR="00431244" w:rsidRPr="00F05386" w:rsidRDefault="00431244" w:rsidP="00431244">
      <w:pPr>
        <w:spacing w:line="480" w:lineRule="auto"/>
        <w:jc w:val="both"/>
      </w:pPr>
    </w:p>
    <w:p w14:paraId="06977870" w14:textId="77777777" w:rsidR="00431244" w:rsidRDefault="00431244" w:rsidP="00431244">
      <w:pPr>
        <w:spacing w:line="480" w:lineRule="auto"/>
        <w:jc w:val="both"/>
      </w:pPr>
      <w:r w:rsidRPr="00F05386">
        <w:t>From visual inspection of the ideal points as well as analysis of the cutting lines, there is some reason to believe that regional differences as well as economic divisions influence the first dimension; however, the second dimension seems to divide states differently. In particular, the angles of the cutting lines indicate that votes concerning Israel and Palestine fall along a second dimension. In order to account for this, we include an additional variable when analyzing the second dimension – whether or not a state maintains formal diplomatic relations with Israel. We would expect the states that maintain diplomatic relations with Israel to exhibit greater voting cohesion with the US and Israel, or values closer to one on the second dimension, if the second dimension is defined, at least in part, by the Palestinian question.</w:t>
      </w:r>
    </w:p>
    <w:p w14:paraId="7BF41E0D" w14:textId="759D20B9" w:rsidR="00431244" w:rsidRPr="00F05386" w:rsidRDefault="00431244" w:rsidP="00431244">
      <w:pPr>
        <w:pageBreakBefore/>
        <w:spacing w:line="480" w:lineRule="auto"/>
        <w:jc w:val="both"/>
      </w:pPr>
      <w:r>
        <w:lastRenderedPageBreak/>
        <w:t xml:space="preserve">Table </w:t>
      </w:r>
      <w:r w:rsidR="0008616C">
        <w:t>B3</w:t>
      </w:r>
      <w:r w:rsidRPr="00F05386">
        <w:t xml:space="preserve">: Regression analysis of state attributes on GA voting  </w:t>
      </w:r>
    </w:p>
    <w:tbl>
      <w:tblPr>
        <w:tblW w:w="0" w:type="auto"/>
        <w:tblLook w:val="04A0" w:firstRow="1" w:lastRow="0" w:firstColumn="1" w:lastColumn="0" w:noHBand="0" w:noVBand="1"/>
      </w:tblPr>
      <w:tblGrid>
        <w:gridCol w:w="1729"/>
        <w:gridCol w:w="1596"/>
        <w:gridCol w:w="1596"/>
        <w:gridCol w:w="1596"/>
        <w:gridCol w:w="1596"/>
      </w:tblGrid>
      <w:tr w:rsidR="00431244" w:rsidRPr="00F05386" w14:paraId="58718B79" w14:textId="77777777" w:rsidTr="00380FD8">
        <w:trPr>
          <w:trHeight w:hRule="exact" w:val="284"/>
        </w:trPr>
        <w:tc>
          <w:tcPr>
            <w:tcW w:w="0" w:type="auto"/>
            <w:tcBorders>
              <w:top w:val="single" w:sz="4" w:space="0" w:color="auto"/>
            </w:tcBorders>
            <w:shd w:val="clear" w:color="auto" w:fill="auto"/>
          </w:tcPr>
          <w:p w14:paraId="5F31CFDB" w14:textId="77777777" w:rsidR="00431244" w:rsidRPr="00F05386" w:rsidRDefault="00431244" w:rsidP="00380FD8">
            <w:pPr>
              <w:spacing w:line="480" w:lineRule="auto"/>
              <w:jc w:val="both"/>
            </w:pPr>
          </w:p>
        </w:tc>
        <w:tc>
          <w:tcPr>
            <w:tcW w:w="0" w:type="auto"/>
            <w:gridSpan w:val="2"/>
            <w:tcBorders>
              <w:top w:val="single" w:sz="4" w:space="0" w:color="auto"/>
            </w:tcBorders>
            <w:shd w:val="clear" w:color="auto" w:fill="auto"/>
            <w:vAlign w:val="center"/>
          </w:tcPr>
          <w:p w14:paraId="14FFFD92" w14:textId="77777777" w:rsidR="00431244" w:rsidRPr="00F05386" w:rsidRDefault="00431244" w:rsidP="00380FD8">
            <w:pPr>
              <w:spacing w:line="480" w:lineRule="auto"/>
              <w:jc w:val="both"/>
              <w:rPr>
                <w:i/>
              </w:rPr>
            </w:pPr>
            <w:r w:rsidRPr="00F05386">
              <w:rPr>
                <w:i/>
              </w:rPr>
              <w:t>First Dimension</w:t>
            </w:r>
          </w:p>
        </w:tc>
        <w:tc>
          <w:tcPr>
            <w:tcW w:w="0" w:type="auto"/>
            <w:gridSpan w:val="2"/>
            <w:tcBorders>
              <w:top w:val="single" w:sz="4" w:space="0" w:color="auto"/>
            </w:tcBorders>
            <w:shd w:val="clear" w:color="auto" w:fill="auto"/>
            <w:vAlign w:val="center"/>
          </w:tcPr>
          <w:p w14:paraId="3BAF8AED" w14:textId="77777777" w:rsidR="00431244" w:rsidRPr="00F05386" w:rsidRDefault="00431244" w:rsidP="00380FD8">
            <w:pPr>
              <w:spacing w:line="480" w:lineRule="auto"/>
              <w:jc w:val="both"/>
              <w:rPr>
                <w:i/>
              </w:rPr>
            </w:pPr>
            <w:r w:rsidRPr="00F05386">
              <w:rPr>
                <w:i/>
              </w:rPr>
              <w:t>Second Dimension</w:t>
            </w:r>
          </w:p>
        </w:tc>
      </w:tr>
      <w:tr w:rsidR="00431244" w:rsidRPr="00F05386" w14:paraId="4909FE6A" w14:textId="77777777" w:rsidTr="00380FD8">
        <w:trPr>
          <w:trHeight w:hRule="exact" w:val="284"/>
        </w:trPr>
        <w:tc>
          <w:tcPr>
            <w:tcW w:w="0" w:type="auto"/>
            <w:tcBorders>
              <w:bottom w:val="single" w:sz="4" w:space="0" w:color="auto"/>
            </w:tcBorders>
            <w:shd w:val="clear" w:color="auto" w:fill="auto"/>
            <w:vAlign w:val="bottom"/>
          </w:tcPr>
          <w:p w14:paraId="170097F2" w14:textId="77777777" w:rsidR="00431244" w:rsidRPr="00F05386" w:rsidRDefault="00431244" w:rsidP="00380FD8">
            <w:pPr>
              <w:spacing w:line="480" w:lineRule="auto"/>
              <w:jc w:val="both"/>
            </w:pPr>
          </w:p>
        </w:tc>
        <w:tc>
          <w:tcPr>
            <w:tcW w:w="0" w:type="auto"/>
            <w:tcBorders>
              <w:bottom w:val="single" w:sz="4" w:space="0" w:color="auto"/>
            </w:tcBorders>
            <w:shd w:val="clear" w:color="auto" w:fill="auto"/>
            <w:vAlign w:val="bottom"/>
          </w:tcPr>
          <w:p w14:paraId="0CD1E37A" w14:textId="77777777" w:rsidR="00431244" w:rsidRPr="00F05386" w:rsidRDefault="00431244" w:rsidP="00380FD8">
            <w:pPr>
              <w:spacing w:line="480" w:lineRule="auto"/>
              <w:jc w:val="both"/>
              <w:rPr>
                <w:i/>
              </w:rPr>
            </w:pPr>
            <w:r w:rsidRPr="00F05386">
              <w:rPr>
                <w:i/>
              </w:rPr>
              <w:t>(1) 1992-2001</w:t>
            </w:r>
          </w:p>
        </w:tc>
        <w:tc>
          <w:tcPr>
            <w:tcW w:w="0" w:type="auto"/>
            <w:tcBorders>
              <w:bottom w:val="single" w:sz="4" w:space="0" w:color="auto"/>
            </w:tcBorders>
            <w:shd w:val="clear" w:color="auto" w:fill="auto"/>
            <w:vAlign w:val="bottom"/>
          </w:tcPr>
          <w:p w14:paraId="6B107A83" w14:textId="77777777" w:rsidR="00431244" w:rsidRPr="00F05386" w:rsidRDefault="00431244" w:rsidP="00380FD8">
            <w:pPr>
              <w:spacing w:line="480" w:lineRule="auto"/>
              <w:jc w:val="both"/>
              <w:rPr>
                <w:i/>
              </w:rPr>
            </w:pPr>
            <w:r w:rsidRPr="00F05386">
              <w:rPr>
                <w:i/>
              </w:rPr>
              <w:t>(2) 2002-2010</w:t>
            </w:r>
          </w:p>
        </w:tc>
        <w:tc>
          <w:tcPr>
            <w:tcW w:w="0" w:type="auto"/>
            <w:tcBorders>
              <w:bottom w:val="single" w:sz="4" w:space="0" w:color="auto"/>
            </w:tcBorders>
            <w:shd w:val="clear" w:color="auto" w:fill="auto"/>
            <w:vAlign w:val="bottom"/>
          </w:tcPr>
          <w:p w14:paraId="7238E075" w14:textId="77777777" w:rsidR="00431244" w:rsidRPr="00F05386" w:rsidRDefault="00431244" w:rsidP="00380FD8">
            <w:pPr>
              <w:spacing w:line="480" w:lineRule="auto"/>
              <w:jc w:val="both"/>
              <w:rPr>
                <w:i/>
              </w:rPr>
            </w:pPr>
            <w:r w:rsidRPr="00F05386">
              <w:rPr>
                <w:i/>
              </w:rPr>
              <w:t>(3) 1992-2001</w:t>
            </w:r>
          </w:p>
        </w:tc>
        <w:tc>
          <w:tcPr>
            <w:tcW w:w="0" w:type="auto"/>
            <w:tcBorders>
              <w:bottom w:val="single" w:sz="4" w:space="0" w:color="auto"/>
            </w:tcBorders>
            <w:shd w:val="clear" w:color="auto" w:fill="auto"/>
            <w:vAlign w:val="bottom"/>
          </w:tcPr>
          <w:p w14:paraId="0B07E5DD" w14:textId="77777777" w:rsidR="00431244" w:rsidRPr="00F05386" w:rsidRDefault="00431244" w:rsidP="00380FD8">
            <w:pPr>
              <w:spacing w:line="480" w:lineRule="auto"/>
              <w:jc w:val="both"/>
              <w:rPr>
                <w:i/>
              </w:rPr>
            </w:pPr>
            <w:r w:rsidRPr="00F05386">
              <w:rPr>
                <w:i/>
              </w:rPr>
              <w:t>(4) 2002-2010</w:t>
            </w:r>
          </w:p>
        </w:tc>
      </w:tr>
      <w:tr w:rsidR="00431244" w:rsidRPr="00F05386" w14:paraId="3D34081D" w14:textId="77777777" w:rsidTr="00380FD8">
        <w:trPr>
          <w:trHeight w:hRule="exact" w:val="284"/>
        </w:trPr>
        <w:tc>
          <w:tcPr>
            <w:tcW w:w="0" w:type="auto"/>
            <w:tcBorders>
              <w:top w:val="single" w:sz="4" w:space="0" w:color="auto"/>
            </w:tcBorders>
            <w:shd w:val="clear" w:color="auto" w:fill="auto"/>
            <w:vAlign w:val="bottom"/>
          </w:tcPr>
          <w:p w14:paraId="1F720C04" w14:textId="77777777" w:rsidR="00431244" w:rsidRPr="00F05386" w:rsidRDefault="00431244" w:rsidP="00380FD8">
            <w:pPr>
              <w:spacing w:line="480" w:lineRule="auto"/>
              <w:jc w:val="both"/>
            </w:pPr>
            <w:r w:rsidRPr="00F05386">
              <w:t>GDP per capita</w:t>
            </w:r>
          </w:p>
        </w:tc>
        <w:tc>
          <w:tcPr>
            <w:tcW w:w="0" w:type="auto"/>
            <w:tcBorders>
              <w:top w:val="single" w:sz="4" w:space="0" w:color="auto"/>
            </w:tcBorders>
            <w:shd w:val="clear" w:color="auto" w:fill="auto"/>
            <w:vAlign w:val="bottom"/>
          </w:tcPr>
          <w:p w14:paraId="7543B151" w14:textId="77777777" w:rsidR="00431244" w:rsidRPr="00F05386" w:rsidRDefault="00431244" w:rsidP="00380FD8">
            <w:pPr>
              <w:spacing w:line="480" w:lineRule="auto"/>
              <w:jc w:val="both"/>
              <w:rPr>
                <w:lang w:val="de-DE"/>
              </w:rPr>
            </w:pPr>
            <w:r w:rsidRPr="00F05386">
              <w:rPr>
                <w:lang w:val="de-DE"/>
              </w:rPr>
              <w:t>0.00001**</w:t>
            </w:r>
          </w:p>
        </w:tc>
        <w:tc>
          <w:tcPr>
            <w:tcW w:w="0" w:type="auto"/>
            <w:tcBorders>
              <w:top w:val="single" w:sz="4" w:space="0" w:color="auto"/>
            </w:tcBorders>
            <w:shd w:val="clear" w:color="auto" w:fill="auto"/>
            <w:vAlign w:val="bottom"/>
          </w:tcPr>
          <w:p w14:paraId="40F675A6" w14:textId="77777777" w:rsidR="00431244" w:rsidRPr="00F05386" w:rsidRDefault="00431244" w:rsidP="00380FD8">
            <w:pPr>
              <w:spacing w:line="480" w:lineRule="auto"/>
              <w:jc w:val="both"/>
              <w:rPr>
                <w:lang w:val="de-DE"/>
              </w:rPr>
            </w:pPr>
            <w:r w:rsidRPr="00F05386">
              <w:rPr>
                <w:lang w:val="de-DE"/>
              </w:rPr>
              <w:t>0.000004</w:t>
            </w:r>
          </w:p>
        </w:tc>
        <w:tc>
          <w:tcPr>
            <w:tcW w:w="0" w:type="auto"/>
            <w:tcBorders>
              <w:top w:val="single" w:sz="4" w:space="0" w:color="auto"/>
            </w:tcBorders>
            <w:shd w:val="clear" w:color="auto" w:fill="auto"/>
            <w:vAlign w:val="bottom"/>
          </w:tcPr>
          <w:p w14:paraId="4A0C39A5" w14:textId="77777777" w:rsidR="00431244" w:rsidRPr="00F05386" w:rsidRDefault="00431244" w:rsidP="00380FD8">
            <w:pPr>
              <w:spacing w:line="480" w:lineRule="auto"/>
              <w:jc w:val="both"/>
              <w:rPr>
                <w:lang w:val="de-DE"/>
              </w:rPr>
            </w:pPr>
            <w:r w:rsidRPr="00F05386">
              <w:rPr>
                <w:lang w:val="de-DE"/>
              </w:rPr>
              <w:t>0.000002</w:t>
            </w:r>
          </w:p>
        </w:tc>
        <w:tc>
          <w:tcPr>
            <w:tcW w:w="0" w:type="auto"/>
            <w:tcBorders>
              <w:top w:val="single" w:sz="4" w:space="0" w:color="auto"/>
            </w:tcBorders>
            <w:shd w:val="clear" w:color="auto" w:fill="auto"/>
            <w:vAlign w:val="bottom"/>
          </w:tcPr>
          <w:p w14:paraId="520C4EB3" w14:textId="77777777" w:rsidR="00431244" w:rsidRPr="00F05386" w:rsidRDefault="00431244" w:rsidP="00380FD8">
            <w:pPr>
              <w:spacing w:line="480" w:lineRule="auto"/>
              <w:jc w:val="both"/>
              <w:rPr>
                <w:lang w:val="de-DE"/>
              </w:rPr>
            </w:pPr>
            <w:r w:rsidRPr="00F05386">
              <w:rPr>
                <w:lang w:val="de-DE"/>
              </w:rPr>
              <w:t>0.0000005</w:t>
            </w:r>
          </w:p>
        </w:tc>
      </w:tr>
      <w:tr w:rsidR="00431244" w:rsidRPr="00F05386" w14:paraId="753E3ABC" w14:textId="77777777" w:rsidTr="00380FD8">
        <w:trPr>
          <w:trHeight w:hRule="exact" w:val="284"/>
        </w:trPr>
        <w:tc>
          <w:tcPr>
            <w:tcW w:w="0" w:type="auto"/>
            <w:shd w:val="clear" w:color="auto" w:fill="auto"/>
          </w:tcPr>
          <w:p w14:paraId="10280745" w14:textId="77777777" w:rsidR="00431244" w:rsidRPr="00F05386" w:rsidRDefault="00431244" w:rsidP="00380FD8">
            <w:pPr>
              <w:spacing w:line="480" w:lineRule="auto"/>
              <w:jc w:val="both"/>
            </w:pPr>
          </w:p>
        </w:tc>
        <w:tc>
          <w:tcPr>
            <w:tcW w:w="0" w:type="auto"/>
            <w:shd w:val="clear" w:color="auto" w:fill="auto"/>
          </w:tcPr>
          <w:p w14:paraId="6AABA786" w14:textId="77777777" w:rsidR="00431244" w:rsidRPr="00F05386" w:rsidRDefault="00431244" w:rsidP="00380FD8">
            <w:pPr>
              <w:spacing w:line="480" w:lineRule="auto"/>
              <w:jc w:val="both"/>
              <w:rPr>
                <w:lang w:val="de-DE"/>
              </w:rPr>
            </w:pPr>
            <w:r w:rsidRPr="00F05386">
              <w:rPr>
                <w:lang w:val="de-DE"/>
              </w:rPr>
              <w:t>(0.000005)</w:t>
            </w:r>
          </w:p>
        </w:tc>
        <w:tc>
          <w:tcPr>
            <w:tcW w:w="0" w:type="auto"/>
            <w:shd w:val="clear" w:color="auto" w:fill="auto"/>
          </w:tcPr>
          <w:p w14:paraId="5646A821" w14:textId="77777777" w:rsidR="00431244" w:rsidRPr="00F05386" w:rsidRDefault="00431244" w:rsidP="00380FD8">
            <w:pPr>
              <w:spacing w:line="480" w:lineRule="auto"/>
              <w:jc w:val="both"/>
              <w:rPr>
                <w:lang w:val="de-DE"/>
              </w:rPr>
            </w:pPr>
            <w:r w:rsidRPr="00F05386">
              <w:rPr>
                <w:lang w:val="de-DE"/>
              </w:rPr>
              <w:t>(0.000004)</w:t>
            </w:r>
          </w:p>
        </w:tc>
        <w:tc>
          <w:tcPr>
            <w:tcW w:w="0" w:type="auto"/>
            <w:shd w:val="clear" w:color="auto" w:fill="auto"/>
          </w:tcPr>
          <w:p w14:paraId="6FACDBC4" w14:textId="77777777" w:rsidR="00431244" w:rsidRPr="00F05386" w:rsidRDefault="00431244" w:rsidP="00380FD8">
            <w:pPr>
              <w:spacing w:line="480" w:lineRule="auto"/>
              <w:jc w:val="both"/>
              <w:rPr>
                <w:lang w:val="de-DE"/>
              </w:rPr>
            </w:pPr>
            <w:r w:rsidRPr="00F05386">
              <w:rPr>
                <w:lang w:val="de-DE"/>
              </w:rPr>
              <w:t>(0.000004)</w:t>
            </w:r>
          </w:p>
        </w:tc>
        <w:tc>
          <w:tcPr>
            <w:tcW w:w="0" w:type="auto"/>
            <w:shd w:val="clear" w:color="auto" w:fill="auto"/>
          </w:tcPr>
          <w:p w14:paraId="5577EFFA" w14:textId="77777777" w:rsidR="00431244" w:rsidRPr="00F05386" w:rsidRDefault="00431244" w:rsidP="00380FD8">
            <w:pPr>
              <w:spacing w:line="480" w:lineRule="auto"/>
              <w:jc w:val="both"/>
              <w:rPr>
                <w:lang w:val="de-DE"/>
              </w:rPr>
            </w:pPr>
            <w:r w:rsidRPr="00F05386">
              <w:rPr>
                <w:lang w:val="de-DE"/>
              </w:rPr>
              <w:t>(0.000003)</w:t>
            </w:r>
          </w:p>
        </w:tc>
      </w:tr>
      <w:tr w:rsidR="00431244" w:rsidRPr="00F05386" w14:paraId="7435C200" w14:textId="77777777" w:rsidTr="00380FD8">
        <w:trPr>
          <w:trHeight w:hRule="exact" w:val="284"/>
        </w:trPr>
        <w:tc>
          <w:tcPr>
            <w:tcW w:w="0" w:type="auto"/>
            <w:shd w:val="clear" w:color="auto" w:fill="auto"/>
          </w:tcPr>
          <w:p w14:paraId="6F60343B" w14:textId="77777777" w:rsidR="00431244" w:rsidRPr="00F05386" w:rsidRDefault="00431244" w:rsidP="00380FD8">
            <w:pPr>
              <w:spacing w:line="480" w:lineRule="auto"/>
              <w:jc w:val="both"/>
            </w:pPr>
            <w:r w:rsidRPr="00F05386">
              <w:t>Regime Type</w:t>
            </w:r>
          </w:p>
        </w:tc>
        <w:tc>
          <w:tcPr>
            <w:tcW w:w="0" w:type="auto"/>
            <w:shd w:val="clear" w:color="auto" w:fill="auto"/>
          </w:tcPr>
          <w:p w14:paraId="58C0B80A" w14:textId="77777777" w:rsidR="00431244" w:rsidRPr="00F05386" w:rsidRDefault="00431244" w:rsidP="00380FD8">
            <w:pPr>
              <w:spacing w:line="480" w:lineRule="auto"/>
              <w:jc w:val="both"/>
              <w:rPr>
                <w:lang w:val="de-DE"/>
              </w:rPr>
            </w:pPr>
            <w:r w:rsidRPr="00F05386">
              <w:rPr>
                <w:lang w:val="de-DE"/>
              </w:rPr>
              <w:t>0.018***</w:t>
            </w:r>
          </w:p>
        </w:tc>
        <w:tc>
          <w:tcPr>
            <w:tcW w:w="0" w:type="auto"/>
            <w:shd w:val="clear" w:color="auto" w:fill="auto"/>
          </w:tcPr>
          <w:p w14:paraId="7461342B" w14:textId="77777777" w:rsidR="00431244" w:rsidRPr="00F05386" w:rsidRDefault="00431244" w:rsidP="00380FD8">
            <w:pPr>
              <w:spacing w:line="480" w:lineRule="auto"/>
              <w:jc w:val="both"/>
              <w:rPr>
                <w:lang w:val="de-DE"/>
              </w:rPr>
            </w:pPr>
            <w:r w:rsidRPr="00F05386">
              <w:rPr>
                <w:lang w:val="de-DE"/>
              </w:rPr>
              <w:t>0.031***</w:t>
            </w:r>
          </w:p>
        </w:tc>
        <w:tc>
          <w:tcPr>
            <w:tcW w:w="0" w:type="auto"/>
            <w:shd w:val="clear" w:color="auto" w:fill="auto"/>
          </w:tcPr>
          <w:p w14:paraId="501B3BF9" w14:textId="77777777" w:rsidR="00431244" w:rsidRPr="00F05386" w:rsidRDefault="00431244" w:rsidP="00380FD8">
            <w:pPr>
              <w:spacing w:line="480" w:lineRule="auto"/>
              <w:jc w:val="both"/>
              <w:rPr>
                <w:lang w:val="de-DE"/>
              </w:rPr>
            </w:pPr>
            <w:r w:rsidRPr="00F05386">
              <w:rPr>
                <w:lang w:val="de-DE"/>
              </w:rPr>
              <w:t>0.005</w:t>
            </w:r>
          </w:p>
        </w:tc>
        <w:tc>
          <w:tcPr>
            <w:tcW w:w="0" w:type="auto"/>
            <w:shd w:val="clear" w:color="auto" w:fill="auto"/>
          </w:tcPr>
          <w:p w14:paraId="3FD89E18" w14:textId="77777777" w:rsidR="00431244" w:rsidRPr="00F05386" w:rsidRDefault="00431244" w:rsidP="00380FD8">
            <w:pPr>
              <w:spacing w:line="480" w:lineRule="auto"/>
              <w:jc w:val="both"/>
              <w:rPr>
                <w:lang w:val="de-DE"/>
              </w:rPr>
            </w:pPr>
            <w:r w:rsidRPr="00F05386">
              <w:rPr>
                <w:lang w:val="de-DE"/>
              </w:rPr>
              <w:t>0.007</w:t>
            </w:r>
          </w:p>
        </w:tc>
      </w:tr>
      <w:tr w:rsidR="00431244" w:rsidRPr="00F05386" w14:paraId="0A9226F6" w14:textId="77777777" w:rsidTr="00380FD8">
        <w:trPr>
          <w:trHeight w:hRule="exact" w:val="284"/>
        </w:trPr>
        <w:tc>
          <w:tcPr>
            <w:tcW w:w="0" w:type="auto"/>
            <w:shd w:val="clear" w:color="auto" w:fill="auto"/>
          </w:tcPr>
          <w:p w14:paraId="4D607E8C" w14:textId="77777777" w:rsidR="00431244" w:rsidRPr="00F05386" w:rsidRDefault="00431244" w:rsidP="00380FD8">
            <w:pPr>
              <w:spacing w:line="480" w:lineRule="auto"/>
              <w:jc w:val="both"/>
            </w:pPr>
          </w:p>
        </w:tc>
        <w:tc>
          <w:tcPr>
            <w:tcW w:w="0" w:type="auto"/>
            <w:shd w:val="clear" w:color="auto" w:fill="auto"/>
          </w:tcPr>
          <w:p w14:paraId="09E3A724" w14:textId="77777777" w:rsidR="00431244" w:rsidRPr="00F05386" w:rsidRDefault="00431244" w:rsidP="00380FD8">
            <w:pPr>
              <w:spacing w:line="480" w:lineRule="auto"/>
              <w:jc w:val="both"/>
              <w:rPr>
                <w:lang w:val="de-DE"/>
              </w:rPr>
            </w:pPr>
            <w:r w:rsidRPr="00F05386">
              <w:rPr>
                <w:lang w:val="de-DE"/>
              </w:rPr>
              <w:t>(0.006)</w:t>
            </w:r>
          </w:p>
        </w:tc>
        <w:tc>
          <w:tcPr>
            <w:tcW w:w="0" w:type="auto"/>
            <w:shd w:val="clear" w:color="auto" w:fill="auto"/>
          </w:tcPr>
          <w:p w14:paraId="7D8FC13A" w14:textId="77777777" w:rsidR="00431244" w:rsidRPr="00F05386" w:rsidRDefault="00431244" w:rsidP="00380FD8">
            <w:pPr>
              <w:spacing w:line="480" w:lineRule="auto"/>
              <w:jc w:val="both"/>
              <w:rPr>
                <w:lang w:val="de-DE"/>
              </w:rPr>
            </w:pPr>
            <w:r w:rsidRPr="00F05386">
              <w:rPr>
                <w:lang w:val="de-DE"/>
              </w:rPr>
              <w:t>(0.005)</w:t>
            </w:r>
          </w:p>
        </w:tc>
        <w:tc>
          <w:tcPr>
            <w:tcW w:w="0" w:type="auto"/>
            <w:shd w:val="clear" w:color="auto" w:fill="auto"/>
          </w:tcPr>
          <w:p w14:paraId="0EF4D445" w14:textId="77777777" w:rsidR="00431244" w:rsidRPr="00F05386" w:rsidRDefault="00431244" w:rsidP="00380FD8">
            <w:pPr>
              <w:spacing w:line="480" w:lineRule="auto"/>
              <w:jc w:val="both"/>
              <w:rPr>
                <w:lang w:val="de-DE"/>
              </w:rPr>
            </w:pPr>
            <w:r w:rsidRPr="00F05386">
              <w:rPr>
                <w:lang w:val="de-DE"/>
              </w:rPr>
              <w:t>(0.005)</w:t>
            </w:r>
          </w:p>
        </w:tc>
        <w:tc>
          <w:tcPr>
            <w:tcW w:w="0" w:type="auto"/>
            <w:shd w:val="clear" w:color="auto" w:fill="auto"/>
          </w:tcPr>
          <w:p w14:paraId="61801AD4" w14:textId="77777777" w:rsidR="00431244" w:rsidRPr="00F05386" w:rsidRDefault="00431244" w:rsidP="00380FD8">
            <w:pPr>
              <w:spacing w:line="480" w:lineRule="auto"/>
              <w:jc w:val="both"/>
              <w:rPr>
                <w:lang w:val="de-DE"/>
              </w:rPr>
            </w:pPr>
            <w:r w:rsidRPr="00F05386">
              <w:rPr>
                <w:lang w:val="de-DE"/>
              </w:rPr>
              <w:t>(0.004)</w:t>
            </w:r>
          </w:p>
        </w:tc>
      </w:tr>
      <w:tr w:rsidR="00431244" w:rsidRPr="00F05386" w14:paraId="7C790B32" w14:textId="77777777" w:rsidTr="00380FD8">
        <w:trPr>
          <w:trHeight w:hRule="exact" w:val="284"/>
        </w:trPr>
        <w:tc>
          <w:tcPr>
            <w:tcW w:w="0" w:type="auto"/>
            <w:shd w:val="clear" w:color="auto" w:fill="auto"/>
          </w:tcPr>
          <w:p w14:paraId="23ED6D15" w14:textId="77777777" w:rsidR="00431244" w:rsidRPr="00F05386" w:rsidRDefault="00431244" w:rsidP="00380FD8">
            <w:pPr>
              <w:spacing w:line="480" w:lineRule="auto"/>
              <w:jc w:val="both"/>
            </w:pPr>
            <w:r w:rsidRPr="00F05386">
              <w:t>Israel Relations</w:t>
            </w:r>
          </w:p>
        </w:tc>
        <w:tc>
          <w:tcPr>
            <w:tcW w:w="0" w:type="auto"/>
            <w:shd w:val="clear" w:color="auto" w:fill="auto"/>
            <w:vAlign w:val="center"/>
          </w:tcPr>
          <w:p w14:paraId="667E7D91" w14:textId="77777777" w:rsidR="00431244" w:rsidRPr="00F05386" w:rsidRDefault="00431244" w:rsidP="00380FD8">
            <w:pPr>
              <w:spacing w:line="480" w:lineRule="auto"/>
              <w:jc w:val="both"/>
            </w:pPr>
            <w:r w:rsidRPr="00F05386">
              <w:t>---</w:t>
            </w:r>
          </w:p>
        </w:tc>
        <w:tc>
          <w:tcPr>
            <w:tcW w:w="0" w:type="auto"/>
            <w:shd w:val="clear" w:color="auto" w:fill="auto"/>
            <w:vAlign w:val="center"/>
          </w:tcPr>
          <w:p w14:paraId="1DA413B2" w14:textId="77777777" w:rsidR="00431244" w:rsidRPr="00F05386" w:rsidRDefault="00431244" w:rsidP="00380FD8">
            <w:pPr>
              <w:spacing w:line="480" w:lineRule="auto"/>
              <w:jc w:val="both"/>
            </w:pPr>
            <w:r w:rsidRPr="00F05386">
              <w:t>---</w:t>
            </w:r>
          </w:p>
        </w:tc>
        <w:tc>
          <w:tcPr>
            <w:tcW w:w="0" w:type="auto"/>
            <w:shd w:val="clear" w:color="auto" w:fill="auto"/>
          </w:tcPr>
          <w:p w14:paraId="3A945C58" w14:textId="77777777" w:rsidR="00431244" w:rsidRPr="00F05386" w:rsidRDefault="00431244" w:rsidP="00380FD8">
            <w:pPr>
              <w:spacing w:line="480" w:lineRule="auto"/>
              <w:jc w:val="both"/>
              <w:rPr>
                <w:lang w:val="de-DE"/>
              </w:rPr>
            </w:pPr>
            <w:r w:rsidRPr="00F05386">
              <w:rPr>
                <w:lang w:val="de-DE"/>
              </w:rPr>
              <w:t>0.222***</w:t>
            </w:r>
          </w:p>
        </w:tc>
        <w:tc>
          <w:tcPr>
            <w:tcW w:w="0" w:type="auto"/>
            <w:shd w:val="clear" w:color="auto" w:fill="auto"/>
          </w:tcPr>
          <w:p w14:paraId="68A77D26" w14:textId="77777777" w:rsidR="00431244" w:rsidRPr="00F05386" w:rsidRDefault="00431244" w:rsidP="00380FD8">
            <w:pPr>
              <w:spacing w:line="480" w:lineRule="auto"/>
              <w:jc w:val="both"/>
              <w:rPr>
                <w:lang w:val="de-DE"/>
              </w:rPr>
            </w:pPr>
            <w:r w:rsidRPr="00F05386">
              <w:rPr>
                <w:lang w:val="de-DE"/>
              </w:rPr>
              <w:t>0.101*</w:t>
            </w:r>
          </w:p>
        </w:tc>
      </w:tr>
      <w:tr w:rsidR="00431244" w:rsidRPr="00F05386" w14:paraId="6E28C238" w14:textId="77777777" w:rsidTr="00380FD8">
        <w:trPr>
          <w:trHeight w:hRule="exact" w:val="284"/>
        </w:trPr>
        <w:tc>
          <w:tcPr>
            <w:tcW w:w="0" w:type="auto"/>
            <w:shd w:val="clear" w:color="auto" w:fill="auto"/>
          </w:tcPr>
          <w:p w14:paraId="4AAF68B0" w14:textId="77777777" w:rsidR="00431244" w:rsidRPr="00F05386" w:rsidRDefault="00431244" w:rsidP="00380FD8">
            <w:pPr>
              <w:spacing w:line="480" w:lineRule="auto"/>
              <w:jc w:val="both"/>
            </w:pPr>
          </w:p>
        </w:tc>
        <w:tc>
          <w:tcPr>
            <w:tcW w:w="0" w:type="auto"/>
            <w:shd w:val="clear" w:color="auto" w:fill="auto"/>
          </w:tcPr>
          <w:p w14:paraId="464FF497" w14:textId="77777777" w:rsidR="00431244" w:rsidRPr="00F05386" w:rsidRDefault="00431244" w:rsidP="00380FD8">
            <w:pPr>
              <w:spacing w:line="480" w:lineRule="auto"/>
              <w:jc w:val="both"/>
            </w:pPr>
          </w:p>
        </w:tc>
        <w:tc>
          <w:tcPr>
            <w:tcW w:w="0" w:type="auto"/>
            <w:shd w:val="clear" w:color="auto" w:fill="auto"/>
          </w:tcPr>
          <w:p w14:paraId="046717BB" w14:textId="77777777" w:rsidR="00431244" w:rsidRPr="00F05386" w:rsidRDefault="00431244" w:rsidP="00380FD8">
            <w:pPr>
              <w:spacing w:line="480" w:lineRule="auto"/>
              <w:jc w:val="both"/>
            </w:pPr>
          </w:p>
        </w:tc>
        <w:tc>
          <w:tcPr>
            <w:tcW w:w="0" w:type="auto"/>
            <w:shd w:val="clear" w:color="auto" w:fill="auto"/>
          </w:tcPr>
          <w:p w14:paraId="0206105E" w14:textId="77777777" w:rsidR="00431244" w:rsidRPr="00F05386" w:rsidRDefault="00431244" w:rsidP="00380FD8">
            <w:pPr>
              <w:spacing w:line="480" w:lineRule="auto"/>
              <w:jc w:val="both"/>
              <w:rPr>
                <w:lang w:val="de-DE"/>
              </w:rPr>
            </w:pPr>
            <w:r w:rsidRPr="00F05386">
              <w:rPr>
                <w:lang w:val="de-DE"/>
              </w:rPr>
              <w:t>(0.058)</w:t>
            </w:r>
          </w:p>
        </w:tc>
        <w:tc>
          <w:tcPr>
            <w:tcW w:w="0" w:type="auto"/>
            <w:shd w:val="clear" w:color="auto" w:fill="auto"/>
          </w:tcPr>
          <w:p w14:paraId="3DAE98CD" w14:textId="77777777" w:rsidR="00431244" w:rsidRPr="00F05386" w:rsidRDefault="00431244" w:rsidP="00380FD8">
            <w:pPr>
              <w:spacing w:line="480" w:lineRule="auto"/>
              <w:jc w:val="both"/>
              <w:rPr>
                <w:lang w:val="de-DE"/>
              </w:rPr>
            </w:pPr>
            <w:r w:rsidRPr="00F05386">
              <w:rPr>
                <w:lang w:val="de-DE"/>
              </w:rPr>
              <w:t>(0.054)</w:t>
            </w:r>
          </w:p>
        </w:tc>
      </w:tr>
      <w:tr w:rsidR="00431244" w:rsidRPr="00F05386" w14:paraId="5A41CD06" w14:textId="77777777" w:rsidTr="00380FD8">
        <w:trPr>
          <w:trHeight w:hRule="exact" w:val="284"/>
        </w:trPr>
        <w:tc>
          <w:tcPr>
            <w:tcW w:w="0" w:type="auto"/>
            <w:shd w:val="clear" w:color="auto" w:fill="auto"/>
          </w:tcPr>
          <w:p w14:paraId="2CAFD5B5" w14:textId="77777777" w:rsidR="00431244" w:rsidRPr="00F05386" w:rsidRDefault="00431244" w:rsidP="00380FD8">
            <w:pPr>
              <w:spacing w:line="480" w:lineRule="auto"/>
              <w:jc w:val="both"/>
            </w:pPr>
            <w:r w:rsidRPr="00F05386">
              <w:t>African</w:t>
            </w:r>
          </w:p>
        </w:tc>
        <w:tc>
          <w:tcPr>
            <w:tcW w:w="0" w:type="auto"/>
            <w:shd w:val="clear" w:color="auto" w:fill="auto"/>
          </w:tcPr>
          <w:p w14:paraId="70A641DD" w14:textId="77777777" w:rsidR="00431244" w:rsidRPr="00F05386" w:rsidRDefault="00431244" w:rsidP="00380FD8">
            <w:pPr>
              <w:spacing w:line="480" w:lineRule="auto"/>
              <w:jc w:val="both"/>
              <w:rPr>
                <w:lang w:val="de-DE"/>
              </w:rPr>
            </w:pPr>
            <w:r w:rsidRPr="00F05386">
              <w:rPr>
                <w:lang w:val="de-DE"/>
              </w:rPr>
              <w:t>-0.761***</w:t>
            </w:r>
          </w:p>
        </w:tc>
        <w:tc>
          <w:tcPr>
            <w:tcW w:w="0" w:type="auto"/>
            <w:shd w:val="clear" w:color="auto" w:fill="auto"/>
          </w:tcPr>
          <w:p w14:paraId="3539B592" w14:textId="77777777" w:rsidR="00431244" w:rsidRPr="00F05386" w:rsidRDefault="00431244" w:rsidP="00380FD8">
            <w:pPr>
              <w:spacing w:line="480" w:lineRule="auto"/>
              <w:jc w:val="both"/>
              <w:rPr>
                <w:lang w:val="de-DE"/>
              </w:rPr>
            </w:pPr>
            <w:r w:rsidRPr="00F05386">
              <w:rPr>
                <w:lang w:val="de-DE"/>
              </w:rPr>
              <w:t>-0.791***</w:t>
            </w:r>
          </w:p>
        </w:tc>
        <w:tc>
          <w:tcPr>
            <w:tcW w:w="0" w:type="auto"/>
            <w:shd w:val="clear" w:color="auto" w:fill="auto"/>
          </w:tcPr>
          <w:p w14:paraId="01F7664E" w14:textId="77777777" w:rsidR="00431244" w:rsidRPr="00F05386" w:rsidRDefault="00431244" w:rsidP="00380FD8">
            <w:pPr>
              <w:spacing w:line="480" w:lineRule="auto"/>
              <w:jc w:val="both"/>
              <w:rPr>
                <w:lang w:val="de-DE"/>
              </w:rPr>
            </w:pPr>
            <w:r w:rsidRPr="00F05386">
              <w:rPr>
                <w:lang w:val="de-DE"/>
              </w:rPr>
              <w:t>0.397***</w:t>
            </w:r>
          </w:p>
        </w:tc>
        <w:tc>
          <w:tcPr>
            <w:tcW w:w="0" w:type="auto"/>
            <w:shd w:val="clear" w:color="auto" w:fill="auto"/>
          </w:tcPr>
          <w:p w14:paraId="0B1C5DA9" w14:textId="77777777" w:rsidR="00431244" w:rsidRPr="00F05386" w:rsidRDefault="00431244" w:rsidP="00380FD8">
            <w:pPr>
              <w:spacing w:line="480" w:lineRule="auto"/>
              <w:jc w:val="both"/>
              <w:rPr>
                <w:lang w:val="de-DE"/>
              </w:rPr>
            </w:pPr>
            <w:r w:rsidRPr="00F05386">
              <w:rPr>
                <w:lang w:val="de-DE"/>
              </w:rPr>
              <w:t>0.368**</w:t>
            </w:r>
          </w:p>
        </w:tc>
      </w:tr>
      <w:tr w:rsidR="00431244" w:rsidRPr="00F05386" w14:paraId="6A05224D" w14:textId="77777777" w:rsidTr="00380FD8">
        <w:trPr>
          <w:trHeight w:hRule="exact" w:val="284"/>
        </w:trPr>
        <w:tc>
          <w:tcPr>
            <w:tcW w:w="0" w:type="auto"/>
            <w:shd w:val="clear" w:color="auto" w:fill="auto"/>
          </w:tcPr>
          <w:p w14:paraId="29634B98" w14:textId="77777777" w:rsidR="00431244" w:rsidRPr="00F05386" w:rsidRDefault="00431244" w:rsidP="00380FD8">
            <w:pPr>
              <w:spacing w:line="480" w:lineRule="auto"/>
              <w:jc w:val="both"/>
            </w:pPr>
          </w:p>
        </w:tc>
        <w:tc>
          <w:tcPr>
            <w:tcW w:w="0" w:type="auto"/>
            <w:shd w:val="clear" w:color="auto" w:fill="auto"/>
          </w:tcPr>
          <w:p w14:paraId="6157CA67" w14:textId="77777777" w:rsidR="00431244" w:rsidRPr="00F05386" w:rsidRDefault="00431244" w:rsidP="00380FD8">
            <w:pPr>
              <w:spacing w:line="480" w:lineRule="auto"/>
              <w:jc w:val="both"/>
              <w:rPr>
                <w:lang w:val="de-DE"/>
              </w:rPr>
            </w:pPr>
            <w:r w:rsidRPr="00F05386">
              <w:rPr>
                <w:lang w:val="de-DE"/>
              </w:rPr>
              <w:t>(0.13)</w:t>
            </w:r>
          </w:p>
        </w:tc>
        <w:tc>
          <w:tcPr>
            <w:tcW w:w="0" w:type="auto"/>
            <w:shd w:val="clear" w:color="auto" w:fill="auto"/>
          </w:tcPr>
          <w:p w14:paraId="7FFCB67E" w14:textId="77777777" w:rsidR="00431244" w:rsidRPr="00F05386" w:rsidRDefault="00431244" w:rsidP="00380FD8">
            <w:pPr>
              <w:spacing w:line="480" w:lineRule="auto"/>
              <w:jc w:val="both"/>
              <w:rPr>
                <w:lang w:val="de-DE"/>
              </w:rPr>
            </w:pPr>
            <w:r w:rsidRPr="00F05386">
              <w:rPr>
                <w:lang w:val="de-DE"/>
              </w:rPr>
              <w:t>(0.129)</w:t>
            </w:r>
          </w:p>
        </w:tc>
        <w:tc>
          <w:tcPr>
            <w:tcW w:w="0" w:type="auto"/>
            <w:shd w:val="clear" w:color="auto" w:fill="auto"/>
          </w:tcPr>
          <w:p w14:paraId="1CF20141" w14:textId="77777777" w:rsidR="00431244" w:rsidRPr="00F05386" w:rsidRDefault="00431244" w:rsidP="00380FD8">
            <w:pPr>
              <w:spacing w:line="480" w:lineRule="auto"/>
              <w:jc w:val="both"/>
              <w:rPr>
                <w:lang w:val="de-DE"/>
              </w:rPr>
            </w:pPr>
            <w:r w:rsidRPr="00F05386">
              <w:rPr>
                <w:lang w:val="de-DE"/>
              </w:rPr>
              <w:t>(0.145)</w:t>
            </w:r>
          </w:p>
        </w:tc>
        <w:tc>
          <w:tcPr>
            <w:tcW w:w="0" w:type="auto"/>
            <w:shd w:val="clear" w:color="auto" w:fill="auto"/>
          </w:tcPr>
          <w:p w14:paraId="0B26C94C" w14:textId="77777777" w:rsidR="00431244" w:rsidRPr="00F05386" w:rsidRDefault="00431244" w:rsidP="00380FD8">
            <w:pPr>
              <w:spacing w:line="480" w:lineRule="auto"/>
              <w:jc w:val="both"/>
              <w:rPr>
                <w:lang w:val="de-DE"/>
              </w:rPr>
            </w:pPr>
            <w:r w:rsidRPr="00F05386">
              <w:rPr>
                <w:lang w:val="de-DE"/>
              </w:rPr>
              <w:t>(0.143)</w:t>
            </w:r>
          </w:p>
        </w:tc>
      </w:tr>
      <w:tr w:rsidR="00431244" w:rsidRPr="00F05386" w14:paraId="22935D1C" w14:textId="77777777" w:rsidTr="00380FD8">
        <w:trPr>
          <w:trHeight w:hRule="exact" w:val="284"/>
        </w:trPr>
        <w:tc>
          <w:tcPr>
            <w:tcW w:w="0" w:type="auto"/>
            <w:shd w:val="clear" w:color="auto" w:fill="auto"/>
          </w:tcPr>
          <w:p w14:paraId="6201DEEE" w14:textId="77777777" w:rsidR="00431244" w:rsidRPr="00F05386" w:rsidRDefault="00431244" w:rsidP="00380FD8">
            <w:pPr>
              <w:spacing w:line="480" w:lineRule="auto"/>
              <w:jc w:val="both"/>
            </w:pPr>
            <w:r w:rsidRPr="00F05386">
              <w:t>Asian</w:t>
            </w:r>
          </w:p>
        </w:tc>
        <w:tc>
          <w:tcPr>
            <w:tcW w:w="0" w:type="auto"/>
            <w:shd w:val="clear" w:color="auto" w:fill="auto"/>
          </w:tcPr>
          <w:p w14:paraId="7CD22D12" w14:textId="77777777" w:rsidR="00431244" w:rsidRPr="00F05386" w:rsidRDefault="00431244" w:rsidP="00380FD8">
            <w:pPr>
              <w:spacing w:line="480" w:lineRule="auto"/>
              <w:jc w:val="both"/>
              <w:rPr>
                <w:lang w:val="de-DE"/>
              </w:rPr>
            </w:pPr>
            <w:r w:rsidRPr="00F05386">
              <w:rPr>
                <w:lang w:val="de-DE"/>
              </w:rPr>
              <w:t>-0.670***</w:t>
            </w:r>
          </w:p>
        </w:tc>
        <w:tc>
          <w:tcPr>
            <w:tcW w:w="0" w:type="auto"/>
            <w:shd w:val="clear" w:color="auto" w:fill="auto"/>
          </w:tcPr>
          <w:p w14:paraId="2617F8DD" w14:textId="77777777" w:rsidR="00431244" w:rsidRPr="00F05386" w:rsidRDefault="00431244" w:rsidP="00380FD8">
            <w:pPr>
              <w:spacing w:line="480" w:lineRule="auto"/>
              <w:jc w:val="both"/>
              <w:rPr>
                <w:lang w:val="de-DE"/>
              </w:rPr>
            </w:pPr>
            <w:r w:rsidRPr="00F05386">
              <w:rPr>
                <w:lang w:val="de-DE"/>
              </w:rPr>
              <w:t>-0.699***</w:t>
            </w:r>
          </w:p>
        </w:tc>
        <w:tc>
          <w:tcPr>
            <w:tcW w:w="0" w:type="auto"/>
            <w:shd w:val="clear" w:color="auto" w:fill="auto"/>
          </w:tcPr>
          <w:p w14:paraId="00B2EA5D" w14:textId="77777777" w:rsidR="00431244" w:rsidRPr="00F05386" w:rsidRDefault="00431244" w:rsidP="00380FD8">
            <w:pPr>
              <w:spacing w:line="480" w:lineRule="auto"/>
              <w:jc w:val="both"/>
              <w:rPr>
                <w:lang w:val="de-DE"/>
              </w:rPr>
            </w:pPr>
            <w:r w:rsidRPr="00F05386">
              <w:rPr>
                <w:lang w:val="de-DE"/>
              </w:rPr>
              <w:t>0.222</w:t>
            </w:r>
          </w:p>
        </w:tc>
        <w:tc>
          <w:tcPr>
            <w:tcW w:w="0" w:type="auto"/>
            <w:shd w:val="clear" w:color="auto" w:fill="auto"/>
          </w:tcPr>
          <w:p w14:paraId="6AD5AE7A" w14:textId="77777777" w:rsidR="00431244" w:rsidRPr="00F05386" w:rsidRDefault="00431244" w:rsidP="00380FD8">
            <w:pPr>
              <w:spacing w:line="480" w:lineRule="auto"/>
              <w:jc w:val="both"/>
              <w:rPr>
                <w:lang w:val="de-DE"/>
              </w:rPr>
            </w:pPr>
            <w:r w:rsidRPr="00F05386">
              <w:rPr>
                <w:lang w:val="de-DE"/>
              </w:rPr>
              <w:t>0.144</w:t>
            </w:r>
          </w:p>
        </w:tc>
      </w:tr>
      <w:tr w:rsidR="00431244" w:rsidRPr="00F05386" w14:paraId="4E6900F1" w14:textId="77777777" w:rsidTr="00380FD8">
        <w:trPr>
          <w:trHeight w:hRule="exact" w:val="284"/>
        </w:trPr>
        <w:tc>
          <w:tcPr>
            <w:tcW w:w="0" w:type="auto"/>
            <w:shd w:val="clear" w:color="auto" w:fill="auto"/>
          </w:tcPr>
          <w:p w14:paraId="0A67B1A6" w14:textId="77777777" w:rsidR="00431244" w:rsidRPr="00F05386" w:rsidRDefault="00431244" w:rsidP="00380FD8">
            <w:pPr>
              <w:spacing w:line="480" w:lineRule="auto"/>
              <w:jc w:val="both"/>
            </w:pPr>
          </w:p>
        </w:tc>
        <w:tc>
          <w:tcPr>
            <w:tcW w:w="0" w:type="auto"/>
            <w:shd w:val="clear" w:color="auto" w:fill="auto"/>
          </w:tcPr>
          <w:p w14:paraId="4716E2CE" w14:textId="77777777" w:rsidR="00431244" w:rsidRPr="00F05386" w:rsidRDefault="00431244" w:rsidP="00380FD8">
            <w:pPr>
              <w:spacing w:line="480" w:lineRule="auto"/>
              <w:jc w:val="both"/>
              <w:rPr>
                <w:lang w:val="de-DE"/>
              </w:rPr>
            </w:pPr>
            <w:r w:rsidRPr="00F05386">
              <w:rPr>
                <w:lang w:val="de-DE"/>
              </w:rPr>
              <w:t>(0.112)</w:t>
            </w:r>
          </w:p>
        </w:tc>
        <w:tc>
          <w:tcPr>
            <w:tcW w:w="0" w:type="auto"/>
            <w:shd w:val="clear" w:color="auto" w:fill="auto"/>
          </w:tcPr>
          <w:p w14:paraId="5407C6D6" w14:textId="77777777" w:rsidR="00431244" w:rsidRPr="00F05386" w:rsidRDefault="00431244" w:rsidP="00380FD8">
            <w:pPr>
              <w:spacing w:line="480" w:lineRule="auto"/>
              <w:jc w:val="both"/>
              <w:rPr>
                <w:lang w:val="de-DE"/>
              </w:rPr>
            </w:pPr>
            <w:r w:rsidRPr="00F05386">
              <w:rPr>
                <w:lang w:val="de-DE"/>
              </w:rPr>
              <w:t>(0.134)</w:t>
            </w:r>
          </w:p>
        </w:tc>
        <w:tc>
          <w:tcPr>
            <w:tcW w:w="0" w:type="auto"/>
            <w:shd w:val="clear" w:color="auto" w:fill="auto"/>
          </w:tcPr>
          <w:p w14:paraId="4963DCF4" w14:textId="77777777" w:rsidR="00431244" w:rsidRPr="00F05386" w:rsidRDefault="00431244" w:rsidP="00380FD8">
            <w:pPr>
              <w:spacing w:line="480" w:lineRule="auto"/>
              <w:jc w:val="both"/>
              <w:rPr>
                <w:lang w:val="de-DE"/>
              </w:rPr>
            </w:pPr>
            <w:r w:rsidRPr="00F05386">
              <w:rPr>
                <w:lang w:val="de-DE"/>
              </w:rPr>
              <w:t>(0.136)</w:t>
            </w:r>
          </w:p>
        </w:tc>
        <w:tc>
          <w:tcPr>
            <w:tcW w:w="0" w:type="auto"/>
            <w:shd w:val="clear" w:color="auto" w:fill="auto"/>
          </w:tcPr>
          <w:p w14:paraId="172054FC" w14:textId="77777777" w:rsidR="00431244" w:rsidRPr="00F05386" w:rsidRDefault="00431244" w:rsidP="00380FD8">
            <w:pPr>
              <w:spacing w:line="480" w:lineRule="auto"/>
              <w:jc w:val="both"/>
              <w:rPr>
                <w:lang w:val="de-DE"/>
              </w:rPr>
            </w:pPr>
            <w:r w:rsidRPr="00F05386">
              <w:rPr>
                <w:lang w:val="de-DE"/>
              </w:rPr>
              <w:t>(0.136)</w:t>
            </w:r>
          </w:p>
        </w:tc>
      </w:tr>
      <w:tr w:rsidR="00431244" w:rsidRPr="00F05386" w14:paraId="4D8DB808" w14:textId="77777777" w:rsidTr="00380FD8">
        <w:trPr>
          <w:trHeight w:hRule="exact" w:val="284"/>
        </w:trPr>
        <w:tc>
          <w:tcPr>
            <w:tcW w:w="0" w:type="auto"/>
            <w:shd w:val="clear" w:color="auto" w:fill="auto"/>
          </w:tcPr>
          <w:p w14:paraId="2D55FCA3" w14:textId="77777777" w:rsidR="00431244" w:rsidRPr="00F05386" w:rsidRDefault="00431244" w:rsidP="00380FD8">
            <w:pPr>
              <w:spacing w:line="480" w:lineRule="auto"/>
              <w:jc w:val="both"/>
            </w:pPr>
            <w:r w:rsidRPr="00F05386">
              <w:t>East European</w:t>
            </w:r>
          </w:p>
        </w:tc>
        <w:tc>
          <w:tcPr>
            <w:tcW w:w="0" w:type="auto"/>
            <w:shd w:val="clear" w:color="auto" w:fill="auto"/>
          </w:tcPr>
          <w:p w14:paraId="56C9BFF2" w14:textId="77777777" w:rsidR="00431244" w:rsidRPr="00F05386" w:rsidRDefault="00431244" w:rsidP="00380FD8">
            <w:pPr>
              <w:spacing w:line="480" w:lineRule="auto"/>
              <w:jc w:val="both"/>
              <w:rPr>
                <w:lang w:val="de-DE"/>
              </w:rPr>
            </w:pPr>
            <w:r w:rsidRPr="00F05386">
              <w:rPr>
                <w:lang w:val="de-DE"/>
              </w:rPr>
              <w:t>0.163</w:t>
            </w:r>
          </w:p>
        </w:tc>
        <w:tc>
          <w:tcPr>
            <w:tcW w:w="0" w:type="auto"/>
            <w:shd w:val="clear" w:color="auto" w:fill="auto"/>
          </w:tcPr>
          <w:p w14:paraId="14D592BD" w14:textId="77777777" w:rsidR="00431244" w:rsidRPr="00F05386" w:rsidRDefault="00431244" w:rsidP="00380FD8">
            <w:pPr>
              <w:spacing w:line="480" w:lineRule="auto"/>
              <w:jc w:val="both"/>
              <w:rPr>
                <w:lang w:val="de-DE"/>
              </w:rPr>
            </w:pPr>
            <w:r w:rsidRPr="00F05386">
              <w:rPr>
                <w:lang w:val="de-DE"/>
              </w:rPr>
              <w:t>0.050</w:t>
            </w:r>
          </w:p>
        </w:tc>
        <w:tc>
          <w:tcPr>
            <w:tcW w:w="0" w:type="auto"/>
            <w:shd w:val="clear" w:color="auto" w:fill="auto"/>
          </w:tcPr>
          <w:p w14:paraId="606B1EBF" w14:textId="77777777" w:rsidR="00431244" w:rsidRPr="00F05386" w:rsidRDefault="00431244" w:rsidP="00380FD8">
            <w:pPr>
              <w:spacing w:line="480" w:lineRule="auto"/>
              <w:jc w:val="both"/>
              <w:rPr>
                <w:lang w:val="de-DE"/>
              </w:rPr>
            </w:pPr>
            <w:r w:rsidRPr="00F05386">
              <w:rPr>
                <w:lang w:val="de-DE"/>
              </w:rPr>
              <w:t>0.098</w:t>
            </w:r>
          </w:p>
        </w:tc>
        <w:tc>
          <w:tcPr>
            <w:tcW w:w="0" w:type="auto"/>
            <w:shd w:val="clear" w:color="auto" w:fill="auto"/>
          </w:tcPr>
          <w:p w14:paraId="0887672C" w14:textId="77777777" w:rsidR="00431244" w:rsidRPr="00F05386" w:rsidRDefault="00431244" w:rsidP="00380FD8">
            <w:pPr>
              <w:spacing w:line="480" w:lineRule="auto"/>
              <w:jc w:val="both"/>
              <w:rPr>
                <w:lang w:val="de-DE"/>
              </w:rPr>
            </w:pPr>
            <w:r w:rsidRPr="00F05386">
              <w:rPr>
                <w:lang w:val="de-DE"/>
              </w:rPr>
              <w:t>-0.102</w:t>
            </w:r>
          </w:p>
        </w:tc>
      </w:tr>
      <w:tr w:rsidR="00431244" w:rsidRPr="00F05386" w14:paraId="4EEB7D03" w14:textId="77777777" w:rsidTr="00380FD8">
        <w:trPr>
          <w:trHeight w:hRule="exact" w:val="284"/>
        </w:trPr>
        <w:tc>
          <w:tcPr>
            <w:tcW w:w="0" w:type="auto"/>
            <w:shd w:val="clear" w:color="auto" w:fill="auto"/>
          </w:tcPr>
          <w:p w14:paraId="50D9FBD3" w14:textId="77777777" w:rsidR="00431244" w:rsidRPr="00F05386" w:rsidRDefault="00431244" w:rsidP="00380FD8">
            <w:pPr>
              <w:spacing w:line="480" w:lineRule="auto"/>
              <w:jc w:val="both"/>
            </w:pPr>
          </w:p>
        </w:tc>
        <w:tc>
          <w:tcPr>
            <w:tcW w:w="0" w:type="auto"/>
            <w:shd w:val="clear" w:color="auto" w:fill="auto"/>
          </w:tcPr>
          <w:p w14:paraId="559E9D3A" w14:textId="77777777" w:rsidR="00431244" w:rsidRPr="00F05386" w:rsidRDefault="00431244" w:rsidP="00380FD8">
            <w:pPr>
              <w:spacing w:line="480" w:lineRule="auto"/>
              <w:jc w:val="both"/>
              <w:rPr>
                <w:lang w:val="de-DE"/>
              </w:rPr>
            </w:pPr>
            <w:r w:rsidRPr="00F05386">
              <w:rPr>
                <w:lang w:val="de-DE"/>
              </w:rPr>
              <w:t>(0.111)</w:t>
            </w:r>
          </w:p>
        </w:tc>
        <w:tc>
          <w:tcPr>
            <w:tcW w:w="0" w:type="auto"/>
            <w:shd w:val="clear" w:color="auto" w:fill="auto"/>
          </w:tcPr>
          <w:p w14:paraId="4102902A" w14:textId="77777777" w:rsidR="00431244" w:rsidRPr="00F05386" w:rsidRDefault="00431244" w:rsidP="00380FD8">
            <w:pPr>
              <w:spacing w:line="480" w:lineRule="auto"/>
              <w:jc w:val="both"/>
              <w:rPr>
                <w:lang w:val="de-DE"/>
              </w:rPr>
            </w:pPr>
            <w:r w:rsidRPr="00F05386">
              <w:rPr>
                <w:lang w:val="de-DE"/>
              </w:rPr>
              <w:t>(0.103)</w:t>
            </w:r>
          </w:p>
        </w:tc>
        <w:tc>
          <w:tcPr>
            <w:tcW w:w="0" w:type="auto"/>
            <w:shd w:val="clear" w:color="auto" w:fill="auto"/>
          </w:tcPr>
          <w:p w14:paraId="1A6169C9" w14:textId="77777777" w:rsidR="00431244" w:rsidRPr="00F05386" w:rsidRDefault="00431244" w:rsidP="00380FD8">
            <w:pPr>
              <w:spacing w:line="480" w:lineRule="auto"/>
              <w:jc w:val="both"/>
              <w:rPr>
                <w:lang w:val="de-DE"/>
              </w:rPr>
            </w:pPr>
            <w:r w:rsidRPr="00F05386">
              <w:rPr>
                <w:lang w:val="de-DE"/>
              </w:rPr>
              <w:t>(0.133)</w:t>
            </w:r>
          </w:p>
        </w:tc>
        <w:tc>
          <w:tcPr>
            <w:tcW w:w="0" w:type="auto"/>
            <w:shd w:val="clear" w:color="auto" w:fill="auto"/>
          </w:tcPr>
          <w:p w14:paraId="26240549" w14:textId="77777777" w:rsidR="00431244" w:rsidRPr="00F05386" w:rsidRDefault="00431244" w:rsidP="00380FD8">
            <w:pPr>
              <w:spacing w:line="480" w:lineRule="auto"/>
              <w:jc w:val="both"/>
              <w:rPr>
                <w:lang w:val="de-DE"/>
              </w:rPr>
            </w:pPr>
            <w:r w:rsidRPr="00F05386">
              <w:rPr>
                <w:lang w:val="de-DE"/>
              </w:rPr>
              <w:t>(0.122)</w:t>
            </w:r>
          </w:p>
        </w:tc>
      </w:tr>
      <w:tr w:rsidR="00431244" w:rsidRPr="00F05386" w14:paraId="0C4E5F92" w14:textId="77777777" w:rsidTr="00380FD8">
        <w:trPr>
          <w:trHeight w:hRule="exact" w:val="284"/>
        </w:trPr>
        <w:tc>
          <w:tcPr>
            <w:tcW w:w="0" w:type="auto"/>
            <w:shd w:val="clear" w:color="auto" w:fill="auto"/>
          </w:tcPr>
          <w:p w14:paraId="3B27BE79" w14:textId="77777777" w:rsidR="00431244" w:rsidRPr="00F05386" w:rsidRDefault="00431244" w:rsidP="00380FD8">
            <w:pPr>
              <w:spacing w:line="480" w:lineRule="auto"/>
              <w:jc w:val="both"/>
            </w:pPr>
            <w:r w:rsidRPr="00F05386">
              <w:t>Latin American</w:t>
            </w:r>
          </w:p>
        </w:tc>
        <w:tc>
          <w:tcPr>
            <w:tcW w:w="0" w:type="auto"/>
            <w:shd w:val="clear" w:color="auto" w:fill="auto"/>
          </w:tcPr>
          <w:p w14:paraId="7EC2EE63" w14:textId="77777777" w:rsidR="00431244" w:rsidRPr="00F05386" w:rsidRDefault="00431244" w:rsidP="00380FD8">
            <w:pPr>
              <w:spacing w:line="480" w:lineRule="auto"/>
              <w:jc w:val="both"/>
              <w:rPr>
                <w:lang w:val="de-DE"/>
              </w:rPr>
            </w:pPr>
            <w:r w:rsidRPr="00F05386">
              <w:rPr>
                <w:lang w:val="de-DE"/>
              </w:rPr>
              <w:t>-0.616***</w:t>
            </w:r>
          </w:p>
        </w:tc>
        <w:tc>
          <w:tcPr>
            <w:tcW w:w="0" w:type="auto"/>
            <w:shd w:val="clear" w:color="auto" w:fill="auto"/>
          </w:tcPr>
          <w:p w14:paraId="17404248" w14:textId="77777777" w:rsidR="00431244" w:rsidRPr="00F05386" w:rsidRDefault="00431244" w:rsidP="00380FD8">
            <w:pPr>
              <w:spacing w:line="480" w:lineRule="auto"/>
              <w:jc w:val="both"/>
              <w:rPr>
                <w:lang w:val="de-DE"/>
              </w:rPr>
            </w:pPr>
            <w:r w:rsidRPr="00F05386">
              <w:rPr>
                <w:lang w:val="de-DE"/>
              </w:rPr>
              <w:t>-0.693***</w:t>
            </w:r>
          </w:p>
        </w:tc>
        <w:tc>
          <w:tcPr>
            <w:tcW w:w="0" w:type="auto"/>
            <w:shd w:val="clear" w:color="auto" w:fill="auto"/>
          </w:tcPr>
          <w:p w14:paraId="173B7071" w14:textId="77777777" w:rsidR="00431244" w:rsidRPr="00F05386" w:rsidRDefault="00431244" w:rsidP="00380FD8">
            <w:pPr>
              <w:spacing w:line="480" w:lineRule="auto"/>
              <w:jc w:val="both"/>
              <w:rPr>
                <w:lang w:val="de-DE"/>
              </w:rPr>
            </w:pPr>
            <w:r w:rsidRPr="00F05386">
              <w:rPr>
                <w:lang w:val="de-DE"/>
              </w:rPr>
              <w:t>0.438***</w:t>
            </w:r>
          </w:p>
        </w:tc>
        <w:tc>
          <w:tcPr>
            <w:tcW w:w="0" w:type="auto"/>
            <w:shd w:val="clear" w:color="auto" w:fill="auto"/>
          </w:tcPr>
          <w:p w14:paraId="5E555FF0" w14:textId="77777777" w:rsidR="00431244" w:rsidRPr="00F05386" w:rsidRDefault="00431244" w:rsidP="00380FD8">
            <w:pPr>
              <w:spacing w:line="480" w:lineRule="auto"/>
              <w:jc w:val="both"/>
              <w:rPr>
                <w:lang w:val="de-DE"/>
              </w:rPr>
            </w:pPr>
            <w:r w:rsidRPr="00F05386">
              <w:rPr>
                <w:lang w:val="de-DE"/>
              </w:rPr>
              <w:t>0.310**</w:t>
            </w:r>
          </w:p>
        </w:tc>
      </w:tr>
      <w:tr w:rsidR="00431244" w:rsidRPr="00F05386" w14:paraId="266A5880" w14:textId="77777777" w:rsidTr="00380FD8">
        <w:trPr>
          <w:trHeight w:hRule="exact" w:val="284"/>
        </w:trPr>
        <w:tc>
          <w:tcPr>
            <w:tcW w:w="0" w:type="auto"/>
            <w:shd w:val="clear" w:color="auto" w:fill="auto"/>
          </w:tcPr>
          <w:p w14:paraId="35B50E4D" w14:textId="77777777" w:rsidR="00431244" w:rsidRPr="00F05386" w:rsidRDefault="00431244" w:rsidP="00380FD8">
            <w:pPr>
              <w:spacing w:line="480" w:lineRule="auto"/>
              <w:jc w:val="both"/>
            </w:pPr>
          </w:p>
        </w:tc>
        <w:tc>
          <w:tcPr>
            <w:tcW w:w="0" w:type="auto"/>
            <w:shd w:val="clear" w:color="auto" w:fill="auto"/>
          </w:tcPr>
          <w:p w14:paraId="7DF26487" w14:textId="77777777" w:rsidR="00431244" w:rsidRPr="00F05386" w:rsidRDefault="00431244" w:rsidP="00380FD8">
            <w:pPr>
              <w:spacing w:line="480" w:lineRule="auto"/>
              <w:jc w:val="both"/>
              <w:rPr>
                <w:lang w:val="de-DE"/>
              </w:rPr>
            </w:pPr>
            <w:r w:rsidRPr="00F05386">
              <w:rPr>
                <w:lang w:val="de-DE"/>
              </w:rPr>
              <w:t>(0.11)</w:t>
            </w:r>
          </w:p>
        </w:tc>
        <w:tc>
          <w:tcPr>
            <w:tcW w:w="0" w:type="auto"/>
            <w:shd w:val="clear" w:color="auto" w:fill="auto"/>
          </w:tcPr>
          <w:p w14:paraId="570796F6" w14:textId="77777777" w:rsidR="00431244" w:rsidRPr="00F05386" w:rsidRDefault="00431244" w:rsidP="00380FD8">
            <w:pPr>
              <w:spacing w:line="480" w:lineRule="auto"/>
              <w:jc w:val="both"/>
              <w:rPr>
                <w:lang w:val="de-DE"/>
              </w:rPr>
            </w:pPr>
            <w:r w:rsidRPr="00F05386">
              <w:rPr>
                <w:lang w:val="de-DE"/>
              </w:rPr>
              <w:t>(0.11)</w:t>
            </w:r>
          </w:p>
        </w:tc>
        <w:tc>
          <w:tcPr>
            <w:tcW w:w="0" w:type="auto"/>
            <w:shd w:val="clear" w:color="auto" w:fill="auto"/>
          </w:tcPr>
          <w:p w14:paraId="59374863" w14:textId="77777777" w:rsidR="00431244" w:rsidRPr="00F05386" w:rsidRDefault="00431244" w:rsidP="00380FD8">
            <w:pPr>
              <w:spacing w:line="480" w:lineRule="auto"/>
              <w:jc w:val="both"/>
              <w:rPr>
                <w:lang w:val="de-DE"/>
              </w:rPr>
            </w:pPr>
            <w:r w:rsidRPr="00F05386">
              <w:rPr>
                <w:lang w:val="de-DE"/>
              </w:rPr>
              <w:t>(0.128)</w:t>
            </w:r>
          </w:p>
        </w:tc>
        <w:tc>
          <w:tcPr>
            <w:tcW w:w="0" w:type="auto"/>
            <w:shd w:val="clear" w:color="auto" w:fill="auto"/>
          </w:tcPr>
          <w:p w14:paraId="38E0E2D2" w14:textId="77777777" w:rsidR="00431244" w:rsidRPr="00F05386" w:rsidRDefault="00431244" w:rsidP="00380FD8">
            <w:pPr>
              <w:spacing w:line="480" w:lineRule="auto"/>
              <w:jc w:val="both"/>
              <w:rPr>
                <w:lang w:val="de-DE"/>
              </w:rPr>
            </w:pPr>
            <w:r w:rsidRPr="00F05386">
              <w:rPr>
                <w:lang w:val="de-DE"/>
              </w:rPr>
              <w:t>(0.132)</w:t>
            </w:r>
          </w:p>
        </w:tc>
      </w:tr>
      <w:tr w:rsidR="00431244" w:rsidRPr="00F05386" w14:paraId="65FABF00" w14:textId="77777777" w:rsidTr="00380FD8">
        <w:trPr>
          <w:trHeight w:hRule="exact" w:val="284"/>
        </w:trPr>
        <w:tc>
          <w:tcPr>
            <w:tcW w:w="0" w:type="auto"/>
            <w:shd w:val="clear" w:color="auto" w:fill="auto"/>
          </w:tcPr>
          <w:p w14:paraId="58D1E18B" w14:textId="77777777" w:rsidR="00431244" w:rsidRPr="00F05386" w:rsidRDefault="00431244" w:rsidP="00380FD8">
            <w:pPr>
              <w:spacing w:line="480" w:lineRule="auto"/>
              <w:jc w:val="both"/>
            </w:pPr>
            <w:r w:rsidRPr="00F05386">
              <w:t>Constant</w:t>
            </w:r>
          </w:p>
        </w:tc>
        <w:tc>
          <w:tcPr>
            <w:tcW w:w="0" w:type="auto"/>
            <w:shd w:val="clear" w:color="auto" w:fill="auto"/>
          </w:tcPr>
          <w:p w14:paraId="06C6706F" w14:textId="77777777" w:rsidR="00431244" w:rsidRPr="00F05386" w:rsidRDefault="00431244" w:rsidP="00380FD8">
            <w:pPr>
              <w:spacing w:line="480" w:lineRule="auto"/>
              <w:jc w:val="both"/>
              <w:rPr>
                <w:lang w:val="de-DE"/>
              </w:rPr>
            </w:pPr>
            <w:r w:rsidRPr="00F05386">
              <w:rPr>
                <w:lang w:val="de-DE"/>
              </w:rPr>
              <w:t>0.266**</w:t>
            </w:r>
          </w:p>
        </w:tc>
        <w:tc>
          <w:tcPr>
            <w:tcW w:w="0" w:type="auto"/>
            <w:shd w:val="clear" w:color="auto" w:fill="auto"/>
          </w:tcPr>
          <w:p w14:paraId="05D40B20" w14:textId="77777777" w:rsidR="00431244" w:rsidRPr="00F05386" w:rsidRDefault="00431244" w:rsidP="00380FD8">
            <w:pPr>
              <w:spacing w:line="480" w:lineRule="auto"/>
              <w:jc w:val="both"/>
              <w:rPr>
                <w:lang w:val="de-DE"/>
              </w:rPr>
            </w:pPr>
            <w:r w:rsidRPr="00F05386">
              <w:rPr>
                <w:lang w:val="de-DE"/>
              </w:rPr>
              <w:t>0.358***</w:t>
            </w:r>
          </w:p>
        </w:tc>
        <w:tc>
          <w:tcPr>
            <w:tcW w:w="0" w:type="auto"/>
            <w:shd w:val="clear" w:color="auto" w:fill="auto"/>
          </w:tcPr>
          <w:p w14:paraId="32BB71F7" w14:textId="77777777" w:rsidR="00431244" w:rsidRPr="00F05386" w:rsidRDefault="00431244" w:rsidP="00380FD8">
            <w:pPr>
              <w:spacing w:line="480" w:lineRule="auto"/>
              <w:jc w:val="both"/>
              <w:rPr>
                <w:lang w:val="de-DE"/>
              </w:rPr>
            </w:pPr>
            <w:r w:rsidRPr="00F05386">
              <w:rPr>
                <w:lang w:val="de-DE"/>
              </w:rPr>
              <w:t>-0.526***</w:t>
            </w:r>
          </w:p>
        </w:tc>
        <w:tc>
          <w:tcPr>
            <w:tcW w:w="0" w:type="auto"/>
            <w:shd w:val="clear" w:color="auto" w:fill="auto"/>
          </w:tcPr>
          <w:p w14:paraId="5C0FD211" w14:textId="77777777" w:rsidR="00431244" w:rsidRPr="00F05386" w:rsidRDefault="00431244" w:rsidP="00380FD8">
            <w:pPr>
              <w:spacing w:line="480" w:lineRule="auto"/>
              <w:jc w:val="both"/>
              <w:rPr>
                <w:lang w:val="de-DE"/>
              </w:rPr>
            </w:pPr>
            <w:r w:rsidRPr="00F05386">
              <w:rPr>
                <w:lang w:val="de-DE"/>
              </w:rPr>
              <w:t>-0.365**</w:t>
            </w:r>
          </w:p>
        </w:tc>
      </w:tr>
      <w:tr w:rsidR="00431244" w:rsidRPr="00F05386" w14:paraId="1A9B9788" w14:textId="77777777" w:rsidTr="00380FD8">
        <w:trPr>
          <w:trHeight w:hRule="exact" w:val="284"/>
        </w:trPr>
        <w:tc>
          <w:tcPr>
            <w:tcW w:w="0" w:type="auto"/>
            <w:tcBorders>
              <w:bottom w:val="single" w:sz="4" w:space="0" w:color="auto"/>
            </w:tcBorders>
            <w:shd w:val="clear" w:color="auto" w:fill="auto"/>
          </w:tcPr>
          <w:p w14:paraId="5F7E4142" w14:textId="77777777" w:rsidR="00431244" w:rsidRPr="00F05386" w:rsidRDefault="00431244" w:rsidP="00380FD8">
            <w:pPr>
              <w:spacing w:line="480" w:lineRule="auto"/>
              <w:jc w:val="both"/>
            </w:pPr>
          </w:p>
        </w:tc>
        <w:tc>
          <w:tcPr>
            <w:tcW w:w="0" w:type="auto"/>
            <w:tcBorders>
              <w:bottom w:val="single" w:sz="4" w:space="0" w:color="auto"/>
            </w:tcBorders>
            <w:shd w:val="clear" w:color="auto" w:fill="auto"/>
          </w:tcPr>
          <w:p w14:paraId="099A6E27" w14:textId="77777777" w:rsidR="00431244" w:rsidRPr="00F05386" w:rsidRDefault="00431244" w:rsidP="00380FD8">
            <w:pPr>
              <w:spacing w:line="480" w:lineRule="auto"/>
              <w:jc w:val="both"/>
              <w:rPr>
                <w:lang w:val="de-DE"/>
              </w:rPr>
            </w:pPr>
            <w:r w:rsidRPr="00F05386">
              <w:rPr>
                <w:lang w:val="de-DE"/>
              </w:rPr>
              <w:t>(0.131)</w:t>
            </w:r>
          </w:p>
        </w:tc>
        <w:tc>
          <w:tcPr>
            <w:tcW w:w="0" w:type="auto"/>
            <w:tcBorders>
              <w:bottom w:val="single" w:sz="4" w:space="0" w:color="auto"/>
            </w:tcBorders>
            <w:shd w:val="clear" w:color="auto" w:fill="auto"/>
          </w:tcPr>
          <w:p w14:paraId="0480743C" w14:textId="77777777" w:rsidR="00431244" w:rsidRPr="00F05386" w:rsidRDefault="00431244" w:rsidP="00380FD8">
            <w:pPr>
              <w:spacing w:line="480" w:lineRule="auto"/>
              <w:jc w:val="both"/>
              <w:rPr>
                <w:lang w:val="de-DE"/>
              </w:rPr>
            </w:pPr>
            <w:r w:rsidRPr="00F05386">
              <w:rPr>
                <w:lang w:val="de-DE"/>
              </w:rPr>
              <w:t>(0.135)</w:t>
            </w:r>
          </w:p>
        </w:tc>
        <w:tc>
          <w:tcPr>
            <w:tcW w:w="0" w:type="auto"/>
            <w:tcBorders>
              <w:bottom w:val="single" w:sz="4" w:space="0" w:color="auto"/>
            </w:tcBorders>
            <w:shd w:val="clear" w:color="auto" w:fill="auto"/>
          </w:tcPr>
          <w:p w14:paraId="4EF7DFC3" w14:textId="77777777" w:rsidR="00431244" w:rsidRPr="00F05386" w:rsidRDefault="00431244" w:rsidP="00380FD8">
            <w:pPr>
              <w:spacing w:line="480" w:lineRule="auto"/>
              <w:jc w:val="both"/>
              <w:rPr>
                <w:lang w:val="de-DE"/>
              </w:rPr>
            </w:pPr>
            <w:r w:rsidRPr="00F05386">
              <w:rPr>
                <w:lang w:val="de-DE"/>
              </w:rPr>
              <w:t>(0.151)</w:t>
            </w:r>
          </w:p>
        </w:tc>
        <w:tc>
          <w:tcPr>
            <w:tcW w:w="0" w:type="auto"/>
            <w:tcBorders>
              <w:bottom w:val="single" w:sz="4" w:space="0" w:color="auto"/>
            </w:tcBorders>
            <w:shd w:val="clear" w:color="auto" w:fill="auto"/>
          </w:tcPr>
          <w:p w14:paraId="16501E00" w14:textId="77777777" w:rsidR="00431244" w:rsidRPr="00F05386" w:rsidRDefault="00431244" w:rsidP="00380FD8">
            <w:pPr>
              <w:spacing w:line="480" w:lineRule="auto"/>
              <w:jc w:val="both"/>
              <w:rPr>
                <w:lang w:val="de-DE"/>
              </w:rPr>
            </w:pPr>
            <w:r w:rsidRPr="00F05386">
              <w:rPr>
                <w:lang w:val="de-DE"/>
              </w:rPr>
              <w:t>(0.154)</w:t>
            </w:r>
          </w:p>
        </w:tc>
      </w:tr>
      <w:tr w:rsidR="00431244" w:rsidRPr="00F05386" w14:paraId="25FEA125" w14:textId="77777777" w:rsidTr="00380FD8">
        <w:trPr>
          <w:trHeight w:hRule="exact" w:val="284"/>
        </w:trPr>
        <w:tc>
          <w:tcPr>
            <w:tcW w:w="0" w:type="auto"/>
            <w:tcBorders>
              <w:top w:val="single" w:sz="4" w:space="0" w:color="auto"/>
            </w:tcBorders>
            <w:shd w:val="clear" w:color="auto" w:fill="auto"/>
          </w:tcPr>
          <w:p w14:paraId="5E10F25A" w14:textId="77777777" w:rsidR="00431244" w:rsidRPr="00F05386" w:rsidRDefault="00431244" w:rsidP="00380FD8">
            <w:pPr>
              <w:spacing w:line="480" w:lineRule="auto"/>
              <w:jc w:val="both"/>
            </w:pPr>
            <w:r w:rsidRPr="00F05386">
              <w:t>Observations</w:t>
            </w:r>
          </w:p>
        </w:tc>
        <w:tc>
          <w:tcPr>
            <w:tcW w:w="0" w:type="auto"/>
            <w:tcBorders>
              <w:top w:val="single" w:sz="4" w:space="0" w:color="auto"/>
            </w:tcBorders>
            <w:shd w:val="clear" w:color="auto" w:fill="auto"/>
          </w:tcPr>
          <w:p w14:paraId="4B2E5E81" w14:textId="77777777" w:rsidR="00431244" w:rsidRPr="00F05386" w:rsidRDefault="00431244" w:rsidP="00380FD8">
            <w:pPr>
              <w:spacing w:line="480" w:lineRule="auto"/>
              <w:jc w:val="both"/>
              <w:rPr>
                <w:lang w:val="de-DE"/>
              </w:rPr>
            </w:pPr>
            <w:r w:rsidRPr="00F05386">
              <w:rPr>
                <w:lang w:val="de-DE"/>
              </w:rPr>
              <w:t>144</w:t>
            </w:r>
          </w:p>
        </w:tc>
        <w:tc>
          <w:tcPr>
            <w:tcW w:w="0" w:type="auto"/>
            <w:tcBorders>
              <w:top w:val="single" w:sz="4" w:space="0" w:color="auto"/>
            </w:tcBorders>
            <w:shd w:val="clear" w:color="auto" w:fill="auto"/>
          </w:tcPr>
          <w:p w14:paraId="4CEC65B6" w14:textId="77777777" w:rsidR="00431244" w:rsidRPr="00F05386" w:rsidRDefault="00431244" w:rsidP="00380FD8">
            <w:pPr>
              <w:spacing w:line="480" w:lineRule="auto"/>
              <w:jc w:val="both"/>
              <w:rPr>
                <w:lang w:val="de-DE"/>
              </w:rPr>
            </w:pPr>
            <w:r w:rsidRPr="00F05386">
              <w:rPr>
                <w:lang w:val="de-DE"/>
              </w:rPr>
              <w:t>150</w:t>
            </w:r>
          </w:p>
        </w:tc>
        <w:tc>
          <w:tcPr>
            <w:tcW w:w="0" w:type="auto"/>
            <w:tcBorders>
              <w:top w:val="single" w:sz="4" w:space="0" w:color="auto"/>
            </w:tcBorders>
            <w:shd w:val="clear" w:color="auto" w:fill="auto"/>
          </w:tcPr>
          <w:p w14:paraId="2406D1B5" w14:textId="77777777" w:rsidR="00431244" w:rsidRPr="00F05386" w:rsidRDefault="00431244" w:rsidP="00380FD8">
            <w:pPr>
              <w:spacing w:line="480" w:lineRule="auto"/>
              <w:jc w:val="both"/>
              <w:rPr>
                <w:lang w:val="de-DE"/>
              </w:rPr>
            </w:pPr>
            <w:r w:rsidRPr="00F05386">
              <w:rPr>
                <w:lang w:val="de-DE"/>
              </w:rPr>
              <w:t>143</w:t>
            </w:r>
          </w:p>
        </w:tc>
        <w:tc>
          <w:tcPr>
            <w:tcW w:w="0" w:type="auto"/>
            <w:tcBorders>
              <w:top w:val="single" w:sz="4" w:space="0" w:color="auto"/>
            </w:tcBorders>
            <w:shd w:val="clear" w:color="auto" w:fill="auto"/>
          </w:tcPr>
          <w:p w14:paraId="34A7D762" w14:textId="77777777" w:rsidR="00431244" w:rsidRPr="00F05386" w:rsidRDefault="00431244" w:rsidP="00380FD8">
            <w:pPr>
              <w:spacing w:line="480" w:lineRule="auto"/>
              <w:jc w:val="both"/>
              <w:rPr>
                <w:lang w:val="de-DE"/>
              </w:rPr>
            </w:pPr>
            <w:r w:rsidRPr="00F05386">
              <w:rPr>
                <w:lang w:val="de-DE"/>
              </w:rPr>
              <w:t>149</w:t>
            </w:r>
          </w:p>
        </w:tc>
      </w:tr>
      <w:tr w:rsidR="00431244" w:rsidRPr="00F05386" w14:paraId="1A70E07D" w14:textId="77777777" w:rsidTr="00380FD8">
        <w:trPr>
          <w:trHeight w:hRule="exact" w:val="284"/>
        </w:trPr>
        <w:tc>
          <w:tcPr>
            <w:tcW w:w="0" w:type="auto"/>
            <w:tcBorders>
              <w:bottom w:val="single" w:sz="4" w:space="0" w:color="auto"/>
            </w:tcBorders>
            <w:shd w:val="clear" w:color="auto" w:fill="auto"/>
          </w:tcPr>
          <w:p w14:paraId="3478DA6A" w14:textId="77777777" w:rsidR="00431244" w:rsidRPr="00F05386" w:rsidRDefault="00431244" w:rsidP="00380FD8">
            <w:pPr>
              <w:spacing w:line="480" w:lineRule="auto"/>
              <w:jc w:val="both"/>
            </w:pPr>
            <w:r w:rsidRPr="00F05386">
              <w:t>R-squared</w:t>
            </w:r>
          </w:p>
        </w:tc>
        <w:tc>
          <w:tcPr>
            <w:tcW w:w="0" w:type="auto"/>
            <w:tcBorders>
              <w:bottom w:val="single" w:sz="4" w:space="0" w:color="auto"/>
            </w:tcBorders>
            <w:shd w:val="clear" w:color="auto" w:fill="auto"/>
          </w:tcPr>
          <w:p w14:paraId="1B5FE369" w14:textId="77777777" w:rsidR="00431244" w:rsidRPr="00F05386" w:rsidRDefault="00431244" w:rsidP="00380FD8">
            <w:pPr>
              <w:spacing w:line="480" w:lineRule="auto"/>
              <w:jc w:val="both"/>
              <w:rPr>
                <w:lang w:val="de-DE"/>
              </w:rPr>
            </w:pPr>
            <w:r w:rsidRPr="00F05386">
              <w:rPr>
                <w:lang w:val="de-DE"/>
              </w:rPr>
              <w:t>0.8</w:t>
            </w:r>
          </w:p>
        </w:tc>
        <w:tc>
          <w:tcPr>
            <w:tcW w:w="0" w:type="auto"/>
            <w:tcBorders>
              <w:bottom w:val="single" w:sz="4" w:space="0" w:color="auto"/>
            </w:tcBorders>
            <w:shd w:val="clear" w:color="auto" w:fill="auto"/>
          </w:tcPr>
          <w:p w14:paraId="48A3F0E3" w14:textId="77777777" w:rsidR="00431244" w:rsidRPr="00F05386" w:rsidRDefault="00431244" w:rsidP="00380FD8">
            <w:pPr>
              <w:spacing w:line="480" w:lineRule="auto"/>
              <w:jc w:val="both"/>
              <w:rPr>
                <w:lang w:val="de-DE"/>
              </w:rPr>
            </w:pPr>
            <w:r w:rsidRPr="00F05386">
              <w:rPr>
                <w:lang w:val="de-DE"/>
              </w:rPr>
              <w:t>0.809</w:t>
            </w:r>
          </w:p>
        </w:tc>
        <w:tc>
          <w:tcPr>
            <w:tcW w:w="0" w:type="auto"/>
            <w:tcBorders>
              <w:bottom w:val="single" w:sz="4" w:space="0" w:color="auto"/>
            </w:tcBorders>
            <w:shd w:val="clear" w:color="auto" w:fill="auto"/>
          </w:tcPr>
          <w:p w14:paraId="545D01B7" w14:textId="77777777" w:rsidR="00431244" w:rsidRPr="00F05386" w:rsidRDefault="00431244" w:rsidP="00380FD8">
            <w:pPr>
              <w:spacing w:line="480" w:lineRule="auto"/>
              <w:jc w:val="both"/>
              <w:rPr>
                <w:lang w:val="de-DE"/>
              </w:rPr>
            </w:pPr>
            <w:r w:rsidRPr="00F05386">
              <w:rPr>
                <w:lang w:val="de-DE"/>
              </w:rPr>
              <w:t>0.305</w:t>
            </w:r>
          </w:p>
        </w:tc>
        <w:tc>
          <w:tcPr>
            <w:tcW w:w="0" w:type="auto"/>
            <w:tcBorders>
              <w:bottom w:val="single" w:sz="4" w:space="0" w:color="auto"/>
            </w:tcBorders>
            <w:shd w:val="clear" w:color="auto" w:fill="auto"/>
          </w:tcPr>
          <w:p w14:paraId="0F17ADBD" w14:textId="77777777" w:rsidR="00431244" w:rsidRPr="00F05386" w:rsidRDefault="00431244" w:rsidP="00380FD8">
            <w:pPr>
              <w:spacing w:line="480" w:lineRule="auto"/>
              <w:jc w:val="both"/>
              <w:rPr>
                <w:lang w:val="de-DE"/>
              </w:rPr>
            </w:pPr>
            <w:r w:rsidRPr="00F05386">
              <w:rPr>
                <w:lang w:val="de-DE"/>
              </w:rPr>
              <w:t>0.327</w:t>
            </w:r>
          </w:p>
        </w:tc>
      </w:tr>
    </w:tbl>
    <w:p w14:paraId="7760D10E" w14:textId="77777777" w:rsidR="00431244" w:rsidRPr="00F05386" w:rsidRDefault="00431244" w:rsidP="00431244">
      <w:pPr>
        <w:spacing w:line="480" w:lineRule="auto"/>
        <w:jc w:val="both"/>
      </w:pPr>
      <w:r w:rsidRPr="00F05386">
        <w:rPr>
          <w:i/>
        </w:rPr>
        <w:t>Robust standard errors in parentheses. * p&lt;0.10, ** p&lt;0.05, *** p&lt;0.01</w:t>
      </w:r>
    </w:p>
    <w:p w14:paraId="58410863" w14:textId="77777777" w:rsidR="00431244" w:rsidRDefault="00431244" w:rsidP="00431244">
      <w:pPr>
        <w:spacing w:line="480" w:lineRule="auto"/>
        <w:jc w:val="both"/>
      </w:pPr>
    </w:p>
    <w:p w14:paraId="51EB9302" w14:textId="77777777" w:rsidR="00431244" w:rsidRPr="00F05386" w:rsidRDefault="00431244" w:rsidP="00431244">
      <w:pPr>
        <w:spacing w:line="480" w:lineRule="auto"/>
        <w:jc w:val="both"/>
      </w:pPr>
      <w:r>
        <w:t>Table A1</w:t>
      </w:r>
      <w:r w:rsidRPr="00F05386">
        <w:t xml:space="preserve"> presents the results of the regression analyses for the first (models 1 and 2) and second (models 3 and 4) dimensions for the first and second periods under study. In the first dimension, the regional variables and the regime type are the strongest predictors of whether a state will vote similarly to the US and other members of the WEOG group. In terms of regional differences, members of the African, Asian, and Latin American groups are predicted to vote less with Western countries. For example, being a member of the Asian group is predicted to lower a state’s ideal point by 0.7 across both periods under study. Given that the possible range of the dependent variable, the ideal point, is -1 to 1, this effect is large (over one-third of the total range). Also, across both periods, more democratic states are predicted to vote with the West. Finally, there is some limited evidence that the level of development, as measured by a state’s </w:t>
      </w:r>
      <w:r w:rsidRPr="00F05386">
        <w:lastRenderedPageBreak/>
        <w:t>GDP per capita, is a predictor of whether a state will vote with the US in the immediate post-Cold War period. Richer countries are marginally more likely to vote with the US and Western countries than poorer ones, though this effect does not hold in the post-9/11 period. Overall, the results for the first dimension seem to indicate that a combination of regime type and regional differences form the basis of the division among states. This is consistent with a West/Non-West division, in which lower income and less democratic states are pitted against richer and more democratic ones.</w:t>
      </w:r>
    </w:p>
    <w:p w14:paraId="557393C9" w14:textId="77777777" w:rsidR="00431244" w:rsidRPr="00F05386" w:rsidRDefault="00431244" w:rsidP="00431244">
      <w:pPr>
        <w:spacing w:line="480" w:lineRule="auto"/>
        <w:jc w:val="both"/>
      </w:pPr>
    </w:p>
    <w:p w14:paraId="4DF95A9D" w14:textId="77777777" w:rsidR="00431244" w:rsidRDefault="00431244" w:rsidP="00431244">
      <w:pPr>
        <w:spacing w:line="480" w:lineRule="auto"/>
        <w:jc w:val="both"/>
      </w:pPr>
      <w:r w:rsidRPr="00F05386">
        <w:t>The picture somewhat changes when we analyze the second dimension in models 3 and 4. Notably, neither the level of development nor the regime type exerts significant effects on states’ voting behavior across both periods. However, whether or not a state maintains formal diplomatic relations with Israel is a statistically significant predictor of whether the state will vote with the US. This is especially the case in model 3 in the immediate post-Cold War period, where maintaining diplomatic ties with Israel is predicted to increase a state’s ideal point estimate by 0.22 points. In model 4, the diplomatic ties variable remains significant, although at the 0.10 level, and is predicted to increase an ideal point value by 0.1. The effect of regional groupings also varies across the two dimensions with countries belonging to the African and Latin American groups being more likely to vote with the West after controlling for diplomatic ties with Israel and other factors. In sum, regardless of the region, states that do not maintain formal diplomatic ties with Israel tend to vote against the US.</w:t>
      </w:r>
      <w:r w:rsidRPr="00F05386">
        <w:rPr>
          <w:vertAlign w:val="superscript"/>
        </w:rPr>
        <w:footnoteReference w:id="4"/>
      </w:r>
      <w:r>
        <w:t xml:space="preserve"> Thus, particularly in the first </w:t>
      </w:r>
      <w:r>
        <w:lastRenderedPageBreak/>
        <w:t>period under investigation, but also to a lesser degree in the second, states appear to be divided along two dimensions. The first dimensions points strongly to a West/Non-West divide, while the second indicates a cutting line congruent with a pro-Israel posture.</w:t>
      </w:r>
    </w:p>
    <w:p w14:paraId="0F188455" w14:textId="77777777" w:rsidR="00431244" w:rsidRDefault="00431244"/>
    <w:p w14:paraId="45BC2EEB" w14:textId="5F60C26A" w:rsidR="00FB702E" w:rsidRDefault="00FB702E"/>
    <w:p w14:paraId="49935B45" w14:textId="77777777" w:rsidR="00FB702E" w:rsidRDefault="00FB702E" w:rsidP="00FB702E">
      <w:pPr>
        <w:pStyle w:val="Standard1"/>
        <w:pBdr>
          <w:top w:val="nil"/>
          <w:left w:val="nil"/>
          <w:bottom w:val="nil"/>
          <w:right w:val="nil"/>
          <w:between w:val="nil"/>
        </w:pBdr>
        <w:spacing w:line="480" w:lineRule="auto"/>
        <w:jc w:val="both"/>
        <w:rPr>
          <w:color w:val="000000"/>
        </w:rPr>
      </w:pPr>
      <w:r w:rsidRPr="00320448">
        <w:rPr>
          <w:color w:val="000000"/>
        </w:rPr>
        <w:t>Taken together, the results of these techniques to identify the dimensions across which states align their votes, point to a West/Non-West divide on the first dimension and a pro- or anti-Israel divide along the second dimension.</w:t>
      </w:r>
    </w:p>
    <w:p w14:paraId="67C87EDA" w14:textId="77777777" w:rsidR="008B034D" w:rsidRDefault="008B034D"/>
    <w:p w14:paraId="55C9B86D" w14:textId="77777777" w:rsidR="000E2557" w:rsidRDefault="000E2557"/>
    <w:p w14:paraId="36B51CA4" w14:textId="77777777" w:rsidR="000E2557" w:rsidRDefault="000E2557"/>
    <w:p w14:paraId="5D18A0C2" w14:textId="77777777" w:rsidR="000E2557" w:rsidRDefault="000E2557">
      <w:bookmarkStart w:id="0" w:name="_GoBack"/>
      <w:bookmarkEnd w:id="0"/>
    </w:p>
    <w:p w14:paraId="14DC22DF" w14:textId="77777777" w:rsidR="000E2557" w:rsidRDefault="000E2557"/>
    <w:p w14:paraId="5C328A2B" w14:textId="77777777" w:rsidR="000E2557" w:rsidRDefault="000E2557"/>
    <w:p w14:paraId="19EB8690" w14:textId="77777777" w:rsidR="000E2557" w:rsidRDefault="000E2557"/>
    <w:p w14:paraId="7B960E36" w14:textId="77777777" w:rsidR="000E2557" w:rsidRDefault="000E2557"/>
    <w:p w14:paraId="46AC2DE5" w14:textId="77777777" w:rsidR="000E2557" w:rsidRDefault="000E2557"/>
    <w:p w14:paraId="566982D5" w14:textId="77777777" w:rsidR="000E2557" w:rsidRDefault="000E2557"/>
    <w:p w14:paraId="28CCFAA6" w14:textId="77777777" w:rsidR="000E2557" w:rsidRDefault="000E2557"/>
    <w:p w14:paraId="5AB880E7" w14:textId="77777777" w:rsidR="000E2557" w:rsidRDefault="000E2557"/>
    <w:p w14:paraId="73360C82" w14:textId="77777777" w:rsidR="000E2557" w:rsidRDefault="000E2557"/>
    <w:p w14:paraId="7B8ADB52" w14:textId="77777777" w:rsidR="000E2557" w:rsidRDefault="000E2557"/>
    <w:p w14:paraId="190CE1FC" w14:textId="77777777" w:rsidR="000E2557" w:rsidRDefault="000E2557"/>
    <w:p w14:paraId="1E464A81" w14:textId="77777777" w:rsidR="000E2557" w:rsidRDefault="000E2557"/>
    <w:p w14:paraId="09A4F50F" w14:textId="77777777" w:rsidR="000E2557" w:rsidRDefault="000E2557"/>
    <w:p w14:paraId="1859EAC9" w14:textId="77777777" w:rsidR="000E2557" w:rsidRDefault="000E2557"/>
    <w:p w14:paraId="4C90EC8C" w14:textId="77777777" w:rsidR="000E2557" w:rsidRDefault="000E2557"/>
    <w:p w14:paraId="6ECF944B" w14:textId="77777777" w:rsidR="000E2557" w:rsidRDefault="000E2557"/>
    <w:p w14:paraId="2C78EE7E" w14:textId="77777777" w:rsidR="000E2557" w:rsidRDefault="000E2557"/>
    <w:p w14:paraId="36622B52" w14:textId="77777777" w:rsidR="000E2557" w:rsidRDefault="000E2557"/>
    <w:p w14:paraId="6F24B091" w14:textId="77777777" w:rsidR="000E2557" w:rsidRDefault="000E2557"/>
    <w:p w14:paraId="6D96AB53" w14:textId="77777777" w:rsidR="000E2557" w:rsidRDefault="000E2557"/>
    <w:p w14:paraId="48378AB5" w14:textId="77777777" w:rsidR="000E2557" w:rsidRDefault="000E2557"/>
    <w:p w14:paraId="15D12FD4" w14:textId="68FE1E12" w:rsidR="000E2557" w:rsidRDefault="000E2557"/>
    <w:p w14:paraId="77D485A2" w14:textId="2F1783AD" w:rsidR="0008616C" w:rsidRDefault="0008616C"/>
    <w:p w14:paraId="34234603" w14:textId="4841A37A" w:rsidR="0008616C" w:rsidRDefault="0008616C"/>
    <w:p w14:paraId="1929569D" w14:textId="61EC8FF6" w:rsidR="0008616C" w:rsidRDefault="0008616C"/>
    <w:p w14:paraId="4B5BC2C8" w14:textId="77777777" w:rsidR="0008616C" w:rsidRDefault="0008616C"/>
    <w:p w14:paraId="152484FA" w14:textId="77777777" w:rsidR="000E2557" w:rsidRDefault="000E2557"/>
    <w:p w14:paraId="350E1DB3" w14:textId="77777777" w:rsidR="000E2557" w:rsidRDefault="000E2557"/>
    <w:p w14:paraId="1E0F3C91" w14:textId="690E61BD" w:rsidR="00FB702E" w:rsidRPr="000E2557" w:rsidRDefault="008B034D">
      <w:pPr>
        <w:rPr>
          <w:b/>
        </w:rPr>
      </w:pPr>
      <w:r w:rsidRPr="000E2557">
        <w:rPr>
          <w:b/>
        </w:rPr>
        <w:lastRenderedPageBreak/>
        <w:t>References</w:t>
      </w:r>
    </w:p>
    <w:p w14:paraId="5EF7717D" w14:textId="77777777" w:rsidR="000E2557" w:rsidRDefault="000E2557" w:rsidP="00746E37">
      <w:pPr>
        <w:pStyle w:val="Standard1"/>
        <w:pBdr>
          <w:top w:val="nil"/>
          <w:left w:val="nil"/>
          <w:bottom w:val="nil"/>
          <w:right w:val="nil"/>
          <w:between w:val="nil"/>
        </w:pBdr>
        <w:tabs>
          <w:tab w:val="left" w:pos="227"/>
        </w:tabs>
        <w:spacing w:after="120" w:line="480" w:lineRule="auto"/>
        <w:ind w:left="227" w:hanging="227"/>
        <w:jc w:val="both"/>
        <w:rPr>
          <w:color w:val="000000"/>
        </w:rPr>
      </w:pPr>
    </w:p>
    <w:p w14:paraId="2C746052" w14:textId="77777777" w:rsidR="00746E37" w:rsidRPr="00B24EB7" w:rsidRDefault="00746E37" w:rsidP="00746E37">
      <w:pPr>
        <w:pStyle w:val="Standard1"/>
        <w:pBdr>
          <w:top w:val="nil"/>
          <w:left w:val="nil"/>
          <w:bottom w:val="nil"/>
          <w:right w:val="nil"/>
          <w:between w:val="nil"/>
        </w:pBdr>
        <w:tabs>
          <w:tab w:val="left" w:pos="227"/>
        </w:tabs>
        <w:spacing w:after="120" w:line="480" w:lineRule="auto"/>
        <w:ind w:left="227" w:hanging="227"/>
        <w:jc w:val="both"/>
        <w:rPr>
          <w:color w:val="000000"/>
        </w:rPr>
      </w:pPr>
      <w:r w:rsidRPr="00B24EB7">
        <w:rPr>
          <w:color w:val="000000"/>
        </w:rPr>
        <w:t>Black</w:t>
      </w:r>
      <w:r>
        <w:rPr>
          <w:color w:val="000000"/>
        </w:rPr>
        <w:t xml:space="preserve"> D</w:t>
      </w:r>
      <w:r w:rsidRPr="00B24EB7">
        <w:rPr>
          <w:color w:val="000000"/>
        </w:rPr>
        <w:t xml:space="preserve"> </w:t>
      </w:r>
      <w:r>
        <w:rPr>
          <w:color w:val="000000"/>
        </w:rPr>
        <w:t>(</w:t>
      </w:r>
      <w:r w:rsidRPr="00B24EB7">
        <w:rPr>
          <w:color w:val="000000"/>
        </w:rPr>
        <w:t>1958</w:t>
      </w:r>
      <w:r>
        <w:rPr>
          <w:color w:val="000000"/>
        </w:rPr>
        <w:t>)</w:t>
      </w:r>
      <w:r w:rsidRPr="00B24EB7">
        <w:rPr>
          <w:color w:val="000000"/>
        </w:rPr>
        <w:t xml:space="preserve"> </w:t>
      </w:r>
      <w:r w:rsidRPr="00B24EB7">
        <w:rPr>
          <w:i/>
          <w:color w:val="000000"/>
        </w:rPr>
        <w:t xml:space="preserve">The Theory of Committees and Elections. </w:t>
      </w:r>
      <w:r w:rsidRPr="00B24EB7">
        <w:rPr>
          <w:color w:val="000000"/>
        </w:rPr>
        <w:t xml:space="preserve">Cambridge: </w:t>
      </w:r>
      <w:r>
        <w:rPr>
          <w:color w:val="000000"/>
        </w:rPr>
        <w:t xml:space="preserve">Cambridge </w:t>
      </w:r>
      <w:r w:rsidRPr="00B24EB7">
        <w:rPr>
          <w:color w:val="000000"/>
        </w:rPr>
        <w:t>University Press.</w:t>
      </w:r>
    </w:p>
    <w:p w14:paraId="62E26AE6" w14:textId="232BEAC6" w:rsidR="00746E37" w:rsidRDefault="00746E37">
      <w:pPr>
        <w:rPr>
          <w:color w:val="000000"/>
        </w:rPr>
      </w:pPr>
      <w:r w:rsidRPr="00B24EB7">
        <w:rPr>
          <w:color w:val="000000"/>
        </w:rPr>
        <w:t>Downs</w:t>
      </w:r>
      <w:r>
        <w:rPr>
          <w:color w:val="000000"/>
        </w:rPr>
        <w:t xml:space="preserve"> A</w:t>
      </w:r>
      <w:r w:rsidRPr="00B24EB7">
        <w:rPr>
          <w:color w:val="000000"/>
        </w:rPr>
        <w:t xml:space="preserve"> </w:t>
      </w:r>
      <w:r>
        <w:rPr>
          <w:color w:val="000000"/>
        </w:rPr>
        <w:t>(</w:t>
      </w:r>
      <w:r w:rsidRPr="00B24EB7">
        <w:rPr>
          <w:color w:val="000000"/>
        </w:rPr>
        <w:t>1957</w:t>
      </w:r>
      <w:r>
        <w:rPr>
          <w:color w:val="000000"/>
        </w:rPr>
        <w:t>)</w:t>
      </w:r>
      <w:r w:rsidRPr="00B24EB7">
        <w:rPr>
          <w:color w:val="000000"/>
        </w:rPr>
        <w:t xml:space="preserve"> </w:t>
      </w:r>
      <w:r w:rsidRPr="00B24EB7">
        <w:rPr>
          <w:i/>
          <w:color w:val="000000"/>
        </w:rPr>
        <w:t xml:space="preserve">An Economic Theory of Democracy. </w:t>
      </w:r>
      <w:r w:rsidRPr="00B24EB7">
        <w:rPr>
          <w:color w:val="000000"/>
        </w:rPr>
        <w:t>New York: Harper &amp; Row.</w:t>
      </w:r>
    </w:p>
    <w:p w14:paraId="3200B952" w14:textId="77777777" w:rsidR="005F714C" w:rsidRDefault="005F714C">
      <w:pPr>
        <w:rPr>
          <w:color w:val="000000"/>
        </w:rPr>
      </w:pPr>
    </w:p>
    <w:p w14:paraId="751B1C06" w14:textId="77777777" w:rsidR="005F714C" w:rsidRDefault="005F714C" w:rsidP="005F714C">
      <w:pPr>
        <w:spacing w:line="480" w:lineRule="auto"/>
      </w:pPr>
      <w:r>
        <w:t>Hix, S</w:t>
      </w:r>
      <w:r w:rsidRPr="005F714C">
        <w:t xml:space="preserve">, </w:t>
      </w:r>
      <w:proofErr w:type="spellStart"/>
      <w:r w:rsidRPr="005F714C">
        <w:t>Noury</w:t>
      </w:r>
      <w:proofErr w:type="spellEnd"/>
      <w:r w:rsidRPr="005F714C">
        <w:t>,</w:t>
      </w:r>
      <w:r>
        <w:t xml:space="preserve"> A</w:t>
      </w:r>
      <w:r w:rsidRPr="005F714C">
        <w:t xml:space="preserve"> and Roland</w:t>
      </w:r>
      <w:r>
        <w:t>, G</w:t>
      </w:r>
      <w:r w:rsidRPr="005F714C">
        <w:t xml:space="preserve">. </w:t>
      </w:r>
      <w:r>
        <w:t>(</w:t>
      </w:r>
      <w:r w:rsidRPr="005F714C">
        <w:t>2009</w:t>
      </w:r>
      <w:r>
        <w:t xml:space="preserve">). </w:t>
      </w:r>
      <w:r w:rsidRPr="005F714C">
        <w:t xml:space="preserve">Voting patterns and alliance formation in the </w:t>
      </w:r>
      <w:r>
        <w:t xml:space="preserve">European </w:t>
      </w:r>
    </w:p>
    <w:p w14:paraId="588353E2" w14:textId="421FBC80" w:rsidR="005F714C" w:rsidRDefault="005F714C" w:rsidP="005F714C">
      <w:pPr>
        <w:spacing w:line="480" w:lineRule="auto"/>
        <w:ind w:firstLine="227"/>
      </w:pPr>
      <w:r>
        <w:t>Parliament.</w:t>
      </w:r>
      <w:r w:rsidRPr="005F714C">
        <w:t xml:space="preserve"> </w:t>
      </w:r>
      <w:r>
        <w:rPr>
          <w:i/>
          <w:iCs/>
        </w:rPr>
        <w:t>Philosophical Transactions of the Royal Society: Biological S</w:t>
      </w:r>
      <w:r w:rsidRPr="005F714C">
        <w:rPr>
          <w:i/>
          <w:iCs/>
        </w:rPr>
        <w:t xml:space="preserve">ciences </w:t>
      </w:r>
      <w:r w:rsidRPr="005F714C">
        <w:t>364</w:t>
      </w:r>
      <w:r>
        <w:t xml:space="preserve"> (1518): </w:t>
      </w:r>
    </w:p>
    <w:p w14:paraId="79B741C3" w14:textId="182D96C3" w:rsidR="00746E37" w:rsidRDefault="005F714C" w:rsidP="005F714C">
      <w:pPr>
        <w:spacing w:line="480" w:lineRule="auto"/>
        <w:ind w:firstLine="227"/>
      </w:pPr>
      <w:r>
        <w:t>821-831.</w:t>
      </w:r>
    </w:p>
    <w:p w14:paraId="41CD211D" w14:textId="77777777" w:rsidR="0008616C" w:rsidRDefault="0008616C" w:rsidP="0008616C">
      <w:pPr>
        <w:spacing w:line="480" w:lineRule="auto"/>
        <w:rPr>
          <w:iCs/>
        </w:rPr>
      </w:pPr>
      <w:r>
        <w:t>Lewis, JB</w:t>
      </w:r>
      <w:r w:rsidRPr="00F51A05">
        <w:t>, Poole,</w:t>
      </w:r>
      <w:r>
        <w:t xml:space="preserve"> K,</w:t>
      </w:r>
      <w:r w:rsidRPr="00F51A05">
        <w:t xml:space="preserve"> Rosenthal, </w:t>
      </w:r>
      <w:r>
        <w:t xml:space="preserve">H, </w:t>
      </w:r>
      <w:proofErr w:type="spellStart"/>
      <w:r w:rsidRPr="00F51A05">
        <w:t>Boche</w:t>
      </w:r>
      <w:proofErr w:type="spellEnd"/>
      <w:r w:rsidRPr="00F51A05">
        <w:t>,</w:t>
      </w:r>
      <w:r>
        <w:t xml:space="preserve"> A,</w:t>
      </w:r>
      <w:r w:rsidRPr="00F51A05">
        <w:t xml:space="preserve"> </w:t>
      </w:r>
      <w:proofErr w:type="spellStart"/>
      <w:r w:rsidRPr="00F51A05">
        <w:t>Rudkin</w:t>
      </w:r>
      <w:proofErr w:type="spellEnd"/>
      <w:r w:rsidRPr="00F51A05">
        <w:t>,</w:t>
      </w:r>
      <w:r>
        <w:t xml:space="preserve"> A,</w:t>
      </w:r>
      <w:r w:rsidRPr="00F51A05">
        <w:t xml:space="preserve"> </w:t>
      </w:r>
      <w:r>
        <w:t>&amp;</w:t>
      </w:r>
      <w:r w:rsidRPr="00F51A05">
        <w:t xml:space="preserve"> Sonnet</w:t>
      </w:r>
      <w:r>
        <w:t>, L</w:t>
      </w:r>
      <w:r w:rsidRPr="00F51A05">
        <w:t xml:space="preserve"> (2019). </w:t>
      </w:r>
      <w:proofErr w:type="spellStart"/>
      <w:r w:rsidRPr="00F51A05">
        <w:rPr>
          <w:iCs/>
        </w:rPr>
        <w:t>Voteview</w:t>
      </w:r>
      <w:proofErr w:type="spellEnd"/>
      <w:r w:rsidRPr="00F51A05">
        <w:rPr>
          <w:iCs/>
        </w:rPr>
        <w:t xml:space="preserve">: </w:t>
      </w:r>
    </w:p>
    <w:p w14:paraId="757C24E2" w14:textId="3E9EB121" w:rsidR="0008616C" w:rsidRDefault="0008616C" w:rsidP="0008616C">
      <w:pPr>
        <w:spacing w:line="480" w:lineRule="auto"/>
        <w:ind w:left="720"/>
      </w:pPr>
      <w:r w:rsidRPr="00F51A05">
        <w:rPr>
          <w:iCs/>
        </w:rPr>
        <w:t>Congressional Roll-Call Votes Database</w:t>
      </w:r>
      <w:r w:rsidRPr="00F51A05">
        <w:t xml:space="preserve">. </w:t>
      </w:r>
      <w:r>
        <w:t xml:space="preserve">Available from: </w:t>
      </w:r>
      <w:hyperlink r:id="rId7" w:history="1">
        <w:r w:rsidRPr="001672E1">
          <w:rPr>
            <w:rStyle w:val="Hyperlink"/>
          </w:rPr>
          <w:t>https://voteview.com/</w:t>
        </w:r>
      </w:hyperlink>
      <w:r>
        <w:t>.</w:t>
      </w:r>
    </w:p>
    <w:p w14:paraId="560A5A62" w14:textId="4DE5B111" w:rsidR="0008616C" w:rsidRDefault="0008616C" w:rsidP="0008616C">
      <w:pPr>
        <w:spacing w:line="480" w:lineRule="auto"/>
        <w:ind w:left="284" w:hanging="284"/>
        <w:jc w:val="both"/>
      </w:pPr>
      <w:r w:rsidRPr="005930DF">
        <w:t xml:space="preserve">Marshall, </w:t>
      </w:r>
      <w:r>
        <w:t>M</w:t>
      </w:r>
      <w:r w:rsidRPr="005930DF">
        <w:t xml:space="preserve">G, </w:t>
      </w:r>
      <w:proofErr w:type="spellStart"/>
      <w:r w:rsidRPr="005930DF">
        <w:t>Gurr</w:t>
      </w:r>
      <w:proofErr w:type="spellEnd"/>
      <w:r w:rsidRPr="005930DF">
        <w:t>,</w:t>
      </w:r>
      <w:r>
        <w:t xml:space="preserve"> TR</w:t>
      </w:r>
      <w:r w:rsidRPr="005930DF">
        <w:t xml:space="preserve"> and </w:t>
      </w:r>
      <w:proofErr w:type="spellStart"/>
      <w:r w:rsidRPr="005930DF">
        <w:t>Jaggers</w:t>
      </w:r>
      <w:proofErr w:type="spellEnd"/>
      <w:r>
        <w:t>, K,</w:t>
      </w:r>
      <w:r w:rsidRPr="005930DF">
        <w:t xml:space="preserve"> </w:t>
      </w:r>
      <w:r>
        <w:t>(</w:t>
      </w:r>
      <w:r w:rsidRPr="005930DF">
        <w:t>2013</w:t>
      </w:r>
      <w:r>
        <w:t>)</w:t>
      </w:r>
      <w:r w:rsidRPr="005930DF">
        <w:t xml:space="preserve">. Polity IV Project: Political </w:t>
      </w:r>
    </w:p>
    <w:p w14:paraId="663A41BC" w14:textId="77777777" w:rsidR="0008616C" w:rsidRPr="00F05386" w:rsidRDefault="0008616C" w:rsidP="0008616C">
      <w:pPr>
        <w:spacing w:line="480" w:lineRule="auto"/>
        <w:ind w:left="284"/>
        <w:jc w:val="both"/>
      </w:pPr>
      <w:r w:rsidRPr="005930DF">
        <w:t>Regime Characteristics and Transitions, 1800-2012 Dataset. http://www.systemicpeace.org/</w:t>
      </w:r>
    </w:p>
    <w:p w14:paraId="190AB220" w14:textId="65070BD4" w:rsidR="00746E37" w:rsidRPr="00B24EB7" w:rsidRDefault="00746E37" w:rsidP="00746E37">
      <w:pPr>
        <w:pStyle w:val="Standard1"/>
        <w:pBdr>
          <w:top w:val="nil"/>
          <w:left w:val="nil"/>
          <w:bottom w:val="nil"/>
          <w:right w:val="nil"/>
          <w:between w:val="nil"/>
        </w:pBdr>
        <w:tabs>
          <w:tab w:val="left" w:pos="227"/>
        </w:tabs>
        <w:spacing w:after="120" w:line="480" w:lineRule="auto"/>
        <w:ind w:left="227" w:hanging="227"/>
        <w:jc w:val="both"/>
        <w:rPr>
          <w:color w:val="000000"/>
        </w:rPr>
      </w:pPr>
      <w:r w:rsidRPr="00B24EB7">
        <w:rPr>
          <w:color w:val="000000"/>
        </w:rPr>
        <w:t>Poole</w:t>
      </w:r>
      <w:r>
        <w:rPr>
          <w:color w:val="000000"/>
        </w:rPr>
        <w:t xml:space="preserve"> KT</w:t>
      </w:r>
      <w:r w:rsidRPr="00B24EB7">
        <w:rPr>
          <w:color w:val="000000"/>
        </w:rPr>
        <w:t xml:space="preserve"> </w:t>
      </w:r>
      <w:r>
        <w:rPr>
          <w:color w:val="000000"/>
        </w:rPr>
        <w:t>(</w:t>
      </w:r>
      <w:r w:rsidRPr="00B24EB7">
        <w:rPr>
          <w:color w:val="000000"/>
        </w:rPr>
        <w:t>2005</w:t>
      </w:r>
      <w:r>
        <w:rPr>
          <w:color w:val="000000"/>
        </w:rPr>
        <w:t>)</w:t>
      </w:r>
      <w:r w:rsidRPr="00B24EB7">
        <w:rPr>
          <w:color w:val="000000"/>
        </w:rPr>
        <w:t xml:space="preserve"> </w:t>
      </w:r>
      <w:r w:rsidRPr="00B24EB7">
        <w:rPr>
          <w:i/>
          <w:color w:val="000000"/>
        </w:rPr>
        <w:t xml:space="preserve">Spatial Models of Parliamentary Voting. </w:t>
      </w:r>
      <w:r w:rsidRPr="00B24EB7">
        <w:rPr>
          <w:color w:val="000000"/>
        </w:rPr>
        <w:t>Cambridge: Cambridge University Press.</w:t>
      </w:r>
    </w:p>
    <w:p w14:paraId="5FF8A73A" w14:textId="77777777" w:rsidR="00746E37" w:rsidRDefault="00746E37" w:rsidP="00746E37">
      <w:r>
        <w:t>Poole, KT</w:t>
      </w:r>
      <w:r w:rsidRPr="00746E37">
        <w:t xml:space="preserve">, &amp; Rosenthal, H. (1985). A Spatial Model for Legislative Roll Call </w:t>
      </w:r>
    </w:p>
    <w:p w14:paraId="2CB14A0C" w14:textId="77777777" w:rsidR="00746E37" w:rsidRDefault="00746E37" w:rsidP="00746E37">
      <w:pPr>
        <w:ind w:firstLine="720"/>
      </w:pPr>
    </w:p>
    <w:p w14:paraId="3CC78E96" w14:textId="61344112" w:rsidR="00746E37" w:rsidRDefault="00746E37" w:rsidP="00746E37">
      <w:pPr>
        <w:ind w:firstLine="720"/>
      </w:pPr>
      <w:r w:rsidRPr="00746E37">
        <w:t>Analysis. </w:t>
      </w:r>
      <w:r w:rsidRPr="00746E37">
        <w:rPr>
          <w:i/>
          <w:iCs/>
        </w:rPr>
        <w:t>American Journal of Political Science,</w:t>
      </w:r>
      <w:r w:rsidRPr="00746E37">
        <w:t> </w:t>
      </w:r>
      <w:r w:rsidRPr="00746E37">
        <w:rPr>
          <w:i/>
          <w:iCs/>
        </w:rPr>
        <w:t>29</w:t>
      </w:r>
      <w:r w:rsidRPr="00746E37">
        <w:t xml:space="preserve">(2), 357-384. </w:t>
      </w:r>
    </w:p>
    <w:p w14:paraId="5284D478" w14:textId="77777777" w:rsidR="005F714C" w:rsidRDefault="005F714C" w:rsidP="00746E37">
      <w:pPr>
        <w:ind w:firstLine="720"/>
      </w:pPr>
    </w:p>
    <w:p w14:paraId="0DC456AB" w14:textId="77777777" w:rsidR="0008616C" w:rsidRDefault="0008616C" w:rsidP="0008616C">
      <w:pPr>
        <w:spacing w:line="480" w:lineRule="auto"/>
        <w:ind w:left="284" w:hanging="284"/>
        <w:jc w:val="both"/>
      </w:pPr>
      <w:r w:rsidRPr="005930DF">
        <w:t xml:space="preserve">World Bank. 2012. World Development Indicators 2012. Washington, D.C: The World </w:t>
      </w:r>
    </w:p>
    <w:p w14:paraId="403D9BA3" w14:textId="77777777" w:rsidR="0008616C" w:rsidRDefault="0008616C" w:rsidP="0008616C">
      <w:pPr>
        <w:spacing w:line="480" w:lineRule="auto"/>
        <w:ind w:left="284"/>
        <w:jc w:val="both"/>
      </w:pPr>
      <w:r w:rsidRPr="005930DF">
        <w:t>Bank</w:t>
      </w:r>
      <w:r>
        <w:t>.</w:t>
      </w:r>
      <w:r w:rsidRPr="005930DF">
        <w:t xml:space="preserve"> </w:t>
      </w:r>
    </w:p>
    <w:p w14:paraId="2F9F4FC7" w14:textId="77777777" w:rsidR="0008616C" w:rsidRPr="00F51A05" w:rsidRDefault="0008616C" w:rsidP="0008616C">
      <w:pPr>
        <w:spacing w:line="480" w:lineRule="auto"/>
      </w:pPr>
    </w:p>
    <w:p w14:paraId="0662D825" w14:textId="77777777" w:rsidR="00746E37" w:rsidRDefault="00746E37"/>
    <w:p w14:paraId="1B7B6CEC" w14:textId="77777777" w:rsidR="008B034D" w:rsidRDefault="008B034D"/>
    <w:p w14:paraId="11B76051" w14:textId="77777777" w:rsidR="008B034D" w:rsidRDefault="008B034D"/>
    <w:sectPr w:rsidR="008B034D" w:rsidSect="00C84E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95333" w14:textId="77777777" w:rsidR="004A2450" w:rsidRDefault="004A2450" w:rsidP="00902129">
      <w:r>
        <w:separator/>
      </w:r>
    </w:p>
  </w:endnote>
  <w:endnote w:type="continuationSeparator" w:id="0">
    <w:p w14:paraId="2813924D" w14:textId="77777777" w:rsidR="004A2450" w:rsidRDefault="004A2450" w:rsidP="00902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C4898" w14:textId="77777777" w:rsidR="004A2450" w:rsidRDefault="004A2450" w:rsidP="00902129">
      <w:r>
        <w:separator/>
      </w:r>
    </w:p>
  </w:footnote>
  <w:footnote w:type="continuationSeparator" w:id="0">
    <w:p w14:paraId="6F4F0BD4" w14:textId="77777777" w:rsidR="004A2450" w:rsidRDefault="004A2450" w:rsidP="00902129">
      <w:r>
        <w:continuationSeparator/>
      </w:r>
    </w:p>
  </w:footnote>
  <w:footnote w:id="1">
    <w:p w14:paraId="7619B632" w14:textId="47D3930B" w:rsidR="00F51A05" w:rsidRDefault="00F51A05">
      <w:pPr>
        <w:pStyle w:val="FootnoteText"/>
      </w:pPr>
      <w:r>
        <w:rPr>
          <w:rStyle w:val="FootnoteReference"/>
        </w:rPr>
        <w:footnoteRef/>
      </w:r>
      <w:r>
        <w:t xml:space="preserve"> W-NOMINATE was preceded by NOMINATE which assumed that each dimension was equally important to a voter (Poole and Rosenthal 1985). </w:t>
      </w:r>
    </w:p>
  </w:footnote>
  <w:footnote w:id="2">
    <w:p w14:paraId="721615A5" w14:textId="77777777" w:rsidR="00431244" w:rsidRPr="0078186B" w:rsidRDefault="00431244" w:rsidP="00431244">
      <w:pPr>
        <w:pStyle w:val="FootnoteText"/>
        <w:spacing w:line="480" w:lineRule="auto"/>
      </w:pPr>
      <w:r>
        <w:rPr>
          <w:rStyle w:val="FootnoteReference"/>
        </w:rPr>
        <w:footnoteRef/>
      </w:r>
      <w:r w:rsidRPr="00251B34">
        <w:t xml:space="preserve"> World Bank 2012.</w:t>
      </w:r>
    </w:p>
  </w:footnote>
  <w:footnote w:id="3">
    <w:p w14:paraId="54494843" w14:textId="77777777" w:rsidR="00431244" w:rsidRPr="0078186B" w:rsidRDefault="00431244" w:rsidP="00431244">
      <w:pPr>
        <w:pStyle w:val="FootnoteText"/>
        <w:spacing w:after="240" w:line="480" w:lineRule="auto"/>
      </w:pPr>
      <w:r w:rsidRPr="00F62AAF">
        <w:rPr>
          <w:rStyle w:val="FootnoteReference"/>
        </w:rPr>
        <w:footnoteRef/>
      </w:r>
      <w:r w:rsidRPr="00251B34">
        <w:t xml:space="preserve"> </w:t>
      </w:r>
      <w:r w:rsidRPr="0078186B">
        <w:t xml:space="preserve">Marshall, </w:t>
      </w:r>
      <w:proofErr w:type="spellStart"/>
      <w:r w:rsidRPr="0078186B">
        <w:t>Gurr</w:t>
      </w:r>
      <w:proofErr w:type="spellEnd"/>
      <w:r w:rsidRPr="0078186B">
        <w:t xml:space="preserve">, and </w:t>
      </w:r>
      <w:proofErr w:type="spellStart"/>
      <w:r w:rsidRPr="0078186B">
        <w:t>Jaggers</w:t>
      </w:r>
      <w:proofErr w:type="spellEnd"/>
      <w:r w:rsidRPr="0078186B">
        <w:t xml:space="preserve"> 2013. Both the polity and GDP per capita variables are averaged across the respective time periods in order to obtain a single value that corresponds to the ideal point estimate from the period.</w:t>
      </w:r>
    </w:p>
  </w:footnote>
  <w:footnote w:id="4">
    <w:p w14:paraId="1A660CC8" w14:textId="77777777" w:rsidR="00431244" w:rsidRPr="00251B34" w:rsidRDefault="00431244" w:rsidP="00431244">
      <w:pPr>
        <w:pStyle w:val="FootnoteText"/>
        <w:spacing w:after="240" w:line="480" w:lineRule="auto"/>
      </w:pPr>
      <w:r w:rsidRPr="00F62AAF">
        <w:rPr>
          <w:rStyle w:val="FootnoteReference"/>
        </w:rPr>
        <w:footnoteRef/>
      </w:r>
      <w:r w:rsidRPr="00251B34">
        <w:t xml:space="preserve"> It is the case that it is predominately members of the Asian regional group that do not maintain formal diplomatic relations with Israel, although there are some members from other groups as well.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CF42CA"/>
    <w:multiLevelType w:val="hybridMultilevel"/>
    <w:tmpl w:val="9C6450D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02E"/>
    <w:rsid w:val="0008616C"/>
    <w:rsid w:val="000E2557"/>
    <w:rsid w:val="0024621F"/>
    <w:rsid w:val="002E3C3E"/>
    <w:rsid w:val="00371623"/>
    <w:rsid w:val="003B6936"/>
    <w:rsid w:val="00424F65"/>
    <w:rsid w:val="00431244"/>
    <w:rsid w:val="0044733B"/>
    <w:rsid w:val="004974D8"/>
    <w:rsid w:val="004A2450"/>
    <w:rsid w:val="005F714C"/>
    <w:rsid w:val="006004DD"/>
    <w:rsid w:val="00607986"/>
    <w:rsid w:val="00697643"/>
    <w:rsid w:val="006D3280"/>
    <w:rsid w:val="00746E37"/>
    <w:rsid w:val="007A79EC"/>
    <w:rsid w:val="007B230A"/>
    <w:rsid w:val="00854000"/>
    <w:rsid w:val="00890698"/>
    <w:rsid w:val="008B034D"/>
    <w:rsid w:val="00902129"/>
    <w:rsid w:val="00924767"/>
    <w:rsid w:val="00A84B8D"/>
    <w:rsid w:val="00C84E16"/>
    <w:rsid w:val="00C92F01"/>
    <w:rsid w:val="00D03BA4"/>
    <w:rsid w:val="00DC19CD"/>
    <w:rsid w:val="00DF6215"/>
    <w:rsid w:val="00F31D9B"/>
    <w:rsid w:val="00F35EB7"/>
    <w:rsid w:val="00F51A05"/>
    <w:rsid w:val="00FB7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5A9700"/>
  <w15:docId w15:val="{EA12F1C0-7145-974D-B3BE-D3C14841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02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rsid w:val="00FB702E"/>
    <w:rPr>
      <w:rFonts w:ascii="Times New Roman" w:eastAsia="Times New Roman" w:hAnsi="Times New Roman" w:cs="Times New Roman"/>
    </w:rPr>
  </w:style>
  <w:style w:type="paragraph" w:styleId="CommentText">
    <w:name w:val="annotation text"/>
    <w:basedOn w:val="Normal"/>
    <w:link w:val="CommentTextChar"/>
    <w:uiPriority w:val="99"/>
    <w:semiHidden/>
    <w:unhideWhenUsed/>
    <w:rsid w:val="00FB702E"/>
  </w:style>
  <w:style w:type="character" w:customStyle="1" w:styleId="CommentTextChar">
    <w:name w:val="Comment Text Char"/>
    <w:basedOn w:val="DefaultParagraphFont"/>
    <w:link w:val="CommentText"/>
    <w:uiPriority w:val="99"/>
    <w:semiHidden/>
    <w:rsid w:val="00FB702E"/>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B702E"/>
    <w:rPr>
      <w:sz w:val="18"/>
      <w:szCs w:val="18"/>
    </w:rPr>
  </w:style>
  <w:style w:type="paragraph" w:customStyle="1" w:styleId="Standa1">
    <w:name w:val="Standa1"/>
    <w:link w:val="Standa1Zchn"/>
    <w:rsid w:val="00FB702E"/>
    <w:pPr>
      <w:spacing w:after="200" w:line="276" w:lineRule="auto"/>
    </w:pPr>
    <w:rPr>
      <w:rFonts w:ascii="Calibri" w:eastAsia="Calibri" w:hAnsi="Calibri" w:cs="Times New Roman"/>
      <w:sz w:val="22"/>
      <w:szCs w:val="22"/>
      <w:lang w:val="de-DE"/>
    </w:rPr>
  </w:style>
  <w:style w:type="character" w:customStyle="1" w:styleId="Standa1Zchn">
    <w:name w:val="Standa1 Zchn"/>
    <w:link w:val="Standa1"/>
    <w:rsid w:val="00FB702E"/>
    <w:rPr>
      <w:rFonts w:ascii="Calibri" w:eastAsia="Calibri" w:hAnsi="Calibri" w:cs="Times New Roman"/>
      <w:sz w:val="22"/>
      <w:szCs w:val="22"/>
      <w:lang w:val="de-DE"/>
    </w:rPr>
  </w:style>
  <w:style w:type="paragraph" w:styleId="BalloonText">
    <w:name w:val="Balloon Text"/>
    <w:basedOn w:val="Normal"/>
    <w:link w:val="BalloonTextChar"/>
    <w:uiPriority w:val="99"/>
    <w:semiHidden/>
    <w:unhideWhenUsed/>
    <w:rsid w:val="00FB702E"/>
    <w:rPr>
      <w:sz w:val="18"/>
      <w:szCs w:val="18"/>
    </w:rPr>
  </w:style>
  <w:style w:type="character" w:customStyle="1" w:styleId="BalloonTextChar">
    <w:name w:val="Balloon Text Char"/>
    <w:basedOn w:val="DefaultParagraphFont"/>
    <w:link w:val="BalloonText"/>
    <w:uiPriority w:val="99"/>
    <w:semiHidden/>
    <w:rsid w:val="00FB702E"/>
    <w:rPr>
      <w:rFonts w:ascii="Times New Roman" w:eastAsia="Times New Roman" w:hAnsi="Times New Roman" w:cs="Times New Roman"/>
      <w:sz w:val="18"/>
      <w:szCs w:val="18"/>
    </w:rPr>
  </w:style>
  <w:style w:type="paragraph" w:styleId="EndnoteText">
    <w:name w:val="endnote text"/>
    <w:basedOn w:val="Normal"/>
    <w:link w:val="EndnoteTextChar"/>
    <w:semiHidden/>
    <w:rsid w:val="00902129"/>
    <w:rPr>
      <w:rFonts w:eastAsia="Calibri"/>
      <w:sz w:val="20"/>
      <w:szCs w:val="20"/>
      <w:lang w:eastAsia="de-DE"/>
    </w:rPr>
  </w:style>
  <w:style w:type="character" w:customStyle="1" w:styleId="EndnoteTextChar">
    <w:name w:val="Endnote Text Char"/>
    <w:basedOn w:val="DefaultParagraphFont"/>
    <w:link w:val="EndnoteText"/>
    <w:semiHidden/>
    <w:rsid w:val="00902129"/>
    <w:rPr>
      <w:rFonts w:ascii="Times New Roman" w:eastAsia="Calibri" w:hAnsi="Times New Roman" w:cs="Times New Roman"/>
      <w:sz w:val="20"/>
      <w:szCs w:val="20"/>
      <w:lang w:eastAsia="de-DE"/>
    </w:rPr>
  </w:style>
  <w:style w:type="character" w:styleId="EndnoteReference">
    <w:name w:val="endnote reference"/>
    <w:semiHidden/>
    <w:rsid w:val="00902129"/>
    <w:rPr>
      <w:rFonts w:cs="Times New Roman"/>
      <w:vertAlign w:val="superscript"/>
    </w:rPr>
  </w:style>
  <w:style w:type="paragraph" w:styleId="FootnoteText">
    <w:name w:val="footnote text"/>
    <w:basedOn w:val="Normal"/>
    <w:link w:val="FootnoteTextChar"/>
    <w:uiPriority w:val="99"/>
    <w:unhideWhenUsed/>
    <w:rsid w:val="006D3280"/>
  </w:style>
  <w:style w:type="character" w:customStyle="1" w:styleId="FootnoteTextChar">
    <w:name w:val="Footnote Text Char"/>
    <w:basedOn w:val="DefaultParagraphFont"/>
    <w:link w:val="FootnoteText"/>
    <w:uiPriority w:val="99"/>
    <w:rsid w:val="006D3280"/>
    <w:rPr>
      <w:rFonts w:ascii="Times New Roman" w:eastAsia="Times New Roman" w:hAnsi="Times New Roman" w:cs="Times New Roman"/>
    </w:rPr>
  </w:style>
  <w:style w:type="character" w:styleId="FootnoteReference">
    <w:name w:val="footnote reference"/>
    <w:basedOn w:val="DefaultParagraphFont"/>
    <w:unhideWhenUsed/>
    <w:rsid w:val="006D3280"/>
    <w:rPr>
      <w:vertAlign w:val="superscript"/>
    </w:rPr>
  </w:style>
  <w:style w:type="character" w:styleId="Hyperlink">
    <w:name w:val="Hyperlink"/>
    <w:basedOn w:val="DefaultParagraphFont"/>
    <w:uiPriority w:val="99"/>
    <w:unhideWhenUsed/>
    <w:rsid w:val="00F51A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200837">
      <w:bodyDiv w:val="1"/>
      <w:marLeft w:val="0"/>
      <w:marRight w:val="0"/>
      <w:marTop w:val="0"/>
      <w:marBottom w:val="0"/>
      <w:divBdr>
        <w:top w:val="none" w:sz="0" w:space="0" w:color="auto"/>
        <w:left w:val="none" w:sz="0" w:space="0" w:color="auto"/>
        <w:bottom w:val="none" w:sz="0" w:space="0" w:color="auto"/>
        <w:right w:val="none" w:sz="0" w:space="0" w:color="auto"/>
      </w:divBdr>
    </w:div>
    <w:div w:id="472911408">
      <w:bodyDiv w:val="1"/>
      <w:marLeft w:val="0"/>
      <w:marRight w:val="0"/>
      <w:marTop w:val="0"/>
      <w:marBottom w:val="0"/>
      <w:divBdr>
        <w:top w:val="none" w:sz="0" w:space="0" w:color="auto"/>
        <w:left w:val="none" w:sz="0" w:space="0" w:color="auto"/>
        <w:bottom w:val="none" w:sz="0" w:space="0" w:color="auto"/>
        <w:right w:val="none" w:sz="0" w:space="0" w:color="auto"/>
      </w:divBdr>
    </w:div>
    <w:div w:id="765423418">
      <w:bodyDiv w:val="1"/>
      <w:marLeft w:val="0"/>
      <w:marRight w:val="0"/>
      <w:marTop w:val="0"/>
      <w:marBottom w:val="0"/>
      <w:divBdr>
        <w:top w:val="none" w:sz="0" w:space="0" w:color="auto"/>
        <w:left w:val="none" w:sz="0" w:space="0" w:color="auto"/>
        <w:bottom w:val="none" w:sz="0" w:space="0" w:color="auto"/>
        <w:right w:val="none" w:sz="0" w:space="0" w:color="auto"/>
      </w:divBdr>
    </w:div>
    <w:div w:id="201144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otevie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2174</Words>
  <Characters>12394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dc:creator>
  <cp:keywords/>
  <dc:description/>
  <cp:lastModifiedBy>Autumn</cp:lastModifiedBy>
  <cp:revision>2</cp:revision>
  <dcterms:created xsi:type="dcterms:W3CDTF">2020-05-20T22:02:00Z</dcterms:created>
  <dcterms:modified xsi:type="dcterms:W3CDTF">2020-05-20T22:02:00Z</dcterms:modified>
</cp:coreProperties>
</file>