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DC" w:rsidRPr="00376EA5" w:rsidRDefault="001D66DC" w:rsidP="001D66DC">
      <w:pPr>
        <w:rPr>
          <w:sz w:val="24"/>
        </w:rPr>
      </w:pPr>
      <w:bookmarkStart w:id="0" w:name="_GoBack"/>
      <w:bookmarkEnd w:id="0"/>
      <w:r w:rsidRPr="00BA1FFE">
        <w:rPr>
          <w:b/>
          <w:sz w:val="24"/>
        </w:rPr>
        <w:t>Supplementary data table 1</w:t>
      </w:r>
      <w:r w:rsidR="00376EA5">
        <w:rPr>
          <w:b/>
          <w:sz w:val="24"/>
        </w:rPr>
        <w:t xml:space="preserve"> - </w:t>
      </w:r>
      <w:r w:rsidRPr="00376EA5">
        <w:rPr>
          <w:sz w:val="24"/>
        </w:rPr>
        <w:t xml:space="preserve">Estimates of effect of demographic and clinical characteristics survival derived from a univariable Cox regression model </w:t>
      </w:r>
    </w:p>
    <w:tbl>
      <w:tblPr>
        <w:tblW w:w="9495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19"/>
        <w:gridCol w:w="2679"/>
        <w:gridCol w:w="2797"/>
      </w:tblGrid>
      <w:tr w:rsidR="001D66DC" w:rsidTr="00B73C29">
        <w:trPr>
          <w:trHeight w:val="321"/>
          <w:jc w:val="center"/>
        </w:trPr>
        <w:tc>
          <w:tcPr>
            <w:tcW w:w="40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Pr="00E333FE" w:rsidRDefault="001D66DC" w:rsidP="00B73C29">
            <w:pPr>
              <w:spacing w:after="0" w:line="180" w:lineRule="exact"/>
              <w:rPr>
                <w:b/>
              </w:rPr>
            </w:pPr>
          </w:p>
        </w:tc>
        <w:tc>
          <w:tcPr>
            <w:tcW w:w="2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Pr="00E333FE" w:rsidRDefault="001D66DC" w:rsidP="00B73C29">
            <w:pPr>
              <w:spacing w:after="0" w:line="180" w:lineRule="exact"/>
              <w:jc w:val="center"/>
              <w:rPr>
                <w:b/>
              </w:rPr>
            </w:pPr>
            <w:r w:rsidRPr="00E333FE">
              <w:rPr>
                <w:b/>
              </w:rPr>
              <w:t>Unadjusted HR</w:t>
            </w:r>
          </w:p>
          <w:p w:rsidR="001D66DC" w:rsidRPr="00E333FE" w:rsidRDefault="001D66DC" w:rsidP="00B73C29">
            <w:pPr>
              <w:spacing w:after="0" w:line="180" w:lineRule="exact"/>
              <w:jc w:val="center"/>
              <w:rPr>
                <w:b/>
              </w:rPr>
            </w:pPr>
            <w:r w:rsidRPr="00E333FE">
              <w:rPr>
                <w:b/>
              </w:rPr>
              <w:t>(95 % CI)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Pr="00E333FE" w:rsidRDefault="001D66DC" w:rsidP="00B73C29">
            <w:pPr>
              <w:spacing w:after="0" w:line="180" w:lineRule="exact"/>
              <w:jc w:val="center"/>
              <w:rPr>
                <w:b/>
              </w:rPr>
            </w:pPr>
            <w:r w:rsidRPr="00E333FE">
              <w:rPr>
                <w:b/>
              </w:rPr>
              <w:t>p-value</w:t>
            </w:r>
          </w:p>
        </w:tc>
      </w:tr>
      <w:tr w:rsidR="001D66DC" w:rsidTr="00B73C29">
        <w:trPr>
          <w:trHeight w:val="532"/>
          <w:jc w:val="center"/>
        </w:trPr>
        <w:tc>
          <w:tcPr>
            <w:tcW w:w="4019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rPr>
                <w:b/>
                <w:bCs/>
              </w:rPr>
            </w:pPr>
            <w:r>
              <w:rPr>
                <w:b/>
                <w:bCs/>
              </w:rPr>
              <w:t>Age at diagnosis (years)</w:t>
            </w:r>
          </w:p>
          <w:p w:rsidR="001D66DC" w:rsidRDefault="001D66DC" w:rsidP="00B73C29">
            <w:pPr>
              <w:spacing w:after="0" w:line="180" w:lineRule="exact"/>
            </w:pPr>
            <w:r w:rsidRPr="00DE41B2">
              <w:rPr>
                <w:b/>
                <w:bCs/>
              </w:rPr>
              <w:t>(n=255)</w:t>
            </w:r>
          </w:p>
        </w:tc>
        <w:tc>
          <w:tcPr>
            <w:tcW w:w="2679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1.08 (1.05, 1.11)</w:t>
            </w:r>
          </w:p>
        </w:tc>
        <w:tc>
          <w:tcPr>
            <w:tcW w:w="2797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Pr="00E333FE" w:rsidRDefault="001D66DC" w:rsidP="00B73C29">
            <w:pPr>
              <w:spacing w:after="0" w:line="180" w:lineRule="exact"/>
              <w:jc w:val="center"/>
              <w:rPr>
                <w:b/>
              </w:rPr>
            </w:pPr>
            <w:r w:rsidRPr="00E333FE">
              <w:rPr>
                <w:b/>
              </w:rPr>
              <w:t>&lt; 0.0001</w:t>
            </w: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  <w:r>
              <w:rPr>
                <w:b/>
                <w:bCs/>
              </w:rPr>
              <w:t>Gender (n=255)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0.057</w:t>
            </w: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 w:rsidRPr="00706755">
              <w:t>Male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Reference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 xml:space="preserve">Female 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0.71 (0.49, 1.01)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  <w:r>
              <w:rPr>
                <w:b/>
                <w:bCs/>
              </w:rPr>
              <w:t>Level ID (n=185)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0.0183</w:t>
            </w: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 xml:space="preserve">Mild 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Reference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 xml:space="preserve">Moderate 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1.03 (0.53, 2.03)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Severe-profound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1.94 (1.12, 3.37)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  <w:r>
              <w:rPr>
                <w:b/>
                <w:bCs/>
              </w:rPr>
              <w:t>Depression (n=129)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0.163</w:t>
            </w: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No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Reference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Yes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0.57 (0.26, 1.25)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  <w:r>
              <w:rPr>
                <w:b/>
                <w:bCs/>
              </w:rPr>
              <w:t>Antipsychotic use (n=70)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0.401</w:t>
            </w: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No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Reference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Yes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0.42 (0.75, 1.93)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  <w:r>
              <w:rPr>
                <w:b/>
                <w:bCs/>
              </w:rPr>
              <w:t>Thyroid dysfunction (n=137)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0.454</w:t>
            </w: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No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Reference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Yes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1.20 (0.52, 1.34)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Pr="00DE41B2" w:rsidRDefault="001D66DC" w:rsidP="00B73C29">
            <w:pPr>
              <w:spacing w:after="0" w:line="180" w:lineRule="exact"/>
              <w:rPr>
                <w:b/>
              </w:rPr>
            </w:pPr>
            <w:r w:rsidRPr="00DE41B2">
              <w:rPr>
                <w:b/>
              </w:rPr>
              <w:t>Epilepsy (n=219)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0.022</w:t>
            </w: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No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Reference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Yes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1.67 (1.08, 2.61)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  <w:r>
              <w:rPr>
                <w:b/>
                <w:bCs/>
              </w:rPr>
              <w:t>Sensory impairment (n=134)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0.444</w:t>
            </w: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No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Reference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Yes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0.80 (0.46, 1.41)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  <w:r>
              <w:rPr>
                <w:b/>
                <w:bCs/>
              </w:rPr>
              <w:t>Region (n=255)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Pr="00E333FE" w:rsidRDefault="001D66DC" w:rsidP="00B73C29">
            <w:pPr>
              <w:spacing w:after="0" w:line="180" w:lineRule="exact"/>
              <w:jc w:val="center"/>
              <w:rPr>
                <w:b/>
              </w:rPr>
            </w:pPr>
            <w:r w:rsidRPr="00E333FE">
              <w:rPr>
                <w:b/>
              </w:rPr>
              <w:t>&lt;0.0001</w:t>
            </w: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Region A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Reference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Region B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1.52 (0.83, 2.78)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Region C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3.50 (1.81, 6.78)</w:t>
            </w:r>
          </w:p>
        </w:tc>
        <w:tc>
          <w:tcPr>
            <w:tcW w:w="2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  <w:tr w:rsidR="001D66DC" w:rsidTr="00B73C29">
        <w:trPr>
          <w:trHeight w:val="250"/>
          <w:jc w:val="center"/>
        </w:trPr>
        <w:tc>
          <w:tcPr>
            <w:tcW w:w="4019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Region D</w:t>
            </w:r>
          </w:p>
        </w:tc>
        <w:tc>
          <w:tcPr>
            <w:tcW w:w="2679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  <w:jc w:val="center"/>
            </w:pPr>
            <w:r>
              <w:t>3.28 (1.84, 5.84)</w:t>
            </w:r>
          </w:p>
        </w:tc>
        <w:tc>
          <w:tcPr>
            <w:tcW w:w="2797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6DC" w:rsidRDefault="001D66DC" w:rsidP="00B73C29">
            <w:pPr>
              <w:spacing w:after="0" w:line="180" w:lineRule="exact"/>
            </w:pPr>
          </w:p>
        </w:tc>
      </w:tr>
    </w:tbl>
    <w:p w:rsidR="004C6F64" w:rsidRDefault="004C6F64" w:rsidP="00376EA5"/>
    <w:sectPr w:rsidR="004C6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DC"/>
    <w:rsid w:val="001D66DC"/>
    <w:rsid w:val="00376EA5"/>
    <w:rsid w:val="004C6F64"/>
    <w:rsid w:val="006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7F6A9-B03C-4D1E-9828-4D3F7659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D66D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rsid w:val="001D66DC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Sheehan</dc:creator>
  <cp:keywords/>
  <dc:description/>
  <cp:lastModifiedBy>Andrew Morris</cp:lastModifiedBy>
  <cp:revision>2</cp:revision>
  <dcterms:created xsi:type="dcterms:W3CDTF">2017-11-14T09:45:00Z</dcterms:created>
  <dcterms:modified xsi:type="dcterms:W3CDTF">2017-11-14T09:45:00Z</dcterms:modified>
</cp:coreProperties>
</file>