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22" w:rsidRPr="00DA7310" w:rsidRDefault="00CB17E8" w:rsidP="00061822">
      <w:pPr>
        <w:pStyle w:val="NoSpacing"/>
        <w:jc w:val="both"/>
        <w:outlineLvl w:val="0"/>
        <w:rPr>
          <w:rFonts w:cstheme="minorHAnsi"/>
          <w:i w:val="0"/>
        </w:rPr>
      </w:pPr>
      <w:bookmarkStart w:id="0" w:name="_GoBack"/>
      <w:bookmarkEnd w:id="0"/>
      <w:r>
        <w:rPr>
          <w:rFonts w:cstheme="minorHAnsi"/>
          <w:b/>
          <w:i w:val="0"/>
        </w:rPr>
        <w:t>Table DS2</w:t>
      </w:r>
      <w:r w:rsidR="00061822" w:rsidRPr="00DA7310">
        <w:rPr>
          <w:rFonts w:cstheme="minorHAnsi"/>
          <w:b/>
          <w:i w:val="0"/>
        </w:rPr>
        <w:t>. Studies included in the meta-</w:t>
      </w:r>
      <w:r w:rsidR="00061822">
        <w:rPr>
          <w:rFonts w:cstheme="minorHAnsi"/>
          <w:b/>
          <w:i w:val="0"/>
        </w:rPr>
        <w:t>analyses</w:t>
      </w:r>
      <w:r w:rsidR="00061822" w:rsidRPr="00DA7310">
        <w:rPr>
          <w:rFonts w:cstheme="minorHAnsi"/>
          <w:b/>
          <w:i w:val="0"/>
        </w:rPr>
        <w:t xml:space="preserve"> </w:t>
      </w:r>
    </w:p>
    <w:tbl>
      <w:tblPr>
        <w:tblStyle w:val="ColorfulShading-Accent1"/>
        <w:tblW w:w="15779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275"/>
        <w:gridCol w:w="1157"/>
        <w:gridCol w:w="828"/>
        <w:gridCol w:w="1276"/>
        <w:gridCol w:w="1332"/>
        <w:gridCol w:w="1327"/>
        <w:gridCol w:w="1082"/>
        <w:gridCol w:w="993"/>
        <w:gridCol w:w="905"/>
        <w:gridCol w:w="905"/>
        <w:gridCol w:w="905"/>
      </w:tblGrid>
      <w:tr w:rsidR="00061822" w:rsidRPr="00DA7310" w:rsidTr="00F95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093F8B">
            <w:pP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 Study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Design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Country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Trial size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Age (</w:t>
            </w:r>
            <w:r>
              <w:rPr>
                <w:rFonts w:eastAsia="Times New Roman" w:cstheme="minorHAnsi"/>
                <w:b w:val="0"/>
                <w:i w:val="0"/>
                <w:color w:val="000000"/>
                <w:sz w:val="16"/>
                <w:szCs w:val="16"/>
                <w:lang w:eastAsia="nl-BE"/>
              </w:rPr>
              <w:t>years</w:t>
            </w:r>
            <w:r w:rsidRPr="00A649C0">
              <w:rPr>
                <w:rFonts w:eastAsia="Times New Roman" w:cstheme="minorHAnsi"/>
                <w:b w:val="0"/>
                <w:i w:val="0"/>
                <w:color w:val="000000"/>
                <w:sz w:val="16"/>
                <w:szCs w:val="16"/>
                <w:lang w:eastAsia="nl-BE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Psychotic</w:t>
            </w:r>
            <w: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symptoms (%)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Episode duration (months)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Medication resistance (%)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Length</w:t>
            </w:r>
            <w: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ECT</w:t>
            </w: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course</w:t>
            </w:r>
            <w: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(#)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Electrode position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Response rate</w:t>
            </w:r>
            <w: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(%)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Remission rate</w:t>
            </w:r>
            <w:r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 xml:space="preserve"> (%)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 w:val="0"/>
                <w:i w:val="0"/>
                <w:color w:val="auto"/>
                <w:sz w:val="16"/>
                <w:szCs w:val="16"/>
                <w:lang w:eastAsia="nl-BE"/>
              </w:rPr>
              <w:t>Predictors included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3F491D" w:rsidRDefault="003F491D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>Alves (2016)</w:t>
            </w:r>
          </w:p>
        </w:tc>
        <w:tc>
          <w:tcPr>
            <w:tcW w:w="709" w:type="dxa"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Brazil</w:t>
            </w:r>
          </w:p>
        </w:tc>
        <w:tc>
          <w:tcPr>
            <w:tcW w:w="1157" w:type="dxa"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43</w:t>
            </w:r>
          </w:p>
        </w:tc>
        <w:tc>
          <w:tcPr>
            <w:tcW w:w="828" w:type="dxa"/>
            <w:noWrap/>
            <w:hideMark/>
          </w:tcPr>
          <w:p w:rsidR="003F491D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51.1</w:t>
            </w:r>
          </w:p>
        </w:tc>
        <w:tc>
          <w:tcPr>
            <w:tcW w:w="1276" w:type="dxa"/>
            <w:noWrap/>
            <w:hideMark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41.5</w:t>
            </w:r>
          </w:p>
        </w:tc>
        <w:tc>
          <w:tcPr>
            <w:tcW w:w="1332" w:type="dxa"/>
            <w:noWrap/>
            <w:hideMark/>
          </w:tcPr>
          <w:p w:rsidR="003F491D" w:rsidRPr="007E2E63" w:rsidRDefault="007E2E63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3F491D" w:rsidRPr="007E2E63" w:rsidRDefault="007E2E63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3F491D" w:rsidRPr="00A649C0" w:rsidRDefault="007E2E63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8.7</w:t>
            </w:r>
          </w:p>
        </w:tc>
        <w:tc>
          <w:tcPr>
            <w:tcW w:w="993" w:type="dxa"/>
            <w:noWrap/>
            <w:hideMark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RUL</w:t>
            </w:r>
          </w:p>
        </w:tc>
        <w:tc>
          <w:tcPr>
            <w:tcW w:w="905" w:type="dxa"/>
          </w:tcPr>
          <w:p w:rsidR="003F491D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84.3</w:t>
            </w:r>
          </w:p>
        </w:tc>
        <w:tc>
          <w:tcPr>
            <w:tcW w:w="905" w:type="dxa"/>
          </w:tcPr>
          <w:p w:rsidR="003F491D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58.1</w:t>
            </w:r>
          </w:p>
        </w:tc>
        <w:tc>
          <w:tcPr>
            <w:tcW w:w="905" w:type="dxa"/>
            <w:hideMark/>
          </w:tcPr>
          <w:p w:rsidR="003F491D" w:rsidRPr="00A649C0" w:rsidRDefault="00774EB8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A, M, P, S</w:t>
            </w:r>
          </w:p>
        </w:tc>
      </w:tr>
      <w:tr w:rsidR="00061822" w:rsidRPr="00DA7310" w:rsidTr="00F956DC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Bauer (2009)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Denmark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52</w:t>
            </w:r>
            <w:r w:rsidRPr="00301D8B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52.1</w:t>
            </w:r>
            <w:r w:rsidRPr="00301D8B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  <w:r w:rsidRPr="00301D8B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80.8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59.6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Bharadwaj (2012)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India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37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43</w:t>
            </w:r>
            <w:r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91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75</w:t>
            </w:r>
            <w:r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061822" w:rsidRPr="00E8239C" w:rsidTr="00F956DC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E8239C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  <w:lang w:val="nl-BE"/>
              </w:rPr>
            </w:pPr>
            <w:r>
              <w:rPr>
                <w:rFonts w:cstheme="minorHAnsi"/>
                <w:i w:val="0"/>
                <w:sz w:val="16"/>
                <w:szCs w:val="16"/>
                <w:lang w:val="nl-BE"/>
              </w:rPr>
              <w:t xml:space="preserve">Birkenhager (2003) </w:t>
            </w:r>
          </w:p>
        </w:tc>
        <w:tc>
          <w:tcPr>
            <w:tcW w:w="709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55</w:t>
            </w:r>
          </w:p>
        </w:tc>
        <w:tc>
          <w:tcPr>
            <w:tcW w:w="828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1332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23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1327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74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1082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VAR</w:t>
            </w:r>
          </w:p>
        </w:tc>
        <w:tc>
          <w:tcPr>
            <w:tcW w:w="905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74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905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0</w:t>
            </w:r>
          </w:p>
        </w:tc>
        <w:tc>
          <w:tcPr>
            <w:tcW w:w="905" w:type="dxa"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,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,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 xml:space="preserve"> S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  <w:lang w:val="nl-BE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Birkenhager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(2010)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104</w:t>
            </w:r>
            <w:r w:rsidRPr="002A1BEF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7</w:t>
            </w:r>
            <w:r w:rsidRPr="002A1BEF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2</w:t>
            </w:r>
            <w:r w:rsidRPr="002A1BEF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.0</w:t>
            </w:r>
            <w:r w:rsidRPr="002A1BEF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81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</w:t>
            </w:r>
            <w:r w:rsidRPr="002A1BEF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</w:t>
            </w:r>
            <w:r w:rsidRPr="00C2560E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b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69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</w:t>
            </w:r>
            <w:r w:rsidRPr="00C2560E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0</w:t>
            </w:r>
            <w:r w:rsidRPr="00C2560E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 xml:space="preserve"> </w:t>
            </w:r>
            <w:r w:rsidR="00BD504E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 xml:space="preserve">M, 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 xml:space="preserve"> S</w:t>
            </w:r>
          </w:p>
        </w:tc>
      </w:tr>
      <w:tr w:rsidR="00061822" w:rsidRPr="00DA7310" w:rsidTr="00F956DC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E8239C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Bj</w:t>
            </w:r>
            <w:r>
              <w:rPr>
                <w:rFonts w:ascii="Baskerville Old Face" w:hAnsi="Baskerville Old Face" w:cstheme="minorHAnsi"/>
                <w:i w:val="0"/>
                <w:sz w:val="16"/>
                <w:szCs w:val="16"/>
              </w:rPr>
              <w:t>ø</w:t>
            </w:r>
            <w:r>
              <w:rPr>
                <w:rFonts w:cstheme="minorHAnsi"/>
                <w:i w:val="0"/>
                <w:sz w:val="16"/>
                <w:szCs w:val="16"/>
              </w:rPr>
              <w:t>lseth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(2015) </w:t>
            </w:r>
          </w:p>
        </w:tc>
        <w:tc>
          <w:tcPr>
            <w:tcW w:w="709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Norway</w:t>
            </w:r>
          </w:p>
        </w:tc>
        <w:tc>
          <w:tcPr>
            <w:tcW w:w="1157" w:type="dxa"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73</w:t>
            </w:r>
          </w:p>
        </w:tc>
        <w:tc>
          <w:tcPr>
            <w:tcW w:w="828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74.8</w:t>
            </w:r>
          </w:p>
        </w:tc>
        <w:tc>
          <w:tcPr>
            <w:tcW w:w="1276" w:type="dxa"/>
            <w:noWrap/>
            <w:hideMark/>
          </w:tcPr>
          <w:p w:rsidR="00061822" w:rsidRPr="00E8239C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E8239C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BD504E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M, 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Bumb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Germany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20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061822" w:rsidRPr="00DA7310" w:rsidTr="00F956D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Dannon (2001)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Israël</w:t>
            </w:r>
            <w:proofErr w:type="spellEnd"/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17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P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  <w:lang w:val="nl-BE"/>
              </w:rPr>
            </w:pPr>
            <w:r w:rsidRPr="00E8239C">
              <w:rPr>
                <w:rFonts w:cstheme="minorHAnsi"/>
                <w:i w:val="0"/>
                <w:sz w:val="16"/>
                <w:szCs w:val="16"/>
                <w:lang w:val="nl-BE"/>
              </w:rPr>
              <w:t>De</w:t>
            </w:r>
            <w:r>
              <w:rPr>
                <w:rFonts w:cstheme="minorHAnsi"/>
                <w:i w:val="0"/>
                <w:sz w:val="16"/>
                <w:szCs w:val="16"/>
                <w:lang w:val="nl-BE"/>
              </w:rPr>
              <w:t xml:space="preserve"> Vreede (2005)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53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</w:p>
        </w:tc>
      </w:tr>
      <w:tr w:rsidR="00061822" w:rsidRPr="00DA7310" w:rsidTr="00F956D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Dombrovski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(2005)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328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57.4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M, 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Fink (2007)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385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55.5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29.5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10.6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52.2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7.2</w:t>
            </w:r>
            <w:r w:rsidRPr="00C8236C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FE4738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FE4738">
              <w:rPr>
                <w:rFonts w:eastAsia="Times New Roman" w:cstheme="minorHAnsi"/>
                <w:b/>
                <w:bCs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C8236C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auto"/>
                <w:sz w:val="16"/>
                <w:szCs w:val="16"/>
                <w:lang w:eastAsia="nl-BE"/>
              </w:rPr>
            </w:pPr>
            <w:r w:rsidRPr="00C8236C">
              <w:rPr>
                <w:rFonts w:eastAsia="Times New Roman" w:cstheme="minorHAnsi"/>
                <w:i w:val="0"/>
                <w:color w:val="auto"/>
                <w:sz w:val="16"/>
                <w:szCs w:val="16"/>
                <w:lang w:eastAsia="nl-BE"/>
              </w:rPr>
              <w:t>86.5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M</w:t>
            </w:r>
          </w:p>
        </w:tc>
      </w:tr>
      <w:tr w:rsidR="000B4BAD" w:rsidRPr="00DA7310" w:rsidTr="00F956DC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B4BAD" w:rsidRDefault="000B4BAD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Huuhka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(2007)</w:t>
            </w:r>
          </w:p>
        </w:tc>
        <w:tc>
          <w:tcPr>
            <w:tcW w:w="709" w:type="dxa"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Finland</w:t>
            </w:r>
          </w:p>
        </w:tc>
        <w:tc>
          <w:tcPr>
            <w:tcW w:w="1157" w:type="dxa"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119</w:t>
            </w:r>
          </w:p>
        </w:tc>
        <w:tc>
          <w:tcPr>
            <w:tcW w:w="828" w:type="dxa"/>
            <w:noWrap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57.7</w:t>
            </w:r>
          </w:p>
        </w:tc>
        <w:tc>
          <w:tcPr>
            <w:tcW w:w="1276" w:type="dxa"/>
            <w:noWrap/>
            <w:hideMark/>
          </w:tcPr>
          <w:p w:rsidR="000B4BAD" w:rsidRPr="000B4BAD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</w:pPr>
            <w:r w:rsidRPr="000B4BAD"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  <w:t>42.9</w:t>
            </w:r>
          </w:p>
        </w:tc>
        <w:tc>
          <w:tcPr>
            <w:tcW w:w="1332" w:type="dxa"/>
            <w:noWrap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B4BAD" w:rsidRPr="00A649C0" w:rsidRDefault="000B4BAD" w:rsidP="000B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1082" w:type="dxa"/>
            <w:noWrap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9.4</w:t>
            </w:r>
          </w:p>
        </w:tc>
        <w:tc>
          <w:tcPr>
            <w:tcW w:w="993" w:type="dxa"/>
            <w:noWrap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74.8</w:t>
            </w:r>
          </w:p>
        </w:tc>
        <w:tc>
          <w:tcPr>
            <w:tcW w:w="905" w:type="dxa"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37.8</w:t>
            </w:r>
          </w:p>
        </w:tc>
        <w:tc>
          <w:tcPr>
            <w:tcW w:w="905" w:type="dxa"/>
            <w:hideMark/>
          </w:tcPr>
          <w:p w:rsidR="000B4BAD" w:rsidRPr="00A649C0" w:rsidRDefault="000B4BAD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A, P, S</w:t>
            </w:r>
          </w:p>
        </w:tc>
      </w:tr>
      <w:tr w:rsidR="00061822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Joshi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29</w:t>
            </w:r>
            <w:r w:rsidRPr="00CB3470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  <w:r w:rsidRPr="00CB3470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  <w:r w:rsidRPr="00DA6DF0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  <w:r w:rsidRPr="00DA6DF0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3F491D" w:rsidRDefault="003F491D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>Kellner (2016)</w:t>
            </w:r>
          </w:p>
        </w:tc>
        <w:tc>
          <w:tcPr>
            <w:tcW w:w="709" w:type="dxa"/>
          </w:tcPr>
          <w:p w:rsidR="003F491D" w:rsidRDefault="001776AF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3F491D" w:rsidRDefault="001776AF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3F491D" w:rsidRDefault="00DE6C7A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240</w:t>
            </w:r>
          </w:p>
        </w:tc>
        <w:tc>
          <w:tcPr>
            <w:tcW w:w="828" w:type="dxa"/>
            <w:noWrap/>
            <w:hideMark/>
          </w:tcPr>
          <w:p w:rsidR="003F491D" w:rsidRDefault="00A858B1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70.2</w:t>
            </w:r>
          </w:p>
        </w:tc>
        <w:tc>
          <w:tcPr>
            <w:tcW w:w="1276" w:type="dxa"/>
            <w:noWrap/>
            <w:hideMark/>
          </w:tcPr>
          <w:p w:rsidR="003F491D" w:rsidRDefault="00A858B1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11.6</w:t>
            </w:r>
          </w:p>
        </w:tc>
        <w:tc>
          <w:tcPr>
            <w:tcW w:w="1332" w:type="dxa"/>
            <w:noWrap/>
            <w:hideMark/>
          </w:tcPr>
          <w:p w:rsidR="003F491D" w:rsidRPr="007E2E63" w:rsidRDefault="007E2E63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3F491D" w:rsidRPr="007E2E63" w:rsidRDefault="007E2E63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3F491D" w:rsidRPr="007E2E63" w:rsidRDefault="007E2E63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93" w:type="dxa"/>
            <w:noWrap/>
            <w:hideMark/>
          </w:tcPr>
          <w:p w:rsidR="003F491D" w:rsidRDefault="00A858B1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RUL</w:t>
            </w:r>
          </w:p>
        </w:tc>
        <w:tc>
          <w:tcPr>
            <w:tcW w:w="905" w:type="dxa"/>
          </w:tcPr>
          <w:p w:rsidR="003F491D" w:rsidRPr="007E2E63" w:rsidRDefault="007E2E63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</w:pPr>
            <w:r w:rsidRPr="007E2E63"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  <w:t>70.4</w:t>
            </w:r>
          </w:p>
        </w:tc>
        <w:tc>
          <w:tcPr>
            <w:tcW w:w="905" w:type="dxa"/>
          </w:tcPr>
          <w:p w:rsidR="003F491D" w:rsidRDefault="001776AF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86.0</w:t>
            </w:r>
          </w:p>
        </w:tc>
        <w:tc>
          <w:tcPr>
            <w:tcW w:w="905" w:type="dxa"/>
            <w:hideMark/>
          </w:tcPr>
          <w:p w:rsidR="003F491D" w:rsidRDefault="00F956DC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A,</w:t>
            </w:r>
            <w:r w:rsidR="001776AF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M,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Kho (2005)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73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57.7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46.6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52.8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77.0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7.0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65.8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</w:p>
        </w:tc>
      </w:tr>
      <w:tr w:rsidR="003F491D" w:rsidRPr="00DA7310" w:rsidTr="00F956D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E8239C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  <w:lang w:val="nl-BE"/>
              </w:rPr>
            </w:pPr>
            <w:r>
              <w:rPr>
                <w:rFonts w:cstheme="minorHAnsi"/>
                <w:i w:val="0"/>
                <w:sz w:val="16"/>
                <w:szCs w:val="16"/>
                <w:lang w:val="nl-BE"/>
              </w:rPr>
              <w:t>K</w:t>
            </w:r>
            <w:r w:rsidRPr="00E8239C">
              <w:rPr>
                <w:rFonts w:cstheme="minorHAnsi"/>
                <w:i w:val="0"/>
                <w:sz w:val="16"/>
                <w:szCs w:val="16"/>
                <w:lang w:val="nl-BE"/>
              </w:rPr>
              <w:t>us</w:t>
            </w:r>
            <w:r>
              <w:rPr>
                <w:rFonts w:cstheme="minorHAnsi"/>
                <w:i w:val="0"/>
                <w:sz w:val="16"/>
                <w:szCs w:val="16"/>
                <w:lang w:val="nl-BE"/>
              </w:rPr>
              <w:t xml:space="preserve">cu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Turkey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061822" w:rsidRPr="00EF7123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auto"/>
                <w:sz w:val="16"/>
                <w:szCs w:val="16"/>
                <w:lang w:eastAsia="nl-BE"/>
              </w:rPr>
            </w:pPr>
            <w:r w:rsidRPr="00EF7123"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  <w:t>0</w:t>
            </w:r>
            <w:r>
              <w:rPr>
                <w:rFonts w:eastAsia="Times New Roman" w:cstheme="minorHAnsi"/>
                <w:bCs/>
                <w:i w:val="0"/>
                <w:color w:val="auto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Lin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Taiwan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104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70.5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Loo (2011)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Australia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75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RUL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M, 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Medda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(2014)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Italy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208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O´Connor (2001)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394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  <w:r w:rsidRPr="0032176E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29.9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  <w:r w:rsidRPr="00E7582B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  <w:r w:rsidRPr="008661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Okazaki (2010)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Japan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24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Oudega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(2014)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Netherlands / Belgium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81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74.0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42.0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10.2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33.3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12.8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74.1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48.1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A, P,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Piccini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(2009)</w:t>
            </w:r>
            <w:r w:rsidR="00E72256" w:rsidRPr="00A649C0">
              <w:rPr>
                <w:rFonts w:cstheme="minorHAnsi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Italy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4.9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Rhebergen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Netherlands / Belgium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120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Schoeyen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(2015)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Norway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23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RUL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Semkovska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(2016)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Ireland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138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72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Sivaprakash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(2000)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India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30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63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S</w:t>
            </w:r>
          </w:p>
        </w:tc>
      </w:tr>
      <w:tr w:rsidR="003F491D" w:rsidRPr="00DA7310" w:rsidTr="00F956DC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Sobin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(1996)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USA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0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sz w:val="16"/>
                <w:szCs w:val="16"/>
                <w:lang w:eastAsia="nl-BE"/>
              </w:rPr>
              <w:t>P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Spaans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(2013)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87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62.0</w:t>
            </w:r>
            <w:r w:rsidRPr="003310D9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43.7</w:t>
            </w:r>
            <w:r w:rsidRPr="00F510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a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  <w:r w:rsidRPr="00F510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eastAsia="nl-BE"/>
              </w:rPr>
              <w:t>b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RUL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Spashett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(2014)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UK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414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Tokutsu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(2013)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RET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Japan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42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31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85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54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DA7310" w:rsidTr="00F956DC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proofErr w:type="spellStart"/>
            <w:r>
              <w:rPr>
                <w:rFonts w:cstheme="minorHAnsi"/>
                <w:i w:val="0"/>
                <w:sz w:val="16"/>
                <w:szCs w:val="16"/>
              </w:rPr>
              <w:t>Tominaga</w:t>
            </w:r>
            <w:proofErr w:type="spellEnd"/>
            <w:r>
              <w:rPr>
                <w:rFonts w:cstheme="minorHAnsi"/>
                <w:i w:val="0"/>
                <w:sz w:val="16"/>
                <w:szCs w:val="16"/>
              </w:rPr>
              <w:t xml:space="preserve"> (2011)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Japan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18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70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.0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BL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38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P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S</w:t>
            </w:r>
          </w:p>
        </w:tc>
      </w:tr>
      <w:tr w:rsidR="003F491D" w:rsidRPr="00715D79" w:rsidTr="00F95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E8239C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  <w:lang w:val="nl-BE"/>
              </w:rPr>
            </w:pPr>
            <w:r w:rsidRPr="00E8239C">
              <w:rPr>
                <w:rFonts w:cstheme="minorHAnsi"/>
                <w:i w:val="0"/>
                <w:sz w:val="16"/>
                <w:szCs w:val="16"/>
                <w:lang w:val="nl-BE"/>
              </w:rPr>
              <w:t xml:space="preserve">Van </w:t>
            </w:r>
            <w:r>
              <w:rPr>
                <w:rFonts w:cstheme="minorHAnsi"/>
                <w:i w:val="0"/>
                <w:sz w:val="16"/>
                <w:szCs w:val="16"/>
                <w:lang w:val="nl-BE"/>
              </w:rPr>
              <w:t xml:space="preserve">Waarde  (2013)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Netherlands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84</w:t>
            </w:r>
            <w:r w:rsidRPr="00F510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59.1</w:t>
            </w:r>
            <w:r w:rsidRPr="00F510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33.3</w:t>
            </w:r>
            <w:r w:rsidRPr="00F5103A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a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val="nl-BE"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val="nl-BE" w:eastAsia="nl-BE"/>
              </w:rPr>
              <w:t>X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17.4</w:t>
            </w:r>
            <w:r w:rsidRPr="002A7EB8">
              <w:rPr>
                <w:rFonts w:eastAsia="Times New Roman" w:cstheme="minorHAnsi"/>
                <w:i w:val="0"/>
                <w:color w:val="000000"/>
                <w:sz w:val="16"/>
                <w:szCs w:val="16"/>
                <w:vertAlign w:val="superscript"/>
                <w:lang w:val="nl-BE" w:eastAsia="nl-BE"/>
              </w:rPr>
              <w:t>b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69.0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48.8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val="nl-BE" w:eastAsia="nl-BE"/>
              </w:rPr>
              <w:t>A, P, S</w:t>
            </w:r>
          </w:p>
        </w:tc>
      </w:tr>
      <w:tr w:rsidR="003F491D" w:rsidRPr="00DA7310" w:rsidTr="00F956D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061822" w:rsidRPr="00A649C0" w:rsidRDefault="00061822" w:rsidP="00E72256">
            <w:pPr>
              <w:pStyle w:val="NoSpacing"/>
              <w:jc w:val="both"/>
              <w:rPr>
                <w:rFonts w:cstheme="minorHAnsi"/>
                <w:i w:val="0"/>
                <w:sz w:val="16"/>
                <w:szCs w:val="16"/>
              </w:rPr>
            </w:pPr>
            <w:r>
              <w:rPr>
                <w:rFonts w:cstheme="minorHAnsi"/>
                <w:i w:val="0"/>
                <w:sz w:val="16"/>
                <w:szCs w:val="16"/>
              </w:rPr>
              <w:t xml:space="preserve">Winkler (2014) </w:t>
            </w:r>
          </w:p>
        </w:tc>
        <w:tc>
          <w:tcPr>
            <w:tcW w:w="709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PRO</w:t>
            </w:r>
          </w:p>
        </w:tc>
        <w:tc>
          <w:tcPr>
            <w:tcW w:w="1275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Austria</w:t>
            </w:r>
          </w:p>
        </w:tc>
        <w:tc>
          <w:tcPr>
            <w:tcW w:w="1157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15</w:t>
            </w:r>
          </w:p>
        </w:tc>
        <w:tc>
          <w:tcPr>
            <w:tcW w:w="828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47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6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7</w:t>
            </w:r>
          </w:p>
        </w:tc>
        <w:tc>
          <w:tcPr>
            <w:tcW w:w="133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i w:val="0"/>
                <w:color w:val="C0504D" w:themeColor="accent2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1327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100</w:t>
            </w:r>
          </w:p>
        </w:tc>
        <w:tc>
          <w:tcPr>
            <w:tcW w:w="1082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9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.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VAR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</w:pPr>
            <w:r w:rsidRPr="00A649C0">
              <w:rPr>
                <w:rFonts w:eastAsia="Times New Roman" w:cstheme="minorHAnsi"/>
                <w:b/>
                <w:bCs/>
                <w:i w:val="0"/>
                <w:color w:val="C0504D"/>
                <w:sz w:val="16"/>
                <w:szCs w:val="16"/>
                <w:lang w:eastAsia="nl-BE"/>
              </w:rPr>
              <w:t>X</w:t>
            </w:r>
          </w:p>
        </w:tc>
        <w:tc>
          <w:tcPr>
            <w:tcW w:w="905" w:type="dxa"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40.0</w:t>
            </w:r>
          </w:p>
        </w:tc>
        <w:tc>
          <w:tcPr>
            <w:tcW w:w="905" w:type="dxa"/>
            <w:hideMark/>
          </w:tcPr>
          <w:p w:rsidR="00061822" w:rsidRPr="00A649C0" w:rsidRDefault="00061822" w:rsidP="00093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</w:pPr>
            <w:proofErr w:type="gramStart"/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A</w:t>
            </w:r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P</w:t>
            </w:r>
            <w:proofErr w:type="gramEnd"/>
            <w:r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,</w:t>
            </w:r>
            <w:r w:rsidR="00360FAF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 xml:space="preserve"> </w:t>
            </w:r>
            <w:r w:rsidRPr="00A649C0">
              <w:rPr>
                <w:rFonts w:eastAsia="Times New Roman" w:cstheme="minorHAnsi"/>
                <w:i w:val="0"/>
                <w:color w:val="000000"/>
                <w:sz w:val="16"/>
                <w:szCs w:val="16"/>
                <w:lang w:eastAsia="nl-BE"/>
              </w:rPr>
              <w:t>S</w:t>
            </w:r>
          </w:p>
        </w:tc>
      </w:tr>
    </w:tbl>
    <w:p w:rsidR="00061822" w:rsidRPr="00E7582B" w:rsidRDefault="00061822" w:rsidP="00061822">
      <w:pPr>
        <w:spacing w:after="0" w:line="240" w:lineRule="auto"/>
        <w:rPr>
          <w:rFonts w:cstheme="minorHAnsi"/>
          <w:i w:val="0"/>
          <w:sz w:val="14"/>
          <w:szCs w:val="14"/>
        </w:rPr>
      </w:pPr>
      <w:r w:rsidRPr="00E7582B">
        <w:rPr>
          <w:rFonts w:cstheme="minorHAnsi"/>
          <w:i w:val="0"/>
          <w:sz w:val="14"/>
          <w:szCs w:val="14"/>
        </w:rPr>
        <w:t xml:space="preserve">PRO, prospective; RET, retrospective; BL, only bilateral electrode position; RUL, only right unilateral electrode position; VAR, different electrode positions were used; A, age; </w:t>
      </w:r>
      <w:r>
        <w:rPr>
          <w:rFonts w:cstheme="minorHAnsi"/>
          <w:i w:val="0"/>
          <w:sz w:val="14"/>
          <w:szCs w:val="14"/>
        </w:rPr>
        <w:t xml:space="preserve">M, melancholic symptoms; </w:t>
      </w:r>
      <w:r w:rsidRPr="00E7582B">
        <w:rPr>
          <w:rFonts w:cstheme="minorHAnsi"/>
          <w:i w:val="0"/>
          <w:sz w:val="14"/>
          <w:szCs w:val="14"/>
        </w:rPr>
        <w:t xml:space="preserve">P, psychotic symptoms; S, depression severity; </w:t>
      </w:r>
      <w:r w:rsidRPr="00E7582B">
        <w:rPr>
          <w:rFonts w:cstheme="minorHAnsi"/>
          <w:b/>
          <w:i w:val="0"/>
          <w:color w:val="C0504D" w:themeColor="accent2"/>
          <w:sz w:val="14"/>
          <w:szCs w:val="14"/>
        </w:rPr>
        <w:t>X</w:t>
      </w:r>
      <w:r w:rsidRPr="00E7582B">
        <w:rPr>
          <w:rFonts w:cstheme="minorHAnsi"/>
          <w:i w:val="0"/>
          <w:sz w:val="14"/>
          <w:szCs w:val="14"/>
        </w:rPr>
        <w:t>, data not available.</w:t>
      </w:r>
    </w:p>
    <w:p w:rsidR="00061822" w:rsidRDefault="00061822" w:rsidP="00061822">
      <w:pPr>
        <w:spacing w:after="0" w:line="240" w:lineRule="auto"/>
        <w:rPr>
          <w:rFonts w:cstheme="minorHAnsi"/>
          <w:i w:val="0"/>
          <w:sz w:val="16"/>
          <w:szCs w:val="16"/>
        </w:rPr>
      </w:pPr>
      <w:r>
        <w:rPr>
          <w:rFonts w:cstheme="minorHAnsi"/>
          <w:i w:val="0"/>
          <w:sz w:val="16"/>
          <w:szCs w:val="16"/>
        </w:rPr>
        <w:t>a. N</w:t>
      </w:r>
      <w:r w:rsidRPr="00DA7310">
        <w:rPr>
          <w:rFonts w:cstheme="minorHAnsi"/>
          <w:i w:val="0"/>
          <w:sz w:val="16"/>
          <w:szCs w:val="16"/>
        </w:rPr>
        <w:t xml:space="preserve">umber and averages of the completer sample </w:t>
      </w:r>
      <w:r>
        <w:rPr>
          <w:rFonts w:cstheme="minorHAnsi"/>
          <w:i w:val="0"/>
          <w:sz w:val="16"/>
          <w:szCs w:val="16"/>
        </w:rPr>
        <w:t xml:space="preserve">extracted from additional data </w:t>
      </w:r>
      <w:r w:rsidRPr="00DA7310">
        <w:rPr>
          <w:rFonts w:cstheme="minorHAnsi"/>
          <w:i w:val="0"/>
          <w:sz w:val="16"/>
          <w:szCs w:val="16"/>
        </w:rPr>
        <w:t>were used. Therefore</w:t>
      </w:r>
      <w:r>
        <w:rPr>
          <w:rFonts w:cstheme="minorHAnsi"/>
          <w:i w:val="0"/>
          <w:sz w:val="16"/>
          <w:szCs w:val="16"/>
        </w:rPr>
        <w:t>,</w:t>
      </w:r>
      <w:r w:rsidRPr="00DA7310">
        <w:rPr>
          <w:rFonts w:cstheme="minorHAnsi"/>
          <w:i w:val="0"/>
          <w:sz w:val="16"/>
          <w:szCs w:val="16"/>
        </w:rPr>
        <w:t xml:space="preserve"> numbers in the table above may not match numbers in the original papers. </w:t>
      </w:r>
    </w:p>
    <w:p w:rsidR="00D8785D" w:rsidRDefault="00061822" w:rsidP="00D8785D">
      <w:pPr>
        <w:spacing w:after="0" w:line="240" w:lineRule="auto"/>
        <w:rPr>
          <w:rFonts w:cstheme="minorHAnsi"/>
          <w:i w:val="0"/>
          <w:sz w:val="16"/>
          <w:szCs w:val="16"/>
        </w:rPr>
      </w:pPr>
      <w:r>
        <w:rPr>
          <w:rFonts w:cstheme="minorHAnsi"/>
          <w:i w:val="0"/>
          <w:sz w:val="16"/>
          <w:szCs w:val="16"/>
        </w:rPr>
        <w:t xml:space="preserve">b. </w:t>
      </w:r>
      <w:r w:rsidRPr="00DA7310">
        <w:rPr>
          <w:rFonts w:cstheme="minorHAnsi"/>
          <w:i w:val="0"/>
          <w:sz w:val="16"/>
          <w:szCs w:val="16"/>
        </w:rPr>
        <w:t>Data from the original paper (of for example course length) were used if these data were not available for the completer sample.</w:t>
      </w:r>
      <w:r w:rsidR="004E0BE4">
        <w:rPr>
          <w:rFonts w:cstheme="minorHAnsi"/>
          <w:i w:val="0"/>
          <w:sz w:val="16"/>
          <w:szCs w:val="16"/>
        </w:rPr>
        <w:t xml:space="preserve"> </w:t>
      </w:r>
    </w:p>
    <w:sectPr w:rsidR="00D8785D" w:rsidSect="004E0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4"/>
    <w:multiLevelType w:val="multilevel"/>
    <w:tmpl w:val="19B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91CF5"/>
    <w:multiLevelType w:val="hybridMultilevel"/>
    <w:tmpl w:val="80BC16DC"/>
    <w:lvl w:ilvl="0" w:tplc="99CA87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4D9B"/>
    <w:multiLevelType w:val="hybridMultilevel"/>
    <w:tmpl w:val="BCFEFC4E"/>
    <w:lvl w:ilvl="0" w:tplc="513CE6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099"/>
    <w:multiLevelType w:val="hybridMultilevel"/>
    <w:tmpl w:val="C57A94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2467"/>
    <w:multiLevelType w:val="hybridMultilevel"/>
    <w:tmpl w:val="BDBC578C"/>
    <w:lvl w:ilvl="0" w:tplc="144CE5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63C0"/>
    <w:multiLevelType w:val="multilevel"/>
    <w:tmpl w:val="F0E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D43BA"/>
    <w:multiLevelType w:val="hybridMultilevel"/>
    <w:tmpl w:val="8836161C"/>
    <w:lvl w:ilvl="0" w:tplc="DFA07F0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0C2"/>
    <w:multiLevelType w:val="hybridMultilevel"/>
    <w:tmpl w:val="D85869C0"/>
    <w:lvl w:ilvl="0" w:tplc="45B0FB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8CD"/>
    <w:multiLevelType w:val="hybridMultilevel"/>
    <w:tmpl w:val="1E5C1616"/>
    <w:lvl w:ilvl="0" w:tplc="47ECBCA8">
      <w:start w:val="4"/>
      <w:numFmt w:val="bullet"/>
      <w:lvlText w:val="-"/>
      <w:lvlJc w:val="left"/>
      <w:pPr>
        <w:ind w:left="24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9" w15:restartNumberingAfterBreak="0">
    <w:nsid w:val="34D04DB5"/>
    <w:multiLevelType w:val="hybridMultilevel"/>
    <w:tmpl w:val="9726F8B6"/>
    <w:lvl w:ilvl="0" w:tplc="21D43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A2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58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8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AC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0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E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6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03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516928"/>
    <w:multiLevelType w:val="hybridMultilevel"/>
    <w:tmpl w:val="82A09F48"/>
    <w:lvl w:ilvl="0" w:tplc="634E46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51F45"/>
    <w:multiLevelType w:val="hybridMultilevel"/>
    <w:tmpl w:val="90349306"/>
    <w:lvl w:ilvl="0" w:tplc="25E2BE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12E55"/>
    <w:multiLevelType w:val="hybridMultilevel"/>
    <w:tmpl w:val="96A256AE"/>
    <w:lvl w:ilvl="0" w:tplc="052CAE1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2133"/>
    <w:multiLevelType w:val="hybridMultilevel"/>
    <w:tmpl w:val="376693D2"/>
    <w:lvl w:ilvl="0" w:tplc="C34CD0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B67"/>
    <w:multiLevelType w:val="hybridMultilevel"/>
    <w:tmpl w:val="1B4C9C22"/>
    <w:lvl w:ilvl="0" w:tplc="5A2A8F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2E32"/>
    <w:multiLevelType w:val="hybridMultilevel"/>
    <w:tmpl w:val="EE0244AC"/>
    <w:lvl w:ilvl="0" w:tplc="B9A8D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90B24"/>
    <w:multiLevelType w:val="hybridMultilevel"/>
    <w:tmpl w:val="EAC400C8"/>
    <w:lvl w:ilvl="0" w:tplc="AA0E5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56062"/>
    <w:multiLevelType w:val="hybridMultilevel"/>
    <w:tmpl w:val="2EC493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D73F3"/>
    <w:multiLevelType w:val="hybridMultilevel"/>
    <w:tmpl w:val="BC766EAC"/>
    <w:lvl w:ilvl="0" w:tplc="630076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87D73"/>
    <w:multiLevelType w:val="hybridMultilevel"/>
    <w:tmpl w:val="FC248316"/>
    <w:lvl w:ilvl="0" w:tplc="CA583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F58A2"/>
    <w:multiLevelType w:val="hybridMultilevel"/>
    <w:tmpl w:val="5D18E3CA"/>
    <w:lvl w:ilvl="0" w:tplc="C8005BA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727114"/>
    <w:multiLevelType w:val="hybridMultilevel"/>
    <w:tmpl w:val="523C4F24"/>
    <w:lvl w:ilvl="0" w:tplc="771AACC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9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9"/>
  </w:num>
  <w:num w:numId="17">
    <w:abstractNumId w:val="4"/>
  </w:num>
  <w:num w:numId="18">
    <w:abstractNumId w:val="15"/>
  </w:num>
  <w:num w:numId="19">
    <w:abstractNumId w:val="18"/>
  </w:num>
  <w:num w:numId="20">
    <w:abstractNumId w:val="20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2"/>
    <w:rsid w:val="0005036E"/>
    <w:rsid w:val="00061822"/>
    <w:rsid w:val="00091395"/>
    <w:rsid w:val="000B4BAD"/>
    <w:rsid w:val="00132747"/>
    <w:rsid w:val="001776AF"/>
    <w:rsid w:val="001A2C96"/>
    <w:rsid w:val="00237736"/>
    <w:rsid w:val="002F476E"/>
    <w:rsid w:val="00300453"/>
    <w:rsid w:val="00360FAF"/>
    <w:rsid w:val="00373A93"/>
    <w:rsid w:val="003D0583"/>
    <w:rsid w:val="003F491D"/>
    <w:rsid w:val="00433A0B"/>
    <w:rsid w:val="004708DB"/>
    <w:rsid w:val="004815C7"/>
    <w:rsid w:val="004B377B"/>
    <w:rsid w:val="004E0BE4"/>
    <w:rsid w:val="004F5FA2"/>
    <w:rsid w:val="00525C0D"/>
    <w:rsid w:val="0059375C"/>
    <w:rsid w:val="005F632F"/>
    <w:rsid w:val="00635B8A"/>
    <w:rsid w:val="00722053"/>
    <w:rsid w:val="00756FC4"/>
    <w:rsid w:val="00774EB8"/>
    <w:rsid w:val="007A5D39"/>
    <w:rsid w:val="007E2E63"/>
    <w:rsid w:val="00833A27"/>
    <w:rsid w:val="00837FB8"/>
    <w:rsid w:val="0089484A"/>
    <w:rsid w:val="008E3DCD"/>
    <w:rsid w:val="00995E8B"/>
    <w:rsid w:val="009C073F"/>
    <w:rsid w:val="00A13AAF"/>
    <w:rsid w:val="00A858B1"/>
    <w:rsid w:val="00B17EEA"/>
    <w:rsid w:val="00B3504F"/>
    <w:rsid w:val="00B46A2A"/>
    <w:rsid w:val="00BD504E"/>
    <w:rsid w:val="00C177ED"/>
    <w:rsid w:val="00CB17E8"/>
    <w:rsid w:val="00CC034E"/>
    <w:rsid w:val="00D8785D"/>
    <w:rsid w:val="00D9427E"/>
    <w:rsid w:val="00DE6C7A"/>
    <w:rsid w:val="00E72256"/>
    <w:rsid w:val="00EF20C2"/>
    <w:rsid w:val="00F956DC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17B29-F419-4EA1-9BAD-0FD005E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822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22"/>
    <w:pPr>
      <w:pBdr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pBdr>
      <w:shd w:val="clear" w:color="auto" w:fill="95B3D7" w:themeFill="accent1" w:themeFillTint="99"/>
      <w:spacing w:before="480" w:after="100" w:line="269" w:lineRule="auto"/>
      <w:contextualSpacing/>
      <w:outlineLvl w:val="0"/>
    </w:pPr>
    <w:rPr>
      <w:rFonts w:eastAsiaTheme="majorEastAsia" w:cstheme="majorBidi"/>
      <w:b/>
      <w:bCs/>
      <w:i w:val="0"/>
      <w:color w:val="1F497D" w:themeColor="text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82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2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2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2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2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2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22"/>
    <w:rPr>
      <w:rFonts w:eastAsiaTheme="majorEastAsia" w:cstheme="majorBidi"/>
      <w:b/>
      <w:bCs/>
      <w:iCs/>
      <w:color w:val="1F497D" w:themeColor="text2"/>
      <w:shd w:val="clear" w:color="auto" w:fill="95B3D7" w:themeFill="accent1" w:themeFillTint="99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22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22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2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styleId="Strong">
    <w:name w:val="Strong"/>
    <w:uiPriority w:val="22"/>
    <w:qFormat/>
    <w:rsid w:val="00061822"/>
    <w:rPr>
      <w:b/>
      <w:bCs/>
      <w:spacing w:val="0"/>
    </w:rPr>
  </w:style>
  <w:style w:type="character" w:styleId="BookTitle">
    <w:name w:val="Book Title"/>
    <w:uiPriority w:val="33"/>
    <w:qFormat/>
    <w:rsid w:val="0006182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6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1822"/>
    <w:rPr>
      <w:rFonts w:ascii="Courier New" w:eastAsia="Times New Roman" w:hAnsi="Courier New" w:cs="Courier New"/>
      <w:i/>
      <w:iCs/>
      <w:sz w:val="20"/>
      <w:szCs w:val="20"/>
      <w:lang w:val="en-US" w:eastAsia="nl-BE" w:bidi="en-US"/>
    </w:rPr>
  </w:style>
  <w:style w:type="paragraph" w:styleId="NormalWeb">
    <w:name w:val="Normal (Web)"/>
    <w:basedOn w:val="Normal"/>
    <w:uiPriority w:val="99"/>
    <w:unhideWhenUsed/>
    <w:rsid w:val="000618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618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22"/>
    <w:rPr>
      <w:rFonts w:eastAsiaTheme="minorEastAsia"/>
      <w:i/>
      <w:iCs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061822"/>
    <w:pPr>
      <w:ind w:left="720"/>
      <w:contextualSpacing/>
    </w:pPr>
  </w:style>
  <w:style w:type="table" w:styleId="TableGrid">
    <w:name w:val="Table Grid"/>
    <w:basedOn w:val="TableNormal"/>
    <w:uiPriority w:val="59"/>
    <w:rsid w:val="0006182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061822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nl-NL" w:eastAsia="nl-NL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1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822"/>
    <w:rPr>
      <w:rFonts w:ascii="Cambria" w:eastAsia="Cambria" w:hAnsi="Cambria" w:cs="Cambria"/>
      <w:color w:val="000000"/>
      <w:lang w:val="nl-NL"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822"/>
    <w:rPr>
      <w:rFonts w:ascii="Cambria" w:eastAsia="Cambria" w:hAnsi="Cambria" w:cs="Cambria"/>
      <w:i/>
      <w:iCs/>
      <w:color w:val="000000"/>
      <w:sz w:val="20"/>
      <w:szCs w:val="20"/>
      <w:lang w:val="nl-NL" w:eastAsia="nl-NL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2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22"/>
    <w:rPr>
      <w:rFonts w:eastAsiaTheme="minorEastAsia"/>
      <w:i/>
      <w:iCs/>
      <w:sz w:val="16"/>
      <w:szCs w:val="16"/>
      <w:lang w:val="en-US" w:bidi="en-US"/>
    </w:rPr>
  </w:style>
  <w:style w:type="paragraph" w:styleId="NoSpacing">
    <w:name w:val="No Spacing"/>
    <w:basedOn w:val="Normal"/>
    <w:uiPriority w:val="1"/>
    <w:qFormat/>
    <w:rsid w:val="000618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182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822"/>
  </w:style>
  <w:style w:type="character" w:styleId="FollowedHyperlink">
    <w:name w:val="FollowedHyperlink"/>
    <w:basedOn w:val="DefaultParagraphFont"/>
    <w:uiPriority w:val="99"/>
    <w:semiHidden/>
    <w:unhideWhenUsed/>
    <w:rsid w:val="00061822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customStyle="1" w:styleId="bulleted">
    <w:name w:val="bulleted"/>
    <w:basedOn w:val="Normal"/>
    <w:rsid w:val="000618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MediumList11">
    <w:name w:val="Medium List 11"/>
    <w:basedOn w:val="TableNormal"/>
    <w:uiPriority w:val="65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List-Accent1">
    <w:name w:val="Colorful List Accent 1"/>
    <w:basedOn w:val="TableNormal"/>
    <w:uiPriority w:val="72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1">
    <w:name w:val="Colorful Grid Accent 1"/>
    <w:basedOn w:val="TableNorma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Shading-Accent5">
    <w:name w:val="Colorful Shading Accent 5"/>
    <w:basedOn w:val="TableNorma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61822"/>
    <w:pPr>
      <w:spacing w:after="0" w:line="240" w:lineRule="auto"/>
    </w:pPr>
    <w:rPr>
      <w:rFonts w:eastAsiaTheme="minorEastAsia"/>
      <w:color w:val="000000" w:themeColor="text1"/>
      <w:lang w:val="en-US"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1">
    <w:name w:val="Medium Grid 1 Accent 1"/>
    <w:basedOn w:val="TableNormal"/>
    <w:uiPriority w:val="67"/>
    <w:rsid w:val="00061822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6182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182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18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2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182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6182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61822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2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2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SubtleEmphasis">
    <w:name w:val="Subtle Emphasis"/>
    <w:uiPriority w:val="19"/>
    <w:qFormat/>
    <w:rsid w:val="0006182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618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6182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61822"/>
    <w:rPr>
      <w:b/>
      <w:bCs/>
      <w:i/>
      <w:iCs/>
      <w:smallCaps/>
      <w:color w:val="C0504D" w:themeColor="accent2"/>
      <w:u w:color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822"/>
    <w:pPr>
      <w:outlineLvl w:val="9"/>
    </w:pPr>
  </w:style>
  <w:style w:type="paragraph" w:styleId="Revision">
    <w:name w:val="Revision"/>
    <w:hidden/>
    <w:uiPriority w:val="99"/>
    <w:semiHidden/>
    <w:rsid w:val="00061822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822"/>
    <w:pPr>
      <w:spacing w:line="240" w:lineRule="auto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822"/>
    <w:rPr>
      <w:rFonts w:ascii="Cambria" w:eastAsiaTheme="minorEastAsia" w:hAnsi="Cambria" w:cs="Cambria"/>
      <w:b/>
      <w:bCs/>
      <w:i/>
      <w:iCs/>
      <w:color w:val="000000"/>
      <w:sz w:val="20"/>
      <w:szCs w:val="20"/>
      <w:lang w:val="en-US" w:eastAsia="nl-NL" w:bidi="en-US"/>
    </w:rPr>
  </w:style>
  <w:style w:type="character" w:customStyle="1" w:styleId="highlight">
    <w:name w:val="highlight"/>
    <w:basedOn w:val="DefaultParagraphFont"/>
    <w:rsid w:val="00061822"/>
  </w:style>
  <w:style w:type="character" w:customStyle="1" w:styleId="ui-ncbitoggler-master-text">
    <w:name w:val="ui-ncbitoggler-master-text"/>
    <w:basedOn w:val="DefaultParagraphFont"/>
    <w:rsid w:val="00061822"/>
  </w:style>
  <w:style w:type="table" w:customStyle="1" w:styleId="LightShading-Accent11">
    <w:name w:val="Light Shading - Accent 11"/>
    <w:basedOn w:val="TableNormal"/>
    <w:uiPriority w:val="60"/>
    <w:rsid w:val="00061822"/>
    <w:pPr>
      <w:spacing w:after="0" w:line="240" w:lineRule="auto"/>
    </w:pPr>
    <w:rPr>
      <w:rFonts w:eastAsiaTheme="minorEastAsia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ef-journal">
    <w:name w:val="ref-journal"/>
    <w:basedOn w:val="DefaultParagraphFont"/>
    <w:rsid w:val="0006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FED1DA-3887-41A1-AC69-CACBA12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Diermen</dc:creator>
  <cp:lastModifiedBy>Andrew Morris</cp:lastModifiedBy>
  <cp:revision>2</cp:revision>
  <cp:lastPrinted>2016-12-05T10:07:00Z</cp:lastPrinted>
  <dcterms:created xsi:type="dcterms:W3CDTF">2017-11-14T10:25:00Z</dcterms:created>
  <dcterms:modified xsi:type="dcterms:W3CDTF">2017-11-14T10:25:00Z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