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E1AA4B" w14:textId="77777777" w:rsidR="001F4A17" w:rsidRDefault="001F4A17"/>
    <w:p w14:paraId="124ED724" w14:textId="77777777" w:rsidR="00862816" w:rsidRDefault="00862816"/>
    <w:p w14:paraId="75A03606" w14:textId="77777777" w:rsidR="009777BB" w:rsidRPr="00F01BD0" w:rsidRDefault="009777BB" w:rsidP="009777BB">
      <w:pPr>
        <w:rPr>
          <w:rFonts w:ascii="Arial" w:hAnsi="Arial" w:cs="Arial"/>
          <w:b/>
          <w:sz w:val="28"/>
          <w:szCs w:val="28"/>
        </w:rPr>
      </w:pPr>
      <w:r>
        <w:rPr>
          <w:rFonts w:ascii="Arial" w:hAnsi="Arial" w:cs="Arial"/>
          <w:b/>
          <w:sz w:val="28"/>
          <w:szCs w:val="28"/>
        </w:rPr>
        <w:t>Treatment-resistant depression and peripheral C-reactive protein</w:t>
      </w:r>
    </w:p>
    <w:p w14:paraId="3976DD4A" w14:textId="77777777" w:rsidR="00AA6A90" w:rsidRPr="00975C46" w:rsidRDefault="00AA6A90" w:rsidP="00AA6A90">
      <w:pPr>
        <w:jc w:val="both"/>
        <w:rPr>
          <w:rFonts w:ascii="Arial" w:hAnsi="Arial" w:cs="Arial"/>
        </w:rPr>
      </w:pPr>
      <w:r w:rsidRPr="00975C46">
        <w:rPr>
          <w:rFonts w:ascii="Arial" w:hAnsi="Arial" w:cs="Arial"/>
        </w:rPr>
        <w:t>Samuel R</w:t>
      </w:r>
      <w:r>
        <w:rPr>
          <w:rFonts w:ascii="Arial" w:hAnsi="Arial" w:cs="Arial"/>
        </w:rPr>
        <w:t>.</w:t>
      </w:r>
      <w:r w:rsidRPr="00975C46">
        <w:rPr>
          <w:rFonts w:ascii="Arial" w:hAnsi="Arial" w:cs="Arial"/>
        </w:rPr>
        <w:t xml:space="preserve"> Chamberlain</w:t>
      </w:r>
      <w:r w:rsidRPr="00975C46">
        <w:rPr>
          <w:rFonts w:ascii="Arial" w:hAnsi="Arial" w:cs="Arial"/>
          <w:vertAlign w:val="superscript"/>
        </w:rPr>
        <w:t>1,2</w:t>
      </w:r>
      <w:r w:rsidRPr="00975C46">
        <w:rPr>
          <w:rFonts w:ascii="Arial" w:hAnsi="Arial" w:cs="Arial"/>
        </w:rPr>
        <w:t>*, Jonathan Cavanagh</w:t>
      </w:r>
      <w:r w:rsidRPr="00975C46">
        <w:rPr>
          <w:rFonts w:ascii="Arial" w:hAnsi="Arial" w:cs="Arial"/>
          <w:vertAlign w:val="superscript"/>
        </w:rPr>
        <w:t>3</w:t>
      </w:r>
      <w:r w:rsidRPr="00975C46">
        <w:rPr>
          <w:rFonts w:ascii="Arial" w:hAnsi="Arial" w:cs="Arial"/>
        </w:rPr>
        <w:t xml:space="preserve">, Peter de </w:t>
      </w:r>
      <w:r w:rsidRPr="008D1679">
        <w:rPr>
          <w:rFonts w:ascii="Arial" w:hAnsi="Arial" w:cs="Arial"/>
        </w:rPr>
        <w:t>Boer</w:t>
      </w:r>
      <w:r w:rsidRPr="008D1679">
        <w:rPr>
          <w:rFonts w:ascii="Arial" w:hAnsi="Arial" w:cs="Arial"/>
          <w:vertAlign w:val="superscript"/>
        </w:rPr>
        <w:t>4</w:t>
      </w:r>
      <w:r w:rsidRPr="008D1679">
        <w:rPr>
          <w:rFonts w:ascii="Arial" w:hAnsi="Arial" w:cs="Arial"/>
        </w:rPr>
        <w:t>, Valeria Mondelli</w:t>
      </w:r>
      <w:r w:rsidRPr="008D1679">
        <w:rPr>
          <w:rFonts w:ascii="Arial" w:hAnsi="Arial" w:cs="Arial"/>
          <w:vertAlign w:val="superscript"/>
        </w:rPr>
        <w:t>5</w:t>
      </w:r>
      <w:r w:rsidRPr="008D1679">
        <w:rPr>
          <w:rFonts w:ascii="Arial" w:hAnsi="Arial" w:cs="Arial"/>
        </w:rPr>
        <w:t>, Declan Jones</w:t>
      </w:r>
      <w:r w:rsidRPr="008D1679">
        <w:rPr>
          <w:rFonts w:ascii="Arial" w:hAnsi="Arial" w:cs="Arial"/>
          <w:vertAlign w:val="superscript"/>
        </w:rPr>
        <w:t>6</w:t>
      </w:r>
      <w:r w:rsidRPr="008D1679">
        <w:rPr>
          <w:rFonts w:ascii="Arial" w:hAnsi="Arial" w:cs="Arial"/>
        </w:rPr>
        <w:t>, Wayne C. Drevets</w:t>
      </w:r>
      <w:r w:rsidRPr="008D1679">
        <w:rPr>
          <w:rFonts w:ascii="Arial" w:hAnsi="Arial" w:cs="Arial"/>
          <w:vertAlign w:val="superscript"/>
        </w:rPr>
        <w:t>6</w:t>
      </w:r>
      <w:r w:rsidRPr="008D1679">
        <w:rPr>
          <w:rFonts w:ascii="Arial" w:hAnsi="Arial" w:cs="Arial"/>
        </w:rPr>
        <w:t>, Philip J. Cowen</w:t>
      </w:r>
      <w:r w:rsidRPr="008D1679">
        <w:rPr>
          <w:rFonts w:ascii="Arial" w:hAnsi="Arial" w:cs="Arial"/>
          <w:vertAlign w:val="superscript"/>
        </w:rPr>
        <w:t>7</w:t>
      </w:r>
      <w:r w:rsidRPr="008D1679">
        <w:rPr>
          <w:rFonts w:ascii="Arial" w:hAnsi="Arial" w:cs="Arial"/>
        </w:rPr>
        <w:t>, Neil A. Harrison</w:t>
      </w:r>
      <w:r w:rsidRPr="008D1679">
        <w:rPr>
          <w:rFonts w:ascii="Arial" w:hAnsi="Arial" w:cs="Arial"/>
          <w:vertAlign w:val="superscript"/>
        </w:rPr>
        <w:t>8,9</w:t>
      </w:r>
      <w:r w:rsidRPr="008D1679">
        <w:rPr>
          <w:rFonts w:ascii="Arial" w:hAnsi="Arial" w:cs="Arial"/>
        </w:rPr>
        <w:t>, Linda Pointon</w:t>
      </w:r>
      <w:r w:rsidRPr="008D1679">
        <w:rPr>
          <w:rFonts w:ascii="Arial" w:hAnsi="Arial" w:cs="Arial"/>
          <w:vertAlign w:val="superscript"/>
        </w:rPr>
        <w:t>1</w:t>
      </w:r>
      <w:r w:rsidRPr="008D1679">
        <w:rPr>
          <w:rFonts w:ascii="Arial" w:hAnsi="Arial" w:cs="Arial"/>
        </w:rPr>
        <w:t>, NIMA Consortium, Carmine M. Pariante</w:t>
      </w:r>
      <w:r w:rsidRPr="008D1679">
        <w:rPr>
          <w:rFonts w:ascii="Arial" w:hAnsi="Arial" w:cs="Arial"/>
          <w:vertAlign w:val="superscript"/>
        </w:rPr>
        <w:t>10#</w:t>
      </w:r>
      <w:r w:rsidRPr="008D1679">
        <w:rPr>
          <w:rFonts w:ascii="Arial" w:hAnsi="Arial" w:cs="Arial"/>
        </w:rPr>
        <w:t>, Edward T. Bullmore</w:t>
      </w:r>
      <w:r w:rsidRPr="008D1679">
        <w:rPr>
          <w:rFonts w:ascii="Arial" w:hAnsi="Arial" w:cs="Arial"/>
          <w:vertAlign w:val="superscript"/>
        </w:rPr>
        <w:t>1,2,11#</w:t>
      </w:r>
      <w:r w:rsidRPr="00975C46">
        <w:rPr>
          <w:rFonts w:ascii="Arial" w:hAnsi="Arial" w:cs="Arial"/>
        </w:rPr>
        <w:tab/>
      </w:r>
    </w:p>
    <w:p w14:paraId="2A196EBE" w14:textId="77777777" w:rsidR="00AA6A90" w:rsidRDefault="00AA6A90" w:rsidP="00AA6A90">
      <w:pPr>
        <w:rPr>
          <w:rFonts w:ascii="Arial" w:hAnsi="Arial" w:cs="Arial"/>
        </w:rPr>
      </w:pPr>
    </w:p>
    <w:p w14:paraId="2CBA26C6" w14:textId="77777777" w:rsidR="00AA6A90" w:rsidRDefault="00AA6A90" w:rsidP="00AA6A90">
      <w:pPr>
        <w:rPr>
          <w:rFonts w:ascii="Arial" w:hAnsi="Arial" w:cs="Arial"/>
        </w:rPr>
      </w:pPr>
      <w:r w:rsidRPr="004D1C45">
        <w:rPr>
          <w:rFonts w:ascii="Arial" w:hAnsi="Arial" w:cs="Arial"/>
          <w:vertAlign w:val="superscript"/>
        </w:rPr>
        <w:t>1</w:t>
      </w:r>
      <w:r>
        <w:rPr>
          <w:rFonts w:ascii="Arial" w:hAnsi="Arial" w:cs="Arial"/>
        </w:rPr>
        <w:t xml:space="preserve"> </w:t>
      </w:r>
      <w:r w:rsidRPr="00F01BD0">
        <w:rPr>
          <w:rFonts w:ascii="Arial" w:hAnsi="Arial" w:cs="Arial"/>
        </w:rPr>
        <w:t>Department of Psychiatry,</w:t>
      </w:r>
      <w:r>
        <w:rPr>
          <w:rFonts w:ascii="Arial" w:hAnsi="Arial" w:cs="Arial"/>
        </w:rPr>
        <w:t xml:space="preserve"> School of Clinical Medicine, University of Cambridge, CB2 0SZ, UK</w:t>
      </w:r>
    </w:p>
    <w:p w14:paraId="7C6E3E4C" w14:textId="77777777" w:rsidR="00AA6A90" w:rsidRDefault="00AA6A90" w:rsidP="00AA6A90">
      <w:pPr>
        <w:rPr>
          <w:rFonts w:ascii="Arial" w:hAnsi="Arial" w:cs="Arial"/>
        </w:rPr>
      </w:pPr>
    </w:p>
    <w:p w14:paraId="2C58F34B" w14:textId="77777777" w:rsidR="00AA6A90" w:rsidRDefault="00AA6A90" w:rsidP="00AA6A90">
      <w:pPr>
        <w:rPr>
          <w:rFonts w:ascii="Arial" w:hAnsi="Arial" w:cs="Arial"/>
        </w:rPr>
      </w:pPr>
      <w:r w:rsidRPr="004D1C45">
        <w:rPr>
          <w:rFonts w:ascii="Arial" w:hAnsi="Arial" w:cs="Arial"/>
          <w:vertAlign w:val="superscript"/>
        </w:rPr>
        <w:t>2</w:t>
      </w:r>
      <w:r>
        <w:rPr>
          <w:rFonts w:ascii="Arial" w:hAnsi="Arial" w:cs="Arial"/>
        </w:rPr>
        <w:t xml:space="preserve"> </w:t>
      </w:r>
      <w:r w:rsidRPr="00F01BD0">
        <w:rPr>
          <w:rFonts w:ascii="Arial" w:hAnsi="Arial" w:cs="Arial"/>
        </w:rPr>
        <w:t>Cambridge</w:t>
      </w:r>
      <w:r>
        <w:rPr>
          <w:rFonts w:ascii="Arial" w:hAnsi="Arial" w:cs="Arial"/>
        </w:rPr>
        <w:t>shire</w:t>
      </w:r>
      <w:r w:rsidRPr="00F01BD0">
        <w:rPr>
          <w:rFonts w:ascii="Arial" w:hAnsi="Arial" w:cs="Arial"/>
        </w:rPr>
        <w:t xml:space="preserve"> and Peterborough NHS Foundation Trust, </w:t>
      </w:r>
      <w:r>
        <w:rPr>
          <w:rFonts w:ascii="Arial" w:hAnsi="Arial" w:cs="Arial"/>
        </w:rPr>
        <w:t xml:space="preserve">Cambridge, CB21 5EF, </w:t>
      </w:r>
      <w:r w:rsidRPr="00F01BD0">
        <w:rPr>
          <w:rFonts w:ascii="Arial" w:hAnsi="Arial" w:cs="Arial"/>
        </w:rPr>
        <w:t>UK</w:t>
      </w:r>
    </w:p>
    <w:p w14:paraId="6B7A41E9" w14:textId="77777777" w:rsidR="00AA6A90" w:rsidRDefault="00AA6A90" w:rsidP="00AA6A90">
      <w:pPr>
        <w:rPr>
          <w:rFonts w:ascii="Arial" w:hAnsi="Arial" w:cs="Arial"/>
        </w:rPr>
      </w:pPr>
    </w:p>
    <w:p w14:paraId="4C3F744A" w14:textId="77777777" w:rsidR="00AA6A90" w:rsidRDefault="00AA6A90" w:rsidP="00AA6A90">
      <w:pPr>
        <w:rPr>
          <w:rFonts w:ascii="Arial" w:hAnsi="Arial" w:cs="Arial"/>
        </w:rPr>
      </w:pPr>
      <w:r w:rsidRPr="004D1C45">
        <w:rPr>
          <w:rFonts w:ascii="Arial" w:hAnsi="Arial" w:cs="Arial"/>
          <w:vertAlign w:val="superscript"/>
        </w:rPr>
        <w:t>3</w:t>
      </w:r>
      <w:r>
        <w:rPr>
          <w:rFonts w:ascii="Arial" w:hAnsi="Arial" w:cs="Arial"/>
        </w:rPr>
        <w:t xml:space="preserve"> Sackler Centre, Institute of Health &amp; Wellbeing, University of Glasgow, Sir Graeme Davies Building</w:t>
      </w:r>
      <w:r w:rsidRPr="00975C46" w:rsidDel="00F06F8B">
        <w:rPr>
          <w:rFonts w:ascii="Arial" w:hAnsi="Arial" w:cs="Arial"/>
        </w:rPr>
        <w:t xml:space="preserve"> </w:t>
      </w:r>
      <w:r>
        <w:rPr>
          <w:rFonts w:ascii="Arial" w:hAnsi="Arial" w:cs="Arial"/>
        </w:rPr>
        <w:t xml:space="preserve">, </w:t>
      </w:r>
      <w:r w:rsidRPr="00975C46">
        <w:rPr>
          <w:rFonts w:ascii="Arial" w:hAnsi="Arial" w:cs="Arial"/>
        </w:rPr>
        <w:t>Glasgow</w:t>
      </w:r>
      <w:r>
        <w:rPr>
          <w:rFonts w:ascii="Arial" w:hAnsi="Arial" w:cs="Arial"/>
        </w:rPr>
        <w:t>,</w:t>
      </w:r>
      <w:r w:rsidRPr="00975C46">
        <w:rPr>
          <w:rFonts w:ascii="Arial" w:hAnsi="Arial" w:cs="Arial"/>
        </w:rPr>
        <w:t xml:space="preserve"> G12 8</w:t>
      </w:r>
      <w:r>
        <w:rPr>
          <w:rFonts w:ascii="Arial" w:hAnsi="Arial" w:cs="Arial"/>
        </w:rPr>
        <w:t xml:space="preserve">TA, UK </w:t>
      </w:r>
    </w:p>
    <w:p w14:paraId="395D2369" w14:textId="77777777" w:rsidR="00AA6A90" w:rsidRDefault="00AA6A90" w:rsidP="00AA6A90">
      <w:pPr>
        <w:rPr>
          <w:rFonts w:ascii="Arial" w:hAnsi="Arial" w:cs="Arial"/>
        </w:rPr>
      </w:pPr>
    </w:p>
    <w:p w14:paraId="45243588" w14:textId="77777777" w:rsidR="00AA6A90" w:rsidRDefault="00AA6A90" w:rsidP="00AA6A90">
      <w:pPr>
        <w:rPr>
          <w:rFonts w:ascii="Arial" w:hAnsi="Arial" w:cs="Arial"/>
        </w:rPr>
      </w:pPr>
      <w:r w:rsidRPr="004D1C45">
        <w:rPr>
          <w:rFonts w:ascii="Arial" w:hAnsi="Arial" w:cs="Arial"/>
          <w:vertAlign w:val="superscript"/>
        </w:rPr>
        <w:t>4</w:t>
      </w:r>
      <w:r>
        <w:rPr>
          <w:rFonts w:ascii="Arial" w:hAnsi="Arial" w:cs="Arial"/>
        </w:rPr>
        <w:t xml:space="preserve"> Neuroscience, Janssen Research &amp; Development, Janssen Pharmaceutica NV, Turnhoutseweg 30, B-2340, Beerse, Belgium</w:t>
      </w:r>
    </w:p>
    <w:p w14:paraId="192679B3" w14:textId="77777777" w:rsidR="00AA6A90" w:rsidRDefault="00AA6A90" w:rsidP="00AA6A90">
      <w:pPr>
        <w:rPr>
          <w:rFonts w:ascii="Arial" w:hAnsi="Arial" w:cs="Arial"/>
        </w:rPr>
      </w:pPr>
    </w:p>
    <w:p w14:paraId="741792F4" w14:textId="77777777" w:rsidR="00AA6A90" w:rsidRDefault="00AA6A90" w:rsidP="00AA6A90">
      <w:pPr>
        <w:rPr>
          <w:rFonts w:ascii="Arial" w:hAnsi="Arial" w:cs="Arial"/>
        </w:rPr>
      </w:pPr>
      <w:r w:rsidRPr="004D1C45">
        <w:rPr>
          <w:rFonts w:ascii="Arial" w:hAnsi="Arial" w:cs="Arial"/>
          <w:vertAlign w:val="superscript"/>
        </w:rPr>
        <w:t>5</w:t>
      </w:r>
      <w:r>
        <w:rPr>
          <w:rFonts w:ascii="Arial" w:hAnsi="Arial" w:cs="Arial"/>
          <w:vertAlign w:val="superscript"/>
        </w:rPr>
        <w:t xml:space="preserve"> </w:t>
      </w:r>
      <w:r>
        <w:rPr>
          <w:rFonts w:ascii="Arial" w:hAnsi="Arial" w:cs="Arial"/>
        </w:rPr>
        <w:t xml:space="preserve">The Maurice </w:t>
      </w:r>
      <w:r w:rsidRPr="008D1679">
        <w:rPr>
          <w:rFonts w:ascii="Arial" w:hAnsi="Arial" w:cs="Arial"/>
        </w:rPr>
        <w:t>Wohl Clinical Neuroscience Institute, Cutcombe Road</w:t>
      </w:r>
      <w:r>
        <w:rPr>
          <w:rFonts w:ascii="Arial" w:hAnsi="Arial" w:cs="Arial"/>
        </w:rPr>
        <w:t xml:space="preserve">, </w:t>
      </w:r>
      <w:r w:rsidRPr="008D1679">
        <w:rPr>
          <w:rFonts w:ascii="Arial" w:hAnsi="Arial" w:cs="Arial"/>
        </w:rPr>
        <w:t>London</w:t>
      </w:r>
      <w:r>
        <w:rPr>
          <w:rFonts w:ascii="Arial" w:hAnsi="Arial" w:cs="Arial"/>
        </w:rPr>
        <w:t xml:space="preserve">, </w:t>
      </w:r>
      <w:r w:rsidRPr="008D1679">
        <w:rPr>
          <w:rFonts w:ascii="Arial" w:hAnsi="Arial" w:cs="Arial"/>
        </w:rPr>
        <w:t>SE5 9RT</w:t>
      </w:r>
      <w:r>
        <w:rPr>
          <w:rFonts w:ascii="Arial" w:hAnsi="Arial" w:cs="Arial"/>
        </w:rPr>
        <w:t>, UK</w:t>
      </w:r>
    </w:p>
    <w:p w14:paraId="476D8D0E" w14:textId="77777777" w:rsidR="00AA6A90" w:rsidRDefault="00AA6A90" w:rsidP="00AA6A90">
      <w:pPr>
        <w:rPr>
          <w:rFonts w:ascii="Arial" w:hAnsi="Arial" w:cs="Arial"/>
        </w:rPr>
      </w:pPr>
    </w:p>
    <w:p w14:paraId="50C93A03" w14:textId="77777777" w:rsidR="00AA6A90" w:rsidRDefault="00AA6A90" w:rsidP="00AA6A90">
      <w:pPr>
        <w:rPr>
          <w:rFonts w:ascii="Arial" w:hAnsi="Arial" w:cs="Arial"/>
        </w:rPr>
      </w:pPr>
      <w:r>
        <w:rPr>
          <w:rFonts w:ascii="Arial" w:hAnsi="Arial" w:cs="Arial"/>
          <w:vertAlign w:val="superscript"/>
        </w:rPr>
        <w:t>6</w:t>
      </w:r>
      <w:r>
        <w:rPr>
          <w:rFonts w:ascii="Arial" w:hAnsi="Arial" w:cs="Arial"/>
        </w:rPr>
        <w:t xml:space="preserve"> Neuroscience, Janssen Research &amp; Development, LLC, Titusville, NJ, 08560, USA</w:t>
      </w:r>
    </w:p>
    <w:p w14:paraId="52C35C75" w14:textId="77777777" w:rsidR="00AA6A90" w:rsidRDefault="00AA6A90" w:rsidP="00AA6A90">
      <w:pPr>
        <w:rPr>
          <w:rFonts w:ascii="Arial" w:hAnsi="Arial" w:cs="Arial"/>
        </w:rPr>
      </w:pPr>
    </w:p>
    <w:p w14:paraId="2BBEC667" w14:textId="77777777" w:rsidR="00AA6A90" w:rsidRDefault="00AA6A90" w:rsidP="00AA6A90">
      <w:pPr>
        <w:rPr>
          <w:rFonts w:ascii="Arial" w:hAnsi="Arial" w:cs="Arial"/>
        </w:rPr>
      </w:pPr>
      <w:r>
        <w:rPr>
          <w:rFonts w:ascii="Arial" w:hAnsi="Arial" w:cs="Arial"/>
          <w:vertAlign w:val="superscript"/>
        </w:rPr>
        <w:t>7</w:t>
      </w:r>
      <w:r>
        <w:rPr>
          <w:rFonts w:ascii="Arial" w:hAnsi="Arial" w:cs="Arial"/>
        </w:rPr>
        <w:t xml:space="preserve"> </w:t>
      </w:r>
      <w:r w:rsidRPr="001F0AF4">
        <w:rPr>
          <w:rFonts w:ascii="Arial" w:hAnsi="Arial" w:cs="Arial"/>
        </w:rPr>
        <w:t>University Department of Psychiatry, Warneford Hospital, Oxford</w:t>
      </w:r>
      <w:r>
        <w:rPr>
          <w:rFonts w:ascii="Arial" w:hAnsi="Arial" w:cs="Arial"/>
        </w:rPr>
        <w:t>,</w:t>
      </w:r>
      <w:r w:rsidRPr="001F0AF4">
        <w:rPr>
          <w:rFonts w:ascii="Arial" w:hAnsi="Arial" w:cs="Arial"/>
        </w:rPr>
        <w:t xml:space="preserve"> OX3 7JX</w:t>
      </w:r>
      <w:r>
        <w:rPr>
          <w:rFonts w:ascii="Arial" w:hAnsi="Arial" w:cs="Arial"/>
        </w:rPr>
        <w:t>, UK</w:t>
      </w:r>
    </w:p>
    <w:p w14:paraId="50CE2559" w14:textId="77777777" w:rsidR="00AA6A90" w:rsidRPr="00F01BD0" w:rsidRDefault="00AA6A90" w:rsidP="00AA6A90">
      <w:pPr>
        <w:rPr>
          <w:rFonts w:ascii="Arial" w:hAnsi="Arial" w:cs="Arial"/>
        </w:rPr>
      </w:pPr>
    </w:p>
    <w:p w14:paraId="0F7BAF90" w14:textId="77777777" w:rsidR="00AA6A90" w:rsidRDefault="00AA6A90" w:rsidP="00AA6A90">
      <w:pPr>
        <w:rPr>
          <w:rFonts w:ascii="Arial" w:hAnsi="Arial" w:cs="Arial"/>
        </w:rPr>
      </w:pPr>
      <w:r>
        <w:rPr>
          <w:rFonts w:ascii="Arial" w:hAnsi="Arial" w:cs="Arial"/>
          <w:vertAlign w:val="superscript"/>
        </w:rPr>
        <w:t>8</w:t>
      </w:r>
      <w:r>
        <w:rPr>
          <w:rFonts w:ascii="Arial" w:hAnsi="Arial" w:cs="Arial"/>
        </w:rPr>
        <w:t xml:space="preserve"> Brighton &amp; Sussex Medical School, University of Sussex, Brighton, BN1 9RR, UK</w:t>
      </w:r>
    </w:p>
    <w:p w14:paraId="170ACDD4" w14:textId="77777777" w:rsidR="00AA6A90" w:rsidRDefault="00AA6A90" w:rsidP="00AA6A90">
      <w:pPr>
        <w:rPr>
          <w:rFonts w:ascii="Arial" w:hAnsi="Arial" w:cs="Arial"/>
        </w:rPr>
      </w:pPr>
    </w:p>
    <w:p w14:paraId="1486FF6E" w14:textId="77777777" w:rsidR="00AA6A90" w:rsidRDefault="00AA6A90" w:rsidP="00AA6A90">
      <w:pPr>
        <w:rPr>
          <w:rFonts w:ascii="Arial" w:hAnsi="Arial" w:cs="Arial"/>
        </w:rPr>
      </w:pPr>
      <w:r>
        <w:rPr>
          <w:rFonts w:ascii="Arial" w:hAnsi="Arial" w:cs="Arial"/>
          <w:vertAlign w:val="superscript"/>
        </w:rPr>
        <w:t>9</w:t>
      </w:r>
      <w:r>
        <w:rPr>
          <w:rFonts w:ascii="Arial" w:hAnsi="Arial" w:cs="Arial"/>
        </w:rPr>
        <w:t xml:space="preserve"> Sussex Partnership NHS Foundation Trust, Swandean, BN13 3EP, UK</w:t>
      </w:r>
    </w:p>
    <w:p w14:paraId="1A01E865" w14:textId="77777777" w:rsidR="00AA6A90" w:rsidRDefault="00AA6A90" w:rsidP="00AA6A90">
      <w:pPr>
        <w:rPr>
          <w:rFonts w:ascii="Arial" w:hAnsi="Arial" w:cs="Arial"/>
        </w:rPr>
      </w:pPr>
    </w:p>
    <w:p w14:paraId="563D1E77" w14:textId="77777777" w:rsidR="00AA6A90" w:rsidRDefault="00AA6A90" w:rsidP="00AA6A90">
      <w:pPr>
        <w:rPr>
          <w:rFonts w:ascii="Arial" w:hAnsi="Arial" w:cs="Arial"/>
        </w:rPr>
      </w:pPr>
      <w:r>
        <w:rPr>
          <w:rFonts w:ascii="Arial" w:hAnsi="Arial" w:cs="Arial"/>
          <w:vertAlign w:val="superscript"/>
        </w:rPr>
        <w:t>10</w:t>
      </w:r>
      <w:r>
        <w:rPr>
          <w:rFonts w:ascii="Arial" w:hAnsi="Arial" w:cs="Arial"/>
        </w:rPr>
        <w:t xml:space="preserve"> </w:t>
      </w:r>
      <w:r w:rsidRPr="00AF6805">
        <w:rPr>
          <w:rFonts w:ascii="Arial" w:hAnsi="Arial" w:cs="Arial"/>
        </w:rPr>
        <w:t>Stress, Psychiatry and Immunology Lab &amp; Perinatal Psychiatry</w:t>
      </w:r>
      <w:r>
        <w:rPr>
          <w:rFonts w:ascii="Arial" w:hAnsi="Arial" w:cs="Arial"/>
        </w:rPr>
        <w:t xml:space="preserve">, </w:t>
      </w:r>
      <w:r w:rsidRPr="00AF6805">
        <w:rPr>
          <w:rFonts w:ascii="Arial" w:hAnsi="Arial" w:cs="Arial"/>
        </w:rPr>
        <w:t>Maurice Wohl Clinical Neuroscience Institute</w:t>
      </w:r>
      <w:r>
        <w:rPr>
          <w:rFonts w:ascii="Arial" w:hAnsi="Arial" w:cs="Arial"/>
        </w:rPr>
        <w:t xml:space="preserve">, Kings College, London, </w:t>
      </w:r>
      <w:r w:rsidRPr="00AF6805">
        <w:rPr>
          <w:rFonts w:ascii="Arial" w:hAnsi="Arial" w:cs="Arial"/>
        </w:rPr>
        <w:t>SE5 9RT</w:t>
      </w:r>
      <w:r>
        <w:rPr>
          <w:rFonts w:ascii="Arial" w:hAnsi="Arial" w:cs="Arial"/>
        </w:rPr>
        <w:t>, UK</w:t>
      </w:r>
    </w:p>
    <w:p w14:paraId="01C6A8C8" w14:textId="77777777" w:rsidR="00AA6A90" w:rsidRDefault="00AA6A90" w:rsidP="00AA6A90">
      <w:pPr>
        <w:rPr>
          <w:rFonts w:ascii="Arial" w:hAnsi="Arial" w:cs="Arial"/>
        </w:rPr>
      </w:pPr>
    </w:p>
    <w:p w14:paraId="3D45A333" w14:textId="77777777" w:rsidR="00AA6A90" w:rsidRDefault="00AA6A90" w:rsidP="00AA6A90">
      <w:pPr>
        <w:rPr>
          <w:rFonts w:ascii="Arial" w:hAnsi="Arial" w:cs="Arial"/>
        </w:rPr>
      </w:pPr>
      <w:r>
        <w:rPr>
          <w:rFonts w:ascii="Arial" w:hAnsi="Arial" w:cs="Arial"/>
          <w:vertAlign w:val="superscript"/>
        </w:rPr>
        <w:t>11</w:t>
      </w:r>
      <w:r>
        <w:rPr>
          <w:rFonts w:ascii="Arial" w:hAnsi="Arial" w:cs="Arial"/>
        </w:rPr>
        <w:t xml:space="preserve"> Immuno-Psychiatry, Immuno-Inflammation Therapeutic Area Unit, GlaxoSmithKline R&amp;D, Stevenage SG1 2NY, UK</w:t>
      </w:r>
    </w:p>
    <w:p w14:paraId="04B84BB1" w14:textId="77777777" w:rsidR="00AA6A90" w:rsidRDefault="00AA6A90">
      <w:pPr>
        <w:rPr>
          <w:b/>
          <w:sz w:val="24"/>
          <w:szCs w:val="24"/>
        </w:rPr>
      </w:pPr>
    </w:p>
    <w:p w14:paraId="26EFFDEA" w14:textId="4F40D1AA" w:rsidR="00D00AA7" w:rsidRPr="009777BB" w:rsidRDefault="00D00AA7">
      <w:pPr>
        <w:rPr>
          <w:b/>
          <w:sz w:val="24"/>
          <w:szCs w:val="24"/>
        </w:rPr>
      </w:pPr>
      <w:r w:rsidRPr="009777BB">
        <w:rPr>
          <w:b/>
          <w:sz w:val="24"/>
          <w:szCs w:val="24"/>
        </w:rPr>
        <w:lastRenderedPageBreak/>
        <w:t>Detailed participant eligibility criteria</w:t>
      </w:r>
    </w:p>
    <w:p w14:paraId="5FECD1DC" w14:textId="77777777" w:rsidR="00D00AA7" w:rsidRDefault="00D00AA7">
      <w:pPr>
        <w:rPr>
          <w:b/>
        </w:rPr>
      </w:pPr>
    </w:p>
    <w:p w14:paraId="1B3BD0EF" w14:textId="77777777" w:rsidR="00507993" w:rsidRPr="009777BB" w:rsidRDefault="00507993" w:rsidP="00507993">
      <w:pPr>
        <w:rPr>
          <w:b/>
        </w:rPr>
      </w:pPr>
      <w:r w:rsidRPr="009777BB">
        <w:rPr>
          <w:b/>
        </w:rPr>
        <w:t xml:space="preserve">Inclusion Criteria </w:t>
      </w:r>
    </w:p>
    <w:p w14:paraId="60CB211C" w14:textId="77777777" w:rsidR="00507993" w:rsidRDefault="00507993" w:rsidP="00507993"/>
    <w:p w14:paraId="6BC22987" w14:textId="77777777" w:rsidR="00507993" w:rsidRPr="009777BB" w:rsidRDefault="00507993" w:rsidP="00507993">
      <w:pPr>
        <w:rPr>
          <w:i/>
        </w:rPr>
      </w:pPr>
      <w:r w:rsidRPr="009777BB">
        <w:rPr>
          <w:i/>
        </w:rPr>
        <w:t>Participants with MDD</w:t>
      </w:r>
    </w:p>
    <w:p w14:paraId="12C011A3" w14:textId="77777777" w:rsidR="00507993" w:rsidRDefault="00507993" w:rsidP="00507993">
      <w:r>
        <w:t>· Major depressive disorder diagnosed by structured clinical interview in accordance with DSM</w:t>
      </w:r>
    </w:p>
    <w:p w14:paraId="6D715BC6" w14:textId="77777777" w:rsidR="00507993" w:rsidRDefault="00507993" w:rsidP="00507993">
      <w:r>
        <w:t>criteria</w:t>
      </w:r>
    </w:p>
    <w:p w14:paraId="30DAB8A9" w14:textId="77777777" w:rsidR="00507993" w:rsidRDefault="00507993" w:rsidP="00507993">
      <w:r>
        <w:t>· HAM-D score at baseline</w:t>
      </w:r>
    </w:p>
    <w:p w14:paraId="51EAFD71" w14:textId="77C718CD" w:rsidR="00507993" w:rsidRDefault="00507993" w:rsidP="00507993">
      <w:r>
        <w:t xml:space="preserve">a. </w:t>
      </w:r>
      <w:r w:rsidR="0098722C">
        <w:t>Treatment resistant</w:t>
      </w:r>
      <w:r>
        <w:t xml:space="preserve"> subgroup &gt; 13</w:t>
      </w:r>
    </w:p>
    <w:p w14:paraId="3F09ADEB" w14:textId="63A539BC" w:rsidR="00507993" w:rsidRDefault="0098722C" w:rsidP="00507993">
      <w:r>
        <w:t xml:space="preserve">b. Untreated </w:t>
      </w:r>
      <w:r w:rsidR="00507993">
        <w:t>subgroup &gt; 17</w:t>
      </w:r>
    </w:p>
    <w:p w14:paraId="7161F05A" w14:textId="6138F80E" w:rsidR="00507993" w:rsidRDefault="00507993" w:rsidP="00507993">
      <w:r>
        <w:t xml:space="preserve">c. </w:t>
      </w:r>
      <w:r w:rsidR="0098722C">
        <w:t>Treatment responsive</w:t>
      </w:r>
      <w:r>
        <w:t xml:space="preserve"> subgroup &lt; 7</w:t>
      </w:r>
    </w:p>
    <w:p w14:paraId="554EA0AF" w14:textId="77777777" w:rsidR="00507993" w:rsidRDefault="00507993" w:rsidP="00507993"/>
    <w:p w14:paraId="44773A4F" w14:textId="77777777" w:rsidR="00507993" w:rsidRPr="009777BB" w:rsidRDefault="00507993" w:rsidP="00507993">
      <w:pPr>
        <w:rPr>
          <w:i/>
        </w:rPr>
      </w:pPr>
      <w:r w:rsidRPr="009777BB">
        <w:rPr>
          <w:i/>
        </w:rPr>
        <w:t>All Participants (including Healthy Volunteers)</w:t>
      </w:r>
    </w:p>
    <w:p w14:paraId="2D04AF48" w14:textId="77777777" w:rsidR="00507993" w:rsidRDefault="00507993" w:rsidP="00507993">
      <w:r>
        <w:t>· Aged 25-50 years inclusive</w:t>
      </w:r>
    </w:p>
    <w:p w14:paraId="27C53B0B" w14:textId="77777777" w:rsidR="00507993" w:rsidRDefault="00507993" w:rsidP="00507993">
      <w:r>
        <w:t>· Able and willing to give informed consent, including consent to sharing of clinical information</w:t>
      </w:r>
    </w:p>
    <w:p w14:paraId="5476DF53" w14:textId="77777777" w:rsidR="00507993" w:rsidRDefault="00507993" w:rsidP="00507993">
      <w:r>
        <w:t>with the participant’s general practitioner</w:t>
      </w:r>
    </w:p>
    <w:p w14:paraId="6F62542F" w14:textId="77777777" w:rsidR="00507993" w:rsidRDefault="00507993" w:rsidP="00507993">
      <w:r>
        <w:t>· Able and willing to fast for 8 hours prior to blood draw</w:t>
      </w:r>
    </w:p>
    <w:p w14:paraId="2A447188" w14:textId="77777777" w:rsidR="00507993" w:rsidRDefault="00507993" w:rsidP="00507993">
      <w:r>
        <w:t>· Willing to abstain from strenuous exercise for 72 hours prior to assessment</w:t>
      </w:r>
    </w:p>
    <w:p w14:paraId="1EC43BF6" w14:textId="77777777" w:rsidR="00507993" w:rsidRDefault="00507993" w:rsidP="00507993">
      <w:r>
        <w:t>· Able to speak, write and understand English</w:t>
      </w:r>
    </w:p>
    <w:p w14:paraId="693CFFC4" w14:textId="77777777" w:rsidR="00507993" w:rsidRDefault="00507993" w:rsidP="00507993"/>
    <w:p w14:paraId="642CF345" w14:textId="77777777" w:rsidR="00507993" w:rsidRPr="009777BB" w:rsidRDefault="00507993" w:rsidP="00507993">
      <w:pPr>
        <w:rPr>
          <w:b/>
        </w:rPr>
      </w:pPr>
      <w:r w:rsidRPr="009777BB">
        <w:rPr>
          <w:b/>
        </w:rPr>
        <w:t>Exclusion Criteria</w:t>
      </w:r>
    </w:p>
    <w:p w14:paraId="2B7D7B94" w14:textId="77777777" w:rsidR="00507993" w:rsidRDefault="00507993" w:rsidP="00507993"/>
    <w:p w14:paraId="36703EAC" w14:textId="61912B84" w:rsidR="00507993" w:rsidRPr="0098722C" w:rsidRDefault="00507993" w:rsidP="00507993">
      <w:pPr>
        <w:rPr>
          <w:i/>
        </w:rPr>
      </w:pPr>
      <w:r w:rsidRPr="009777BB">
        <w:rPr>
          <w:i/>
        </w:rPr>
        <w:t>Participants with MDD</w:t>
      </w:r>
    </w:p>
    <w:p w14:paraId="0B212D12" w14:textId="77777777" w:rsidR="00507993" w:rsidRDefault="00507993" w:rsidP="00507993">
      <w:r>
        <w:t>· Life time history of bipolar disorder or non-affective psychosis</w:t>
      </w:r>
    </w:p>
    <w:p w14:paraId="12CAC430" w14:textId="77777777" w:rsidR="00507993" w:rsidRDefault="00507993" w:rsidP="00507993">
      <w:r>
        <w:t>Healthy Participants</w:t>
      </w:r>
    </w:p>
    <w:p w14:paraId="07D52535" w14:textId="77777777" w:rsidR="00507993" w:rsidRDefault="00507993" w:rsidP="00507993">
      <w:r>
        <w:t>· Personal history of MDD or treatment with a monoaminergic antidepressant for depressive</w:t>
      </w:r>
    </w:p>
    <w:p w14:paraId="17010579" w14:textId="77777777" w:rsidR="00507993" w:rsidRDefault="00507993" w:rsidP="00507993">
      <w:r>
        <w:t>symptoms or any other indication</w:t>
      </w:r>
    </w:p>
    <w:p w14:paraId="1D3BB4AC" w14:textId="77777777" w:rsidR="00507993" w:rsidRDefault="00507993" w:rsidP="00507993">
      <w:r>
        <w:t>· Current or past history of any major psychiatric disorder as defined by DSM-V</w:t>
      </w:r>
    </w:p>
    <w:p w14:paraId="168EE96D" w14:textId="77777777" w:rsidR="00507993" w:rsidRDefault="00507993" w:rsidP="00507993"/>
    <w:p w14:paraId="567EBA4B" w14:textId="193F5F84" w:rsidR="00507993" w:rsidRPr="0098722C" w:rsidRDefault="00507993" w:rsidP="00507993">
      <w:pPr>
        <w:rPr>
          <w:i/>
        </w:rPr>
      </w:pPr>
      <w:r w:rsidRPr="009777BB">
        <w:rPr>
          <w:i/>
        </w:rPr>
        <w:t>All Participants</w:t>
      </w:r>
    </w:p>
    <w:p w14:paraId="56BDB06D" w14:textId="77777777" w:rsidR="00507993" w:rsidRDefault="00507993" w:rsidP="00507993">
      <w:r>
        <w:t>· Concurrent medication likely to compromise the interpretation of immunological data (including,</w:t>
      </w:r>
    </w:p>
    <w:p w14:paraId="462635FD" w14:textId="77777777" w:rsidR="00507993" w:rsidRDefault="00507993" w:rsidP="00507993">
      <w:r>
        <w:lastRenderedPageBreak/>
        <w:t>but not limited to, corticosteroids or any other substance to be determined by the Principal</w:t>
      </w:r>
    </w:p>
    <w:p w14:paraId="42F2166F" w14:textId="77777777" w:rsidR="00507993" w:rsidRDefault="00507993" w:rsidP="00507993">
      <w:r>
        <w:t>Investigator or delegate)</w:t>
      </w:r>
    </w:p>
    <w:p w14:paraId="5C536CE6" w14:textId="77777777" w:rsidR="00507993" w:rsidRDefault="00507993" w:rsidP="00507993">
      <w:r>
        <w:t>· Pregnancy or breast feeding</w:t>
      </w:r>
    </w:p>
    <w:p w14:paraId="0785A5D3" w14:textId="77777777" w:rsidR="00507993" w:rsidRDefault="00507993" w:rsidP="00507993">
      <w:r>
        <w:t>· Active alcohol or drug abuse or dependence in the last 6 months</w:t>
      </w:r>
    </w:p>
    <w:p w14:paraId="2D374334" w14:textId="77777777" w:rsidR="00507993" w:rsidRDefault="00507993" w:rsidP="00507993">
      <w:r>
        <w:t>· Participation in clinical trial of an investigational drug within the last 12 months</w:t>
      </w:r>
    </w:p>
    <w:p w14:paraId="3C19FA88" w14:textId="77777777" w:rsidR="00507993" w:rsidRDefault="00507993" w:rsidP="00507993">
      <w:r>
        <w:t>· Lifetime history of any serious medical disorder likely to compromise the interpretation of</w:t>
      </w:r>
    </w:p>
    <w:p w14:paraId="4BAD08AD" w14:textId="77777777" w:rsidR="00507993" w:rsidRDefault="00507993" w:rsidP="00507993">
      <w:r>
        <w:t>immunological data (including, but not limited to, immunological disorders, cardiovascular</w:t>
      </w:r>
    </w:p>
    <w:p w14:paraId="4832A372" w14:textId="77777777" w:rsidR="00507993" w:rsidRDefault="00507993" w:rsidP="00507993">
      <w:r>
        <w:t>disorders, malignancies or infection, or any other condition to be determined by the Principal</w:t>
      </w:r>
    </w:p>
    <w:p w14:paraId="59B53B02" w14:textId="77777777" w:rsidR="0000798D" w:rsidRDefault="00507993" w:rsidP="00507993">
      <w:r>
        <w:t>Investigator or delegate)</w:t>
      </w:r>
    </w:p>
    <w:p w14:paraId="23FD26A0" w14:textId="77777777" w:rsidR="00507993" w:rsidRDefault="00507993" w:rsidP="00507993"/>
    <w:p w14:paraId="41BF8B09" w14:textId="2F400865" w:rsidR="0000798D" w:rsidRPr="0000798D" w:rsidRDefault="0000798D">
      <w:pPr>
        <w:rPr>
          <w:b/>
        </w:rPr>
      </w:pPr>
      <w:r w:rsidRPr="0000798D">
        <w:rPr>
          <w:b/>
        </w:rPr>
        <w:t>Details of assessment</w:t>
      </w:r>
      <w:r w:rsidR="0098722C">
        <w:rPr>
          <w:b/>
        </w:rPr>
        <w:t>s</w:t>
      </w:r>
    </w:p>
    <w:p w14:paraId="6C45B9F9" w14:textId="77777777" w:rsidR="0000798D" w:rsidRDefault="0000798D"/>
    <w:p w14:paraId="49FC8044" w14:textId="1C39A0BB" w:rsidR="0000798D" w:rsidRPr="00F01BD0" w:rsidRDefault="0000798D" w:rsidP="0000798D">
      <w:pPr>
        <w:spacing w:line="360" w:lineRule="auto"/>
        <w:rPr>
          <w:rFonts w:ascii="Arial" w:hAnsi="Arial" w:cs="Arial"/>
        </w:rPr>
      </w:pPr>
      <w:r w:rsidRPr="00F01BD0">
        <w:rPr>
          <w:rFonts w:ascii="Arial" w:hAnsi="Arial" w:cs="Arial"/>
        </w:rPr>
        <w:t xml:space="preserve">Age, gender, medical history, and family history were documented using semi-structured clinical interview. Record was made of height and weight, for the purposes of calculating body mass indices (BMI). Presence of MDD and other mental disorders was recorded using the validated Structured Clinical Interview (DSM-5 version) </w:t>
      </w:r>
      <w:r w:rsidRPr="00F01BD0">
        <w:rPr>
          <w:rFonts w:ascii="Arial" w:hAnsi="Arial" w:cs="Arial"/>
        </w:rPr>
        <w:fldChar w:fldCharType="begin"/>
      </w:r>
      <w:r w:rsidR="00E95E01">
        <w:rPr>
          <w:rFonts w:ascii="Arial" w:hAnsi="Arial" w:cs="Arial"/>
        </w:rPr>
        <w:instrText xml:space="preserve"> ADDIN EN.CITE &lt;EndNote&gt;&lt;Cite&gt;&lt;Author&gt;Spitzer&lt;/Author&gt;&lt;Year&gt;1996&lt;/Year&gt;&lt;RecNum&gt;196&lt;/RecNum&gt;&lt;DisplayText&gt;(Spitzer&lt;style face="italic"&gt; et al&lt;/style&gt;, 1996)&lt;/DisplayText&gt;&lt;record&gt;&lt;rec-number&gt;196&lt;/rec-number&gt;&lt;foreign-keys&gt;&lt;key app="EN" db-id="dxz20p0svpptdve29075rrsuzwa9dzp9w9we" timestamp="0"&gt;196&lt;/key&gt;&lt;/foreign-keys&gt;&lt;ref-type name="Book"&gt;6&lt;/ref-type&gt;&lt;contributors&gt;&lt;authors&gt;&lt;author&gt;Spitzer, M. B.&lt;/author&gt;&lt;author&gt;Miriam, G.&lt;/author&gt;&lt;author&gt;Williams, J. B.&lt;/author&gt;&lt;/authors&gt;&lt;/contributors&gt;&lt;titles&gt;&lt;title&gt;Structured Clinical Interview for DSM-IV Axis I disorders, clinician version (SCID)&lt;/title&gt;&lt;/titles&gt;&lt;dates&gt;&lt;year&gt;1996&lt;/year&gt;&lt;/dates&gt;&lt;publisher&gt;Washington, D.C. : American Psychiatric Press, Inc.&lt;/publisher&gt;&lt;urls&gt;&lt;/urls&gt;&lt;/record&gt;&lt;/Cite&gt;&lt;/EndNote&gt;</w:instrText>
      </w:r>
      <w:r w:rsidRPr="00F01BD0">
        <w:rPr>
          <w:rFonts w:ascii="Arial" w:hAnsi="Arial" w:cs="Arial"/>
        </w:rPr>
        <w:fldChar w:fldCharType="separate"/>
      </w:r>
      <w:r w:rsidR="00E95E01">
        <w:rPr>
          <w:rFonts w:ascii="Arial" w:hAnsi="Arial" w:cs="Arial"/>
          <w:noProof/>
        </w:rPr>
        <w:t>(</w:t>
      </w:r>
      <w:hyperlink w:anchor="_ENREF_9" w:tooltip="Spitzer, 1996 #196" w:history="1">
        <w:r w:rsidR="00E95E01">
          <w:rPr>
            <w:rFonts w:ascii="Arial" w:hAnsi="Arial" w:cs="Arial"/>
            <w:noProof/>
          </w:rPr>
          <w:t>Spitzer</w:t>
        </w:r>
        <w:r w:rsidR="00E95E01" w:rsidRPr="00E95E01">
          <w:rPr>
            <w:rFonts w:ascii="Arial" w:hAnsi="Arial" w:cs="Arial"/>
            <w:i/>
            <w:noProof/>
          </w:rPr>
          <w:t xml:space="preserve"> et al</w:t>
        </w:r>
        <w:r w:rsidR="00E95E01">
          <w:rPr>
            <w:rFonts w:ascii="Arial" w:hAnsi="Arial" w:cs="Arial"/>
            <w:noProof/>
          </w:rPr>
          <w:t>, 1996</w:t>
        </w:r>
      </w:hyperlink>
      <w:r w:rsidR="00E95E01">
        <w:rPr>
          <w:rFonts w:ascii="Arial" w:hAnsi="Arial" w:cs="Arial"/>
          <w:noProof/>
        </w:rPr>
        <w:t>)</w:t>
      </w:r>
      <w:r w:rsidRPr="00F01BD0">
        <w:rPr>
          <w:rFonts w:ascii="Arial" w:hAnsi="Arial" w:cs="Arial"/>
        </w:rPr>
        <w:fldChar w:fldCharType="end"/>
      </w:r>
      <w:r w:rsidRPr="00F01BD0">
        <w:rPr>
          <w:rFonts w:ascii="Arial" w:hAnsi="Arial" w:cs="Arial"/>
        </w:rPr>
        <w:t xml:space="preserve">, and antidepressant history was documented using the Antidepressant Treatment Response Questionnaire  (ATRQ) </w:t>
      </w:r>
      <w:r w:rsidRPr="00F01BD0">
        <w:rPr>
          <w:rFonts w:ascii="Arial" w:hAnsi="Arial" w:cs="Arial"/>
        </w:rPr>
        <w:fldChar w:fldCharType="begin">
          <w:fldData xml:space="preserve">PEVuZE5vdGU+PENpdGU+PEF1dGhvcj5EZXNzZWlsbGVzPC9BdXRob3I+PFllYXI+MjAxMTwvWWVh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</w:fldData>
        </w:fldChar>
      </w:r>
      <w:r w:rsidR="00E95E01">
        <w:rPr>
          <w:rFonts w:ascii="Arial" w:hAnsi="Arial" w:cs="Arial"/>
        </w:rPr>
        <w:instrText xml:space="preserve"> ADDIN EN.CITE </w:instrText>
      </w:r>
      <w:r w:rsidR="00E95E01">
        <w:rPr>
          <w:rFonts w:ascii="Arial" w:hAnsi="Arial" w:cs="Arial"/>
        </w:rPr>
        <w:fldChar w:fldCharType="begin">
          <w:fldData xml:space="preserve">PEVuZE5vdGU+PENpdGU+PEF1dGhvcj5EZXNzZWlsbGVzPC9BdXRob3I+PFllYXI+MjAxMTwvWWVh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</w:fldData>
        </w:fldChar>
      </w:r>
      <w:r w:rsidR="00E95E01">
        <w:rPr>
          <w:rFonts w:ascii="Arial" w:hAnsi="Arial" w:cs="Arial"/>
        </w:rPr>
        <w:instrText xml:space="preserve"> ADDIN EN.CITE.DATA </w:instrText>
      </w:r>
      <w:r w:rsidR="00E95E01">
        <w:rPr>
          <w:rFonts w:ascii="Arial" w:hAnsi="Arial" w:cs="Arial"/>
        </w:rPr>
      </w:r>
      <w:r w:rsidR="00E95E01">
        <w:rPr>
          <w:rFonts w:ascii="Arial" w:hAnsi="Arial" w:cs="Arial"/>
        </w:rPr>
        <w:fldChar w:fldCharType="end"/>
      </w:r>
      <w:r w:rsidRPr="00F01BD0">
        <w:rPr>
          <w:rFonts w:ascii="Arial" w:hAnsi="Arial" w:cs="Arial"/>
        </w:rPr>
      </w:r>
      <w:r w:rsidRPr="00F01BD0">
        <w:rPr>
          <w:rFonts w:ascii="Arial" w:hAnsi="Arial" w:cs="Arial"/>
        </w:rPr>
        <w:fldChar w:fldCharType="separate"/>
      </w:r>
      <w:r w:rsidR="00E95E01">
        <w:rPr>
          <w:rFonts w:ascii="Arial" w:hAnsi="Arial" w:cs="Arial"/>
          <w:noProof/>
        </w:rPr>
        <w:t>(</w:t>
      </w:r>
      <w:hyperlink w:anchor="_ENREF_4" w:tooltip="Desseilles, 2011 #7813" w:history="1">
        <w:r w:rsidR="00E95E01">
          <w:rPr>
            <w:rFonts w:ascii="Arial" w:hAnsi="Arial" w:cs="Arial"/>
            <w:noProof/>
          </w:rPr>
          <w:t>Desseilles</w:t>
        </w:r>
        <w:r w:rsidR="00E95E01" w:rsidRPr="00E95E01">
          <w:rPr>
            <w:rFonts w:ascii="Arial" w:hAnsi="Arial" w:cs="Arial"/>
            <w:i/>
            <w:noProof/>
          </w:rPr>
          <w:t xml:space="preserve"> et al</w:t>
        </w:r>
        <w:r w:rsidR="00E95E01">
          <w:rPr>
            <w:rFonts w:ascii="Arial" w:hAnsi="Arial" w:cs="Arial"/>
            <w:noProof/>
          </w:rPr>
          <w:t>, 2011</w:t>
        </w:r>
      </w:hyperlink>
      <w:r w:rsidR="00E95E01">
        <w:rPr>
          <w:rFonts w:ascii="Arial" w:hAnsi="Arial" w:cs="Arial"/>
          <w:noProof/>
        </w:rPr>
        <w:t>)</w:t>
      </w:r>
      <w:r w:rsidRPr="00F01BD0">
        <w:rPr>
          <w:rFonts w:ascii="Arial" w:hAnsi="Arial" w:cs="Arial"/>
        </w:rPr>
        <w:fldChar w:fldCharType="end"/>
      </w:r>
      <w:r w:rsidRPr="00F01BD0">
        <w:rPr>
          <w:rFonts w:ascii="Arial" w:hAnsi="Arial" w:cs="Arial"/>
        </w:rPr>
        <w:t xml:space="preserve">. Our assessment then focused on quantifying the nature and degree of depressive symptoms, state and trait anxiety, fatigue, ability to experience pleasure, and history of childhood trauma, using the following validated instruments: </w:t>
      </w:r>
    </w:p>
    <w:p w14:paraId="76D17F73" w14:textId="513E36DC" w:rsidR="0000798D" w:rsidRPr="00F01BD0" w:rsidRDefault="0000798D" w:rsidP="0000798D">
      <w:pPr>
        <w:spacing w:line="360" w:lineRule="auto"/>
        <w:rPr>
          <w:rFonts w:ascii="Arial" w:hAnsi="Arial" w:cs="Arial"/>
        </w:rPr>
      </w:pPr>
      <w:r w:rsidRPr="00F01BD0">
        <w:rPr>
          <w:rFonts w:ascii="Arial" w:hAnsi="Arial" w:cs="Arial"/>
        </w:rPr>
        <w:t xml:space="preserve">17-item Hamilton Rating Scale for Depression (HAM-D) </w:t>
      </w:r>
      <w:r w:rsidRPr="00F01BD0">
        <w:rPr>
          <w:rFonts w:ascii="Arial" w:hAnsi="Arial" w:cs="Arial"/>
        </w:rPr>
        <w:fldChar w:fldCharType="begin"/>
      </w:r>
      <w:r w:rsidR="00E95E01">
        <w:rPr>
          <w:rFonts w:ascii="Arial" w:hAnsi="Arial" w:cs="Arial"/>
        </w:rPr>
        <w:instrText xml:space="preserve"> ADDIN EN.CITE &lt;EndNote&gt;&lt;Cite&gt;&lt;Author&gt;Hamilton&lt;/Author&gt;&lt;Year&gt;1960&lt;/Year&gt;&lt;RecNum&gt;1221&lt;/RecNum&gt;&lt;DisplayText&gt;(Hamilton, 1960)&lt;/DisplayText&gt;&lt;record&gt;&lt;rec-number&gt;1221&lt;/rec-number&gt;&lt;foreign-keys&gt;&lt;key app="EN" db-id="dxz20p0svpptdve29075rrsuzwa9dzp9w9we" timestamp="0"&gt;1221&lt;/key&gt;&lt;/foreign-keys&gt;&lt;ref-type name="Journal Article"&gt;17&lt;/ref-type&gt;&lt;contributors&gt;&lt;authors&gt;&lt;author&gt;Hamilton, M.&lt;/author&gt;&lt;/authors&gt;&lt;/contributors&gt;&lt;titles&gt;&lt;title&gt;A rating scale for depression&lt;/title&gt;&lt;secondary-title&gt;J Neurol Neurosurg Psychiatry&lt;/secondary-title&gt;&lt;/titles&gt;&lt;pages&gt;56-62&lt;/pages&gt;&lt;volume&gt;23&lt;/volume&gt;&lt;dates&gt;&lt;year&gt;1960&lt;/year&gt;&lt;pub-dates&gt;&lt;date&gt;Feb&lt;/date&gt;&lt;/pub-dates&gt;&lt;/dates&gt;&lt;accession-num&gt;14399272&lt;/accession-num&gt;&lt;urls&gt;&lt;related-urls&gt;&lt;url&gt;http://www.ncbi.nlm.nih.gov/entrez/query.fcgi?cmd=Retrieve&amp;amp;db=PubMed&amp;amp;dopt=Citation&amp;amp;list_uids=14399272&lt;/url&gt;&lt;/related-urls&gt;&lt;/urls&gt;&lt;/record&gt;&lt;/Cite&gt;&lt;/EndNote&gt;</w:instrText>
      </w:r>
      <w:r w:rsidRPr="00F01BD0">
        <w:rPr>
          <w:rFonts w:ascii="Arial" w:hAnsi="Arial" w:cs="Arial"/>
        </w:rPr>
        <w:fldChar w:fldCharType="separate"/>
      </w:r>
      <w:r w:rsidR="00E95E01">
        <w:rPr>
          <w:rFonts w:ascii="Arial" w:hAnsi="Arial" w:cs="Arial"/>
          <w:noProof/>
        </w:rPr>
        <w:t>(</w:t>
      </w:r>
      <w:hyperlink w:anchor="_ENREF_5" w:tooltip="Hamilton, 1960 #1221" w:history="1">
        <w:r w:rsidR="00E95E01">
          <w:rPr>
            <w:rFonts w:ascii="Arial" w:hAnsi="Arial" w:cs="Arial"/>
            <w:noProof/>
          </w:rPr>
          <w:t>Hamilton, 1960</w:t>
        </w:r>
      </w:hyperlink>
      <w:r w:rsidR="00E95E01">
        <w:rPr>
          <w:rFonts w:ascii="Arial" w:hAnsi="Arial" w:cs="Arial"/>
          <w:noProof/>
        </w:rPr>
        <w:t>)</w:t>
      </w:r>
      <w:r w:rsidRPr="00F01BD0">
        <w:rPr>
          <w:rFonts w:ascii="Arial" w:hAnsi="Arial" w:cs="Arial"/>
        </w:rPr>
        <w:fldChar w:fldCharType="end"/>
      </w:r>
      <w:r w:rsidRPr="00F01BD0">
        <w:rPr>
          <w:rFonts w:ascii="Arial" w:hAnsi="Arial" w:cs="Arial"/>
        </w:rPr>
        <w:t xml:space="preserve">. The HAM-D is a clinician-administered rating scale designed to assess the severity of symptoms in participants diagnosed with depression with a score range of 0 to 52. It is the most widely used symptom severity measure for depression. The HAM-D has an inter-rater reliability correlation of r = .90 and the internal consistency of the measure is reported to be high with a coefficient alpha of 0.88. Criterion related validity for this measure is high </w:t>
      </w:r>
      <w:r w:rsidRPr="00F01BD0">
        <w:rPr>
          <w:rFonts w:ascii="Arial" w:hAnsi="Arial" w:cs="Arial"/>
        </w:rPr>
        <w:fldChar w:fldCharType="begin"/>
      </w:r>
      <w:r w:rsidR="00E95E01">
        <w:rPr>
          <w:rFonts w:ascii="Arial" w:hAnsi="Arial" w:cs="Arial"/>
        </w:rPr>
        <w:instrText xml:space="preserve"> ADDIN EN.CITE &lt;EndNote&gt;&lt;Cite&gt;&lt;Author&gt;Knesevich&lt;/Author&gt;&lt;Year&gt;1977&lt;/Year&gt;&lt;RecNum&gt;7814&lt;/RecNum&gt;&lt;DisplayText&gt;(Knesevich&lt;style face="italic"&gt; et al&lt;/style&gt;, 1977)&lt;/DisplayText&gt;&lt;record&gt;&lt;rec-number&gt;7814&lt;/rec-number&gt;&lt;foreign-keys&gt;&lt;key app="EN" db-id="dxz20p0svpptdve29075rrsuzwa9dzp9w9we" timestamp="0"&gt;7814&lt;/key&gt;&lt;/foreign-keys&gt;&lt;ref-type name="Journal Article"&gt;17&lt;/ref-type&gt;&lt;contributors&gt;&lt;authors&gt;&lt;author&gt;Knesevich, J. W.&lt;/author&gt;&lt;author&gt;Biggs, J. T.&lt;/author&gt;&lt;author&gt;Clayton, P. J.&lt;/author&gt;&lt;author&gt;Ziegler, V. E.&lt;/author&gt;&lt;/authors&gt;&lt;/contributors&gt;&lt;titles&gt;&lt;title&gt;Validity of the Hamilton Rating Scale for depression&lt;/title&gt;&lt;secondary-title&gt;Br J Psychiatry&lt;/secondary-title&gt;&lt;alt-title&gt;The British journal of psychiatry : the journal of mental science&lt;/alt-title&gt;&lt;/titles&gt;&lt;periodical&gt;&lt;full-title&gt;Br J Psychiatry&lt;/full-title&gt;&lt;/periodical&gt;&lt;pages&gt;49-52&lt;/pages&gt;&lt;volume&gt;131&lt;/volume&gt;&lt;edition&gt;1977/07/01&lt;/edition&gt;&lt;keywords&gt;&lt;keyword&gt;Depression/*diagnosis&lt;/keyword&gt;&lt;keyword&gt;Humans&lt;/keyword&gt;&lt;keyword&gt;*Psychiatric Status Rating Scales&lt;/keyword&gt;&lt;keyword&gt;Statistics as Topic&lt;/keyword&gt;&lt;/keywords&gt;&lt;dates&gt;&lt;year&gt;1977&lt;/year&gt;&lt;pub-dates&gt;&lt;date&gt;Jul&lt;/date&gt;&lt;/pub-dates&gt;&lt;/dates&gt;&lt;isbn&gt;0007-1250 (Print)&amp;#xD;0007-1250 (Linking)&lt;/isbn&gt;&lt;accession-num&gt;884416&lt;/accession-num&gt;&lt;work-type&gt;Comparative Study&amp;#xD;Research Support, U.S. Gov&amp;apos;t, Non-P.H.S.&lt;/work-type&gt;&lt;urls&gt;&lt;related-urls&gt;&lt;url&gt;http://www.ncbi.nlm.nih.gov/pubmed/884416&lt;/url&gt;&lt;/related-urls&gt;&lt;/urls&gt;&lt;language&gt;eng&lt;/language&gt;&lt;/record&gt;&lt;/Cite&gt;&lt;/EndNote&gt;</w:instrText>
      </w:r>
      <w:r w:rsidRPr="00F01BD0">
        <w:rPr>
          <w:rFonts w:ascii="Arial" w:hAnsi="Arial" w:cs="Arial"/>
        </w:rPr>
        <w:fldChar w:fldCharType="separate"/>
      </w:r>
      <w:r w:rsidR="00E95E01">
        <w:rPr>
          <w:rFonts w:ascii="Arial" w:hAnsi="Arial" w:cs="Arial"/>
          <w:noProof/>
        </w:rPr>
        <w:t>(</w:t>
      </w:r>
      <w:hyperlink w:anchor="_ENREF_6" w:tooltip="Knesevich, 1977 #7814" w:history="1">
        <w:r w:rsidR="00E95E01">
          <w:rPr>
            <w:rFonts w:ascii="Arial" w:hAnsi="Arial" w:cs="Arial"/>
            <w:noProof/>
          </w:rPr>
          <w:t>Knesevich</w:t>
        </w:r>
        <w:r w:rsidR="00E95E01" w:rsidRPr="00E95E01">
          <w:rPr>
            <w:rFonts w:ascii="Arial" w:hAnsi="Arial" w:cs="Arial"/>
            <w:i/>
            <w:noProof/>
          </w:rPr>
          <w:t xml:space="preserve"> et al</w:t>
        </w:r>
        <w:r w:rsidR="00E95E01">
          <w:rPr>
            <w:rFonts w:ascii="Arial" w:hAnsi="Arial" w:cs="Arial"/>
            <w:noProof/>
          </w:rPr>
          <w:t>, 1977</w:t>
        </w:r>
      </w:hyperlink>
      <w:r w:rsidR="00E95E01">
        <w:rPr>
          <w:rFonts w:ascii="Arial" w:hAnsi="Arial" w:cs="Arial"/>
          <w:noProof/>
        </w:rPr>
        <w:t>)</w:t>
      </w:r>
      <w:r w:rsidRPr="00F01BD0">
        <w:rPr>
          <w:rFonts w:ascii="Arial" w:hAnsi="Arial" w:cs="Arial"/>
        </w:rPr>
        <w:fldChar w:fldCharType="end"/>
      </w:r>
      <w:r w:rsidRPr="00F01BD0">
        <w:rPr>
          <w:rFonts w:ascii="Arial" w:hAnsi="Arial" w:cs="Arial"/>
        </w:rPr>
        <w:t xml:space="preserve">. </w:t>
      </w:r>
    </w:p>
    <w:p w14:paraId="5E135B4F" w14:textId="6DAFF01B" w:rsidR="0000798D" w:rsidRPr="00F01BD0" w:rsidRDefault="0000798D" w:rsidP="0000798D">
      <w:pPr>
        <w:spacing w:line="360" w:lineRule="auto"/>
        <w:rPr>
          <w:rFonts w:ascii="Arial" w:hAnsi="Arial" w:cs="Arial"/>
        </w:rPr>
      </w:pPr>
      <w:r w:rsidRPr="00F01BD0">
        <w:rPr>
          <w:rFonts w:ascii="Arial" w:hAnsi="Arial" w:cs="Arial"/>
        </w:rPr>
        <w:t xml:space="preserve">Beck Depression Inventory (BDI) version 2 </w:t>
      </w:r>
      <w:r w:rsidRPr="00F01BD0">
        <w:rPr>
          <w:rFonts w:ascii="Arial" w:hAnsi="Arial" w:cs="Arial"/>
        </w:rPr>
        <w:fldChar w:fldCharType="begin"/>
      </w:r>
      <w:r w:rsidR="00E95E01">
        <w:rPr>
          <w:rFonts w:ascii="Arial" w:hAnsi="Arial" w:cs="Arial"/>
        </w:rPr>
        <w:instrText xml:space="preserve"> ADDIN EN.CITE &lt;EndNote&gt;&lt;Cite&gt;&lt;Author&gt;Beck&lt;/Author&gt;&lt;Year&gt;1974&lt;/Year&gt;&lt;RecNum&gt;779&lt;/RecNum&gt;&lt;DisplayText&gt;(Beck and Beamesderfer, 1974)&lt;/DisplayText&gt;&lt;record&gt;&lt;rec-number&gt;779&lt;/rec-number&gt;&lt;foreign-keys&gt;&lt;key app="EN" db-id="dxz20p0svpptdve29075rrsuzwa9dzp9w9we" timestamp="0"&gt;779&lt;/key&gt;&lt;/foreign-keys&gt;&lt;ref-type name="Journal Article"&gt;17&lt;/ref-type&gt;&lt;contributors&gt;&lt;authors&gt;&lt;author&gt;Beck, A. T.&lt;/author&gt;&lt;author&gt;Beamesderfer, A.&lt;/author&gt;&lt;/authors&gt;&lt;/contributors&gt;&lt;titles&gt;&lt;title&gt;Assessment of depression: the depression inventory&lt;/title&gt;&lt;secondary-title&gt;Mod Probl Pharmacopsychiatry&lt;/secondary-title&gt;&lt;/titles&gt;&lt;pages&gt;151-69&lt;/pages&gt;&lt;volume&gt;7&lt;/volume&gt;&lt;number&gt;0&lt;/number&gt;&lt;keywords&gt;&lt;keyword&gt;Adolescent&lt;/keyword&gt;&lt;keyword&gt;Adult&lt;/keyword&gt;&lt;keyword&gt;Comparative Study&lt;/keyword&gt;&lt;keyword&gt;Depression/classification/*diagnosis&lt;/keyword&gt;&lt;keyword&gt;Educational Status&lt;/keyword&gt;&lt;keyword&gt;Ethnic Groups&lt;/keyword&gt;&lt;keyword&gt;Evaluation Studies&lt;/keyword&gt;&lt;keyword&gt;Factor Analysis, Statistical&lt;/keyword&gt;&lt;keyword&gt;Female&lt;/keyword&gt;&lt;keyword&gt;Human&lt;/keyword&gt;&lt;keyword&gt;Interview, Psychological&lt;/keyword&gt;&lt;keyword&gt;Male&lt;/keyword&gt;&lt;keyword&gt;Personality Inventory&lt;/keyword&gt;&lt;keyword&gt;*Psychiatric Status Rating Scales&lt;/keyword&gt;&lt;keyword&gt;Psychometrics&lt;/keyword&gt;&lt;keyword&gt;Socioeconomic Factors&lt;/keyword&gt;&lt;/keywords&gt;&lt;dates&gt;&lt;year&gt;1974&lt;/year&gt;&lt;/dates&gt;&lt;accession-num&gt;4412100&lt;/accession-num&gt;&lt;urls&gt;&lt;related-urls&gt;&lt;url&gt;http://www.ncbi.nlm.nih.gov/entrez/query.fcgi?cmd=Retrieve&amp;amp;db=PubMed&amp;amp;dopt=Citation&amp;amp;list_uids=4412100&lt;/url&gt;&lt;/related-urls&gt;&lt;/urls&gt;&lt;/record&gt;&lt;/Cite&gt;&lt;/EndNote&gt;</w:instrText>
      </w:r>
      <w:r w:rsidRPr="00F01BD0">
        <w:rPr>
          <w:rFonts w:ascii="Arial" w:hAnsi="Arial" w:cs="Arial"/>
        </w:rPr>
        <w:fldChar w:fldCharType="separate"/>
      </w:r>
      <w:r w:rsidR="00E95E01">
        <w:rPr>
          <w:rFonts w:ascii="Arial" w:hAnsi="Arial" w:cs="Arial"/>
          <w:noProof/>
        </w:rPr>
        <w:t>(</w:t>
      </w:r>
      <w:hyperlink w:anchor="_ENREF_1" w:tooltip="Beck, 1974 #779" w:history="1">
        <w:r w:rsidR="00E95E01">
          <w:rPr>
            <w:rFonts w:ascii="Arial" w:hAnsi="Arial" w:cs="Arial"/>
            <w:noProof/>
          </w:rPr>
          <w:t>Beck and Beamesderfer, 1974</w:t>
        </w:r>
      </w:hyperlink>
      <w:r w:rsidR="00E95E01">
        <w:rPr>
          <w:rFonts w:ascii="Arial" w:hAnsi="Arial" w:cs="Arial"/>
          <w:noProof/>
        </w:rPr>
        <w:t>)</w:t>
      </w:r>
      <w:r w:rsidRPr="00F01BD0">
        <w:rPr>
          <w:rFonts w:ascii="Arial" w:hAnsi="Arial" w:cs="Arial"/>
        </w:rPr>
        <w:fldChar w:fldCharType="end"/>
      </w:r>
      <w:r w:rsidRPr="00F01BD0">
        <w:rPr>
          <w:rFonts w:ascii="Arial" w:hAnsi="Arial" w:cs="Arial"/>
        </w:rPr>
        <w:t xml:space="preserve">. A 21 item self-report questionnaire, with each answer being scored on a scale value of 0 to 3. Cutoffs have been standardized to indicate minimal depression, 0–13: mild depression, 14-19; moderate depression, 20- 28; and severe depression 29–63. As a self-report measure, it has been validated against clinical interviews by trained clinicians. The BDI is positively correlated with </w:t>
      </w:r>
      <w:r w:rsidRPr="00F01BD0">
        <w:rPr>
          <w:rFonts w:ascii="Arial" w:hAnsi="Arial" w:cs="Arial"/>
        </w:rPr>
        <w:lastRenderedPageBreak/>
        <w:t>the Hamilton Depression Rating Scale with a Pearson r of 0.71, and has a high one-week test–retest reliability (Pearson r =0.93). The test also has high internal consistency (α=.91).</w:t>
      </w:r>
    </w:p>
    <w:p w14:paraId="27A2BB58" w14:textId="60357A4F" w:rsidR="0000798D" w:rsidRPr="00F01BD0" w:rsidRDefault="0000798D" w:rsidP="0000798D">
      <w:pPr>
        <w:spacing w:line="360" w:lineRule="auto"/>
        <w:rPr>
          <w:rFonts w:ascii="Arial" w:hAnsi="Arial" w:cs="Arial"/>
        </w:rPr>
      </w:pPr>
      <w:r w:rsidRPr="00F01BD0">
        <w:rPr>
          <w:rFonts w:ascii="Arial" w:hAnsi="Arial" w:cs="Arial"/>
        </w:rPr>
        <w:t xml:space="preserve">Spielberger State-Trait Anxiety Rating Scale (STAI) </w:t>
      </w:r>
      <w:r w:rsidRPr="00F01BD0">
        <w:rPr>
          <w:rFonts w:ascii="Arial" w:hAnsi="Arial" w:cs="Arial"/>
        </w:rPr>
        <w:fldChar w:fldCharType="begin"/>
      </w:r>
      <w:r w:rsidR="00E95E01">
        <w:rPr>
          <w:rFonts w:ascii="Arial" w:hAnsi="Arial" w:cs="Arial"/>
        </w:rPr>
        <w:instrText xml:space="preserve"> ADDIN EN.CITE &lt;EndNote&gt;&lt;Cite&gt;&lt;Author&gt;Spielberger&lt;/Author&gt;&lt;Year&gt;1983. &lt;/Year&gt;&lt;RecNum&gt;7822&lt;/RecNum&gt;&lt;DisplayText&gt;(Spielberger&lt;style face="italic"&gt; et al&lt;/style&gt;, 1983)&lt;/DisplayText&gt;&lt;record&gt;&lt;rec-number&gt;7822&lt;/rec-number&gt;&lt;foreign-keys&gt;&lt;key app="EN" db-id="dxz20p0svpptdve29075rrsuzwa9dzp9w9we" timestamp="0"&gt;7822&lt;/key&gt;&lt;/foreign-keys&gt;&lt;ref-type name="Book"&gt;6&lt;/ref-type&gt;&lt;contributors&gt;&lt;authors&gt;&lt;author&gt;Spielberger, C.D.&lt;/author&gt;&lt;author&gt;Gorsuch, R.L.&lt;/author&gt;&lt;author&gt;Lushene, R.&lt;/author&gt;&lt;author&gt;Vagg, P.R.&lt;/author&gt;&lt;author&gt;Jacobs, G.A.&lt;/author&gt;&lt;/authors&gt;&lt;/contributors&gt;&lt;titles&gt;&lt;title&gt;Manual for the State-Trait Anxiety Inventory. &lt;/title&gt;&lt;/titles&gt;&lt;dates&gt;&lt;year&gt;1983&lt;/year&gt;&lt;/dates&gt;&lt;publisher&gt;Palo Alto, CA: Consulting Psychologists Press.&lt;/publisher&gt;&lt;urls&gt;&lt;/urls&gt;&lt;/record&gt;&lt;/Cite&gt;&lt;/EndNote&gt;</w:instrText>
      </w:r>
      <w:r w:rsidRPr="00F01BD0">
        <w:rPr>
          <w:rFonts w:ascii="Arial" w:hAnsi="Arial" w:cs="Arial"/>
        </w:rPr>
        <w:fldChar w:fldCharType="separate"/>
      </w:r>
      <w:r w:rsidR="00E95E01">
        <w:rPr>
          <w:rFonts w:ascii="Arial" w:hAnsi="Arial" w:cs="Arial"/>
          <w:noProof/>
        </w:rPr>
        <w:t>(</w:t>
      </w:r>
      <w:hyperlink w:anchor="_ENREF_8" w:tooltip="Spielberger, 1983 #7822" w:history="1">
        <w:r w:rsidR="00E95E01">
          <w:rPr>
            <w:rFonts w:ascii="Arial" w:hAnsi="Arial" w:cs="Arial"/>
            <w:noProof/>
          </w:rPr>
          <w:t>Spielberger</w:t>
        </w:r>
        <w:r w:rsidR="00E95E01" w:rsidRPr="00E95E01">
          <w:rPr>
            <w:rFonts w:ascii="Arial" w:hAnsi="Arial" w:cs="Arial"/>
            <w:i/>
            <w:noProof/>
          </w:rPr>
          <w:t xml:space="preserve"> et al</w:t>
        </w:r>
        <w:r w:rsidR="00E95E01">
          <w:rPr>
            <w:rFonts w:ascii="Arial" w:hAnsi="Arial" w:cs="Arial"/>
            <w:noProof/>
          </w:rPr>
          <w:t>, 1983</w:t>
        </w:r>
      </w:hyperlink>
      <w:r w:rsidR="00E95E01">
        <w:rPr>
          <w:rFonts w:ascii="Arial" w:hAnsi="Arial" w:cs="Arial"/>
          <w:noProof/>
        </w:rPr>
        <w:t>)</w:t>
      </w:r>
      <w:r w:rsidRPr="00F01BD0">
        <w:rPr>
          <w:rFonts w:ascii="Arial" w:hAnsi="Arial" w:cs="Arial"/>
        </w:rPr>
        <w:fldChar w:fldCharType="end"/>
      </w:r>
      <w:r w:rsidRPr="00F01BD0">
        <w:rPr>
          <w:rFonts w:ascii="Arial" w:hAnsi="Arial" w:cs="Arial"/>
        </w:rPr>
        <w:t xml:space="preserve">. The STAI is a commonly used self-report measure of trait and state anxiety. The instrument has 20 items for assessing trait anxiety and 20 for state anxiety. State anxiety items include: “I am tense; I am worried” and “I feel calm; I feel secure.” Trait anxiety items include: “I worry too much over something that really doesn’t matter” and “I am content; I am a steady person.” All items are rated on a 4-point scale (from “Almost Never” to “Almost Always”). Higher scores indicate greater anxiety. Internal consistency coefficients for the scale have ranged from .86 to .95; test-retest reliability coefficients have ranged from .65 to .75 over a 2-month interval </w:t>
      </w:r>
      <w:r w:rsidRPr="00F01BD0">
        <w:rPr>
          <w:rFonts w:ascii="Arial" w:hAnsi="Arial" w:cs="Arial"/>
        </w:rPr>
        <w:fldChar w:fldCharType="begin"/>
      </w:r>
      <w:r w:rsidR="00E95E01">
        <w:rPr>
          <w:rFonts w:ascii="Arial" w:hAnsi="Arial" w:cs="Arial"/>
        </w:rPr>
        <w:instrText xml:space="preserve"> ADDIN EN.CITE &lt;EndNote&gt;&lt;Cite&gt;&lt;Author&gt;Spielberger&lt;/Author&gt;&lt;Year&gt;1983. &lt;/Year&gt;&lt;RecNum&gt;7822&lt;/RecNum&gt;&lt;DisplayText&gt;(Spielberger&lt;style face="italic"&gt; et al&lt;/style&gt;, 1983)&lt;/DisplayText&gt;&lt;record&gt;&lt;rec-number&gt;7822&lt;/rec-number&gt;&lt;foreign-keys&gt;&lt;key app="EN" db-id="dxz20p0svpptdve29075rrsuzwa9dzp9w9we" timestamp="0"&gt;7822&lt;/key&gt;&lt;/foreign-keys&gt;&lt;ref-type name="Book"&gt;6&lt;/ref-type&gt;&lt;contributors&gt;&lt;authors&gt;&lt;author&gt;Spielberger, C.D.&lt;/author&gt;&lt;author&gt;Gorsuch, R.L.&lt;/author&gt;&lt;author&gt;Lushene, R.&lt;/author&gt;&lt;author&gt;Vagg, P.R.&lt;/author&gt;&lt;author&gt;Jacobs, G.A.&lt;/author&gt;&lt;/authors&gt;&lt;/contributors&gt;&lt;titles&gt;&lt;title&gt;Manual for the State-Trait Anxiety Inventory. &lt;/title&gt;&lt;/titles&gt;&lt;dates&gt;&lt;year&gt;1983&lt;/year&gt;&lt;/dates&gt;&lt;publisher&gt;Palo Alto, CA: Consulting Psychologists Press.&lt;/publisher&gt;&lt;urls&gt;&lt;/urls&gt;&lt;/record&gt;&lt;/Cite&gt;&lt;/EndNote&gt;</w:instrText>
      </w:r>
      <w:r w:rsidRPr="00F01BD0">
        <w:rPr>
          <w:rFonts w:ascii="Arial" w:hAnsi="Arial" w:cs="Arial"/>
        </w:rPr>
        <w:fldChar w:fldCharType="separate"/>
      </w:r>
      <w:r w:rsidR="00E95E01">
        <w:rPr>
          <w:rFonts w:ascii="Arial" w:hAnsi="Arial" w:cs="Arial"/>
          <w:noProof/>
        </w:rPr>
        <w:t>(</w:t>
      </w:r>
      <w:hyperlink w:anchor="_ENREF_8" w:tooltip="Spielberger, 1983 #7822" w:history="1">
        <w:r w:rsidR="00E95E01">
          <w:rPr>
            <w:rFonts w:ascii="Arial" w:hAnsi="Arial" w:cs="Arial"/>
            <w:noProof/>
          </w:rPr>
          <w:t>Spielberger</w:t>
        </w:r>
        <w:r w:rsidR="00E95E01" w:rsidRPr="00E95E01">
          <w:rPr>
            <w:rFonts w:ascii="Arial" w:hAnsi="Arial" w:cs="Arial"/>
            <w:i/>
            <w:noProof/>
          </w:rPr>
          <w:t xml:space="preserve"> et al</w:t>
        </w:r>
        <w:r w:rsidR="00E95E01">
          <w:rPr>
            <w:rFonts w:ascii="Arial" w:hAnsi="Arial" w:cs="Arial"/>
            <w:noProof/>
          </w:rPr>
          <w:t>, 1983</w:t>
        </w:r>
      </w:hyperlink>
      <w:r w:rsidR="00E95E01">
        <w:rPr>
          <w:rFonts w:ascii="Arial" w:hAnsi="Arial" w:cs="Arial"/>
          <w:noProof/>
        </w:rPr>
        <w:t>)</w:t>
      </w:r>
      <w:r w:rsidRPr="00F01BD0">
        <w:rPr>
          <w:rFonts w:ascii="Arial" w:hAnsi="Arial" w:cs="Arial"/>
        </w:rPr>
        <w:fldChar w:fldCharType="end"/>
      </w:r>
      <w:r w:rsidRPr="00F01BD0">
        <w:rPr>
          <w:rFonts w:ascii="Arial" w:hAnsi="Arial" w:cs="Arial"/>
        </w:rPr>
        <w:t xml:space="preserve"> </w:t>
      </w:r>
    </w:p>
    <w:p w14:paraId="28F9EA0C" w14:textId="6F9A4526" w:rsidR="0000798D" w:rsidRPr="00F01BD0" w:rsidRDefault="0000798D" w:rsidP="0000798D">
      <w:pPr>
        <w:spacing w:line="360" w:lineRule="auto"/>
        <w:rPr>
          <w:rFonts w:ascii="Arial" w:hAnsi="Arial" w:cs="Arial"/>
        </w:rPr>
      </w:pPr>
      <w:r w:rsidRPr="00F01BD0">
        <w:rPr>
          <w:rFonts w:ascii="Arial" w:hAnsi="Arial" w:cs="Arial"/>
        </w:rPr>
        <w:t xml:space="preserve">Chalder Fatigue Scale </w:t>
      </w:r>
      <w:r w:rsidRPr="00F01BD0">
        <w:rPr>
          <w:rFonts w:ascii="Arial" w:hAnsi="Arial" w:cs="Arial"/>
        </w:rPr>
        <w:fldChar w:fldCharType="begin"/>
      </w:r>
      <w:r w:rsidR="00E95E01">
        <w:rPr>
          <w:rFonts w:ascii="Arial" w:hAnsi="Arial" w:cs="Arial"/>
        </w:rPr>
        <w:instrText xml:space="preserve"> ADDIN EN.CITE &lt;EndNote&gt;&lt;Cite&gt;&lt;Author&gt;Chalder&lt;/Author&gt;&lt;Year&gt;1993&lt;/Year&gt;&lt;RecNum&gt;7831&lt;/RecNum&gt;&lt;DisplayText&gt;(Chalder&lt;style face="italic"&gt; et al&lt;/style&gt;, 1993)&lt;/DisplayText&gt;&lt;record&gt;&lt;rec-number&gt;7831&lt;/rec-number&gt;&lt;foreign-keys&gt;&lt;key app="EN" db-id="dxz20p0svpptdve29075rrsuzwa9dzp9w9we" timestamp="0"&gt;7831&lt;/key&gt;&lt;/foreign-keys&gt;&lt;ref-type name="Journal Article"&gt;17&lt;/ref-type&gt;&lt;contributors&gt;&lt;authors&gt;&lt;author&gt;Chalder, T.&lt;/author&gt;&lt;author&gt;Berelowitz, G.&lt;/author&gt;&lt;author&gt;Pawlikowska, T.&lt;/author&gt;&lt;author&gt;Watts, L.&lt;/author&gt;&lt;author&gt;Wessely, S.&lt;/author&gt;&lt;author&gt;Wright, D.&lt;/author&gt;&lt;author&gt;Wallace, E. P.&lt;/author&gt;&lt;/authors&gt;&lt;/contributors&gt;&lt;auth-address&gt;Academic Department of Psychological Medicine, King&amp;apos;s College Hospital, Camberwell, London, U.K.&lt;/auth-address&gt;&lt;titles&gt;&lt;title&gt;Development of a fatigue scale&lt;/title&gt;&lt;secondary-title&gt;J Psychosom Res&lt;/secondary-title&gt;&lt;alt-title&gt;Journal of psychosomatic research&lt;/alt-title&gt;&lt;/titles&gt;&lt;periodical&gt;&lt;full-title&gt;J Psychosom Res&lt;/full-title&gt;&lt;/periodical&gt;&lt;pages&gt;147-53&lt;/pages&gt;&lt;volume&gt;37&lt;/volume&gt;&lt;number&gt;2&lt;/number&gt;&lt;edition&gt;1993/01/01&lt;/edition&gt;&lt;keywords&gt;&lt;keyword&gt;Adult&lt;/keyword&gt;&lt;keyword&gt;Diagnosis, Differential&lt;/keyword&gt;&lt;keyword&gt;Fatigue/etiology/*psychology&lt;/keyword&gt;&lt;keyword&gt;Fatigue Syndrome, Chronic/etiology/*psychology&lt;/keyword&gt;&lt;keyword&gt;Female&lt;/keyword&gt;&lt;keyword&gt;Humans&lt;/keyword&gt;&lt;keyword&gt;Male&lt;/keyword&gt;&lt;keyword&gt;Personality Inventory/*statistics &amp;amp; numerical data&lt;/keyword&gt;&lt;keyword&gt;Psychometrics&lt;/keyword&gt;&lt;keyword&gt;*Sick Role&lt;/keyword&gt;&lt;keyword&gt;Somatoform Disorders/etiology/*psychology&lt;/keyword&gt;&lt;/keywords&gt;&lt;dates&gt;&lt;year&gt;1993&lt;/year&gt;&lt;/dates&gt;&lt;isbn&gt;0022-3999 (Print)&amp;#xD;0022-3999 (Linking)&lt;/isbn&gt;&lt;accession-num&gt;8463991&lt;/accession-num&gt;&lt;work-type&gt;Research Support, Non-U.S. Gov&amp;apos;t&lt;/work-type&gt;&lt;urls&gt;&lt;related-urls&gt;&lt;url&gt;http://www.ncbi.nlm.nih.gov/pubmed/8463991&lt;/url&gt;&lt;/related-urls&gt;&lt;/urls&gt;&lt;language&gt;eng&lt;/language&gt;&lt;/record&gt;&lt;/Cite&gt;&lt;/EndNote&gt;</w:instrText>
      </w:r>
      <w:r w:rsidRPr="00F01BD0">
        <w:rPr>
          <w:rFonts w:ascii="Arial" w:hAnsi="Arial" w:cs="Arial"/>
        </w:rPr>
        <w:fldChar w:fldCharType="separate"/>
      </w:r>
      <w:r w:rsidR="00E95E01">
        <w:rPr>
          <w:rFonts w:ascii="Arial" w:hAnsi="Arial" w:cs="Arial"/>
          <w:noProof/>
        </w:rPr>
        <w:t>(</w:t>
      </w:r>
      <w:hyperlink w:anchor="_ENREF_3" w:tooltip="Chalder, 1993 #7831" w:history="1">
        <w:r w:rsidR="00E95E01">
          <w:rPr>
            <w:rFonts w:ascii="Arial" w:hAnsi="Arial" w:cs="Arial"/>
            <w:noProof/>
          </w:rPr>
          <w:t>Chalder</w:t>
        </w:r>
        <w:r w:rsidR="00E95E01" w:rsidRPr="00E95E01">
          <w:rPr>
            <w:rFonts w:ascii="Arial" w:hAnsi="Arial" w:cs="Arial"/>
            <w:i/>
            <w:noProof/>
          </w:rPr>
          <w:t xml:space="preserve"> et al</w:t>
        </w:r>
        <w:r w:rsidR="00E95E01">
          <w:rPr>
            <w:rFonts w:ascii="Arial" w:hAnsi="Arial" w:cs="Arial"/>
            <w:noProof/>
          </w:rPr>
          <w:t>, 1993</w:t>
        </w:r>
      </w:hyperlink>
      <w:r w:rsidR="00E95E01">
        <w:rPr>
          <w:rFonts w:ascii="Arial" w:hAnsi="Arial" w:cs="Arial"/>
          <w:noProof/>
        </w:rPr>
        <w:t>)</w:t>
      </w:r>
      <w:r w:rsidRPr="00F01BD0">
        <w:rPr>
          <w:rFonts w:ascii="Arial" w:hAnsi="Arial" w:cs="Arial"/>
        </w:rPr>
        <w:fldChar w:fldCharType="end"/>
      </w:r>
      <w:r w:rsidRPr="00F01BD0">
        <w:rPr>
          <w:rFonts w:ascii="Arial" w:hAnsi="Arial" w:cs="Arial"/>
        </w:rPr>
        <w:t xml:space="preserve">. The Chalder Fatigue Scale (CFS) is a 14-item self-report instrument to measure the severity of fatigue in adults. Physical (e.g. “Do you need to rest more?”) and mental symptoms (e.g. “Do you have problems thinking clearly?”) are evaluated. Each item is scored on a 4-point scale ranging from “better than usual” to “much worse than usual”. The internal consistency range from .88 to .90 and the validity is .85 </w:t>
      </w:r>
    </w:p>
    <w:p w14:paraId="1694A85A" w14:textId="7600B1F5" w:rsidR="0000798D" w:rsidRPr="00F01BD0" w:rsidRDefault="0000798D" w:rsidP="0000798D">
      <w:pPr>
        <w:spacing w:line="360" w:lineRule="auto"/>
        <w:rPr>
          <w:rFonts w:ascii="Arial" w:hAnsi="Arial" w:cs="Arial"/>
        </w:rPr>
      </w:pPr>
      <w:r w:rsidRPr="00F01BD0">
        <w:rPr>
          <w:rFonts w:ascii="Arial" w:hAnsi="Arial" w:cs="Arial"/>
        </w:rPr>
        <w:t xml:space="preserve">Snaith-Hamilton Pleasure Scale (SHAPS) </w:t>
      </w:r>
      <w:r w:rsidRPr="00F01BD0">
        <w:rPr>
          <w:rFonts w:ascii="Arial" w:hAnsi="Arial" w:cs="Arial"/>
        </w:rPr>
        <w:fldChar w:fldCharType="begin"/>
      </w:r>
      <w:r w:rsidR="00E95E01">
        <w:rPr>
          <w:rFonts w:ascii="Arial" w:hAnsi="Arial" w:cs="Arial"/>
        </w:rPr>
        <w:instrText xml:space="preserve"> ADDIN EN.CITE &lt;EndNote&gt;&lt;Cite&gt;&lt;Author&gt;Snaith&lt;/Author&gt;&lt;Year&gt;1995&lt;/Year&gt;&lt;RecNum&gt;7818&lt;/RecNum&gt;&lt;DisplayText&gt;(Snaith&lt;style face="italic"&gt; et al&lt;/style&gt;, 1995)&lt;/DisplayText&gt;&lt;record&gt;&lt;rec-number&gt;7818&lt;/rec-number&gt;&lt;foreign-keys&gt;&lt;key app="EN" db-id="dxz20p0svpptdve29075rrsuzwa9dzp9w9we" timestamp="0"&gt;7818&lt;/key&gt;&lt;/foreign-keys&gt;&lt;ref-type name="Journal Article"&gt;17&lt;/ref-type&gt;&lt;contributors&gt;&lt;authors&gt;&lt;author&gt;Snaith, R. P.&lt;/author&gt;&lt;author&gt;Hamilton, M.&lt;/author&gt;&lt;author&gt;Morley, S.&lt;/author&gt;&lt;author&gt;Humayan, A.&lt;/author&gt;&lt;author&gt;Hargreaves, D.&lt;/author&gt;&lt;author&gt;Trigwell, P.&lt;/author&gt;&lt;/authors&gt;&lt;/contributors&gt;&lt;auth-address&gt;Division of Psychiatry and Behavioural Sciences, St James&amp;apos;s University Hospital, Leeds.&lt;/auth-address&gt;&lt;titles&gt;&lt;title&gt;A scale for the assessment of hedonic tone the Snaith-Hamilton Pleasure Scale&lt;/title&gt;&lt;secondary-title&gt;Br J Psychiatry&lt;/secondary-title&gt;&lt;alt-title&gt;The British journal of psychiatry : the journal of mental science&lt;/alt-title&gt;&lt;/titles&gt;&lt;periodical&gt;&lt;full-title&gt;Br J Psychiatry&lt;/full-title&gt;&lt;/periodical&gt;&lt;pages&gt;99-103&lt;/pages&gt;&lt;volume&gt;167&lt;/volume&gt;&lt;number&gt;1&lt;/number&gt;&lt;edition&gt;1995/07/01&lt;/edition&gt;&lt;keywords&gt;&lt;keyword&gt;Adolescent&lt;/keyword&gt;&lt;keyword&gt;Adult&lt;/keyword&gt;&lt;keyword&gt;Affective Symptoms/*diagnosis/psychology&lt;/keyword&gt;&lt;keyword&gt;Aged&lt;/keyword&gt;&lt;keyword&gt;Aged, 80 and over&lt;/keyword&gt;&lt;keyword&gt;Female&lt;/keyword&gt;&lt;keyword&gt;Humans&lt;/keyword&gt;&lt;keyword&gt;Male&lt;/keyword&gt;&lt;keyword&gt;Middle Aged&lt;/keyword&gt;&lt;keyword&gt;*Motivation&lt;/keyword&gt;&lt;keyword&gt;Personality Inventory/*statistics &amp;amp; numerical data&lt;/keyword&gt;&lt;keyword&gt;Pilot Projects&lt;/keyword&gt;&lt;keyword&gt;Psychometrics&lt;/keyword&gt;&lt;keyword&gt;Reference Values&lt;/keyword&gt;&lt;keyword&gt;Reproducibility of Results&lt;/keyword&gt;&lt;/keywords&gt;&lt;dates&gt;&lt;year&gt;1995&lt;/year&gt;&lt;pub-dates&gt;&lt;date&gt;Jul&lt;/date&gt;&lt;/pub-dates&gt;&lt;/dates&gt;&lt;isbn&gt;0007-1250 (Print)&amp;#xD;0007-1250 (Linking)&lt;/isbn&gt;&lt;accession-num&gt;7551619&lt;/accession-num&gt;&lt;urls&gt;&lt;related-urls&gt;&lt;url&gt;http://www.ncbi.nlm.nih.gov/pubmed/7551619&lt;/url&gt;&lt;/related-urls&gt;&lt;/urls&gt;&lt;language&gt;eng&lt;/language&gt;&lt;/record&gt;&lt;/Cite&gt;&lt;/EndNote&gt;</w:instrText>
      </w:r>
      <w:r w:rsidRPr="00F01BD0">
        <w:rPr>
          <w:rFonts w:ascii="Arial" w:hAnsi="Arial" w:cs="Arial"/>
        </w:rPr>
        <w:fldChar w:fldCharType="separate"/>
      </w:r>
      <w:r w:rsidR="00E95E01">
        <w:rPr>
          <w:rFonts w:ascii="Arial" w:hAnsi="Arial" w:cs="Arial"/>
          <w:noProof/>
        </w:rPr>
        <w:t>(</w:t>
      </w:r>
      <w:hyperlink w:anchor="_ENREF_7" w:tooltip="Snaith, 1995 #7818" w:history="1">
        <w:r w:rsidR="00E95E01">
          <w:rPr>
            <w:rFonts w:ascii="Arial" w:hAnsi="Arial" w:cs="Arial"/>
            <w:noProof/>
          </w:rPr>
          <w:t>Snaith</w:t>
        </w:r>
        <w:r w:rsidR="00E95E01" w:rsidRPr="00E95E01">
          <w:rPr>
            <w:rFonts w:ascii="Arial" w:hAnsi="Arial" w:cs="Arial"/>
            <w:i/>
            <w:noProof/>
          </w:rPr>
          <w:t xml:space="preserve"> et al</w:t>
        </w:r>
        <w:r w:rsidR="00E95E01">
          <w:rPr>
            <w:rFonts w:ascii="Arial" w:hAnsi="Arial" w:cs="Arial"/>
            <w:noProof/>
          </w:rPr>
          <w:t>, 1995</w:t>
        </w:r>
      </w:hyperlink>
      <w:r w:rsidR="00E95E01">
        <w:rPr>
          <w:rFonts w:ascii="Arial" w:hAnsi="Arial" w:cs="Arial"/>
          <w:noProof/>
        </w:rPr>
        <w:t>)</w:t>
      </w:r>
      <w:r w:rsidRPr="00F01BD0">
        <w:rPr>
          <w:rFonts w:ascii="Arial" w:hAnsi="Arial" w:cs="Arial"/>
        </w:rPr>
        <w:fldChar w:fldCharType="end"/>
      </w:r>
      <w:r w:rsidRPr="00F01BD0">
        <w:rPr>
          <w:rFonts w:ascii="Arial" w:hAnsi="Arial" w:cs="Arial"/>
        </w:rPr>
        <w:t xml:space="preserve">. Anhedonia, the inability to experience pleasure, is a common feature of depression. The SHAPS is a short, 14-item instrument to measure anhedonia, which has been shown to be valid and reliable in normative and clinical samples </w:t>
      </w:r>
      <w:r w:rsidRPr="00F01BD0">
        <w:rPr>
          <w:rFonts w:ascii="Arial" w:hAnsi="Arial" w:cs="Arial"/>
        </w:rPr>
        <w:fldChar w:fldCharType="begin"/>
      </w:r>
      <w:r w:rsidR="00E95E01">
        <w:rPr>
          <w:rFonts w:ascii="Arial" w:hAnsi="Arial" w:cs="Arial"/>
        </w:rPr>
        <w:instrText xml:space="preserve"> ADDIN EN.CITE &lt;EndNote&gt;&lt;Cite&gt;&lt;Author&gt;Snaith&lt;/Author&gt;&lt;Year&gt;1995&lt;/Year&gt;&lt;RecNum&gt;7818&lt;/RecNum&gt;&lt;DisplayText&gt;(Snaith&lt;style face="italic"&gt; et al&lt;/style&gt;, 1995)&lt;/DisplayText&gt;&lt;record&gt;&lt;rec-number&gt;7818&lt;/rec-number&gt;&lt;foreign-keys&gt;&lt;key app="EN" db-id="dxz20p0svpptdve29075rrsuzwa9dzp9w9we" timestamp="0"&gt;7818&lt;/key&gt;&lt;/foreign-keys&gt;&lt;ref-type name="Journal Article"&gt;17&lt;/ref-type&gt;&lt;contributors&gt;&lt;authors&gt;&lt;author&gt;Snaith, R. P.&lt;/author&gt;&lt;author&gt;Hamilton, M.&lt;/author&gt;&lt;author&gt;Morley, S.&lt;/author&gt;&lt;author&gt;Humayan, A.&lt;/author&gt;&lt;author&gt;Hargreaves, D.&lt;/author&gt;&lt;author&gt;Trigwell, P.&lt;/author&gt;&lt;/authors&gt;&lt;/contributors&gt;&lt;auth-address&gt;Division of Psychiatry and Behavioural Sciences, St James&amp;apos;s University Hospital, Leeds.&lt;/auth-address&gt;&lt;titles&gt;&lt;title&gt;A scale for the assessment of hedonic tone the Snaith-Hamilton Pleasure Scale&lt;/title&gt;&lt;secondary-title&gt;Br J Psychiatry&lt;/secondary-title&gt;&lt;alt-title&gt;The British journal of psychiatry : the journal of mental science&lt;/alt-title&gt;&lt;/titles&gt;&lt;periodical&gt;&lt;full-title&gt;Br J Psychiatry&lt;/full-title&gt;&lt;/periodical&gt;&lt;pages&gt;99-103&lt;/pages&gt;&lt;volume&gt;167&lt;/volume&gt;&lt;number&gt;1&lt;/number&gt;&lt;edition&gt;1995/07/01&lt;/edition&gt;&lt;keywords&gt;&lt;keyword&gt;Adolescent&lt;/keyword&gt;&lt;keyword&gt;Adult&lt;/keyword&gt;&lt;keyword&gt;Affective Symptoms/*diagnosis/psychology&lt;/keyword&gt;&lt;keyword&gt;Aged&lt;/keyword&gt;&lt;keyword&gt;Aged, 80 and over&lt;/keyword&gt;&lt;keyword&gt;Female&lt;/keyword&gt;&lt;keyword&gt;Humans&lt;/keyword&gt;&lt;keyword&gt;Male&lt;/keyword&gt;&lt;keyword&gt;Middle Aged&lt;/keyword&gt;&lt;keyword&gt;*Motivation&lt;/keyword&gt;&lt;keyword&gt;Personality Inventory/*statistics &amp;amp; numerical data&lt;/keyword&gt;&lt;keyword&gt;Pilot Projects&lt;/keyword&gt;&lt;keyword&gt;Psychometrics&lt;/keyword&gt;&lt;keyword&gt;Reference Values&lt;/keyword&gt;&lt;keyword&gt;Reproducibility of Results&lt;/keyword&gt;&lt;/keywords&gt;&lt;dates&gt;&lt;year&gt;1995&lt;/year&gt;&lt;pub-dates&gt;&lt;date&gt;Jul&lt;/date&gt;&lt;/pub-dates&gt;&lt;/dates&gt;&lt;isbn&gt;0007-1250 (Print)&amp;#xD;0007-1250 (Linking)&lt;/isbn&gt;&lt;accession-num&gt;7551619&lt;/accession-num&gt;&lt;urls&gt;&lt;related-urls&gt;&lt;url&gt;http://www.ncbi.nlm.nih.gov/pubmed/7551619&lt;/url&gt;&lt;/related-urls&gt;&lt;/urls&gt;&lt;language&gt;eng&lt;/language&gt;&lt;/record&gt;&lt;/Cite&gt;&lt;/EndNote&gt;</w:instrText>
      </w:r>
      <w:r w:rsidRPr="00F01BD0">
        <w:rPr>
          <w:rFonts w:ascii="Arial" w:hAnsi="Arial" w:cs="Arial"/>
        </w:rPr>
        <w:fldChar w:fldCharType="separate"/>
      </w:r>
      <w:r w:rsidR="00E95E01">
        <w:rPr>
          <w:rFonts w:ascii="Arial" w:hAnsi="Arial" w:cs="Arial"/>
          <w:noProof/>
        </w:rPr>
        <w:t>(</w:t>
      </w:r>
      <w:hyperlink w:anchor="_ENREF_7" w:tooltip="Snaith, 1995 #7818" w:history="1">
        <w:r w:rsidR="00E95E01">
          <w:rPr>
            <w:rFonts w:ascii="Arial" w:hAnsi="Arial" w:cs="Arial"/>
            <w:noProof/>
          </w:rPr>
          <w:t>Snaith</w:t>
        </w:r>
        <w:r w:rsidR="00E95E01" w:rsidRPr="00E95E01">
          <w:rPr>
            <w:rFonts w:ascii="Arial" w:hAnsi="Arial" w:cs="Arial"/>
            <w:i/>
            <w:noProof/>
          </w:rPr>
          <w:t xml:space="preserve"> et al</w:t>
        </w:r>
        <w:r w:rsidR="00E95E01">
          <w:rPr>
            <w:rFonts w:ascii="Arial" w:hAnsi="Arial" w:cs="Arial"/>
            <w:noProof/>
          </w:rPr>
          <w:t>, 1995</w:t>
        </w:r>
      </w:hyperlink>
      <w:r w:rsidR="00E95E01">
        <w:rPr>
          <w:rFonts w:ascii="Arial" w:hAnsi="Arial" w:cs="Arial"/>
          <w:noProof/>
        </w:rPr>
        <w:t>)</w:t>
      </w:r>
      <w:r w:rsidRPr="00F01BD0">
        <w:rPr>
          <w:rFonts w:ascii="Arial" w:hAnsi="Arial" w:cs="Arial"/>
        </w:rPr>
        <w:fldChar w:fldCharType="end"/>
      </w:r>
      <w:r w:rsidRPr="00F01BD0">
        <w:rPr>
          <w:rFonts w:ascii="Arial" w:hAnsi="Arial" w:cs="Arial"/>
        </w:rPr>
        <w:t>. Each of the 14 items has a set of four response categories: Definitely Agree (= 1), Agree (= 2), Disagree (= 3), and Definitely Disagree (= 4). A higher total score indicates higher levels of current anhedonia.</w:t>
      </w:r>
    </w:p>
    <w:p w14:paraId="600B3DF0" w14:textId="61C3D7AF" w:rsidR="0000798D" w:rsidRPr="00F01BD0" w:rsidRDefault="0000798D" w:rsidP="0000798D">
      <w:pPr>
        <w:spacing w:line="360" w:lineRule="auto"/>
        <w:rPr>
          <w:rFonts w:ascii="Arial" w:hAnsi="Arial" w:cs="Arial"/>
        </w:rPr>
      </w:pPr>
      <w:r w:rsidRPr="00F01BD0">
        <w:rPr>
          <w:rFonts w:ascii="Arial" w:hAnsi="Arial" w:cs="Arial"/>
        </w:rPr>
        <w:t xml:space="preserve">Childhood Trauma Questionnaire (CTQ) </w:t>
      </w:r>
      <w:r w:rsidRPr="00F01BD0">
        <w:rPr>
          <w:rFonts w:ascii="Arial" w:hAnsi="Arial" w:cs="Arial"/>
        </w:rPr>
        <w:fldChar w:fldCharType="begin">
          <w:fldData xml:space="preserve">PEVuZE5vdGU+PENpdGU+PEF1dGhvcj5CZXJuc3RlaW48L0F1dGhvcj48WWVhcj4xOTk0PC9ZZWFy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</w:fldData>
        </w:fldChar>
      </w:r>
      <w:r w:rsidR="00E95E01">
        <w:rPr>
          <w:rFonts w:ascii="Arial" w:hAnsi="Arial" w:cs="Arial"/>
        </w:rPr>
        <w:instrText xml:space="preserve"> ADDIN EN.CITE </w:instrText>
      </w:r>
      <w:r w:rsidR="00E95E01">
        <w:rPr>
          <w:rFonts w:ascii="Arial" w:hAnsi="Arial" w:cs="Arial"/>
        </w:rPr>
        <w:fldChar w:fldCharType="begin">
          <w:fldData xml:space="preserve">PEVuZE5vdGU+PENpdGU+PEF1dGhvcj5CZXJuc3RlaW48L0F1dGhvcj48WWVhcj4xOTk0PC9ZZWFy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</w:fldData>
        </w:fldChar>
      </w:r>
      <w:r w:rsidR="00E95E01">
        <w:rPr>
          <w:rFonts w:ascii="Arial" w:hAnsi="Arial" w:cs="Arial"/>
        </w:rPr>
        <w:instrText xml:space="preserve"> ADDIN EN.CITE.DATA </w:instrText>
      </w:r>
      <w:r w:rsidR="00E95E01">
        <w:rPr>
          <w:rFonts w:ascii="Arial" w:hAnsi="Arial" w:cs="Arial"/>
        </w:rPr>
      </w:r>
      <w:r w:rsidR="00E95E01">
        <w:rPr>
          <w:rFonts w:ascii="Arial" w:hAnsi="Arial" w:cs="Arial"/>
        </w:rPr>
        <w:fldChar w:fldCharType="end"/>
      </w:r>
      <w:r w:rsidRPr="00F01BD0">
        <w:rPr>
          <w:rFonts w:ascii="Arial" w:hAnsi="Arial" w:cs="Arial"/>
        </w:rPr>
      </w:r>
      <w:r w:rsidRPr="00F01BD0">
        <w:rPr>
          <w:rFonts w:ascii="Arial" w:hAnsi="Arial" w:cs="Arial"/>
        </w:rPr>
        <w:fldChar w:fldCharType="separate"/>
      </w:r>
      <w:r w:rsidR="00E95E01">
        <w:rPr>
          <w:rFonts w:ascii="Arial" w:hAnsi="Arial" w:cs="Arial"/>
          <w:noProof/>
        </w:rPr>
        <w:t>(</w:t>
      </w:r>
      <w:hyperlink w:anchor="_ENREF_2" w:tooltip="Bernstein, 1994 #7821" w:history="1">
        <w:r w:rsidR="00E95E01">
          <w:rPr>
            <w:rFonts w:ascii="Arial" w:hAnsi="Arial" w:cs="Arial"/>
            <w:noProof/>
          </w:rPr>
          <w:t>Bernstein</w:t>
        </w:r>
        <w:r w:rsidR="00E95E01" w:rsidRPr="00E95E01">
          <w:rPr>
            <w:rFonts w:ascii="Arial" w:hAnsi="Arial" w:cs="Arial"/>
            <w:i/>
            <w:noProof/>
          </w:rPr>
          <w:t xml:space="preserve"> et al</w:t>
        </w:r>
        <w:r w:rsidR="00E95E01">
          <w:rPr>
            <w:rFonts w:ascii="Arial" w:hAnsi="Arial" w:cs="Arial"/>
            <w:noProof/>
          </w:rPr>
          <w:t>, 1994</w:t>
        </w:r>
      </w:hyperlink>
      <w:r w:rsidR="00E95E01">
        <w:rPr>
          <w:rFonts w:ascii="Arial" w:hAnsi="Arial" w:cs="Arial"/>
          <w:noProof/>
        </w:rPr>
        <w:t>)</w:t>
      </w:r>
      <w:r w:rsidRPr="00F01BD0">
        <w:rPr>
          <w:rFonts w:ascii="Arial" w:hAnsi="Arial" w:cs="Arial"/>
        </w:rPr>
        <w:fldChar w:fldCharType="end"/>
      </w:r>
      <w:r w:rsidRPr="00F01BD0">
        <w:rPr>
          <w:rFonts w:ascii="Arial" w:hAnsi="Arial" w:cs="Arial"/>
        </w:rPr>
        <w:t>. The CTQ is a standardized, retrospective 28-item self-report inventory that measures the severity of different types of childhood trauma, producing five clinical subscales each comprised of five items: Emotional Abuse, Physical Abuse, Sexual Abuse, Emotional Neglect, Physical Neglect. The measure also includes a three-item Minimization/Denial scale indicating the potential underreporting of maltreatment. Participants respond to each item in the context of “when you were growing up” and answer according to a five point Likert scale ranging from “never” = 1 to “very often” = 5, producing scores of 5 to 25 for each trauma subscale. The three items comprising the Minimization/Denial scale are dichotomized (“never” = 0, all other responses = 1) and summed; a total of one (1) or greater “suggests the possible underreporting of maltreatment (false negatives)”.</w:t>
      </w:r>
    </w:p>
    <w:p w14:paraId="2A5417B3" w14:textId="77777777" w:rsidR="0000798D" w:rsidRPr="009A5ED8" w:rsidRDefault="009A5ED8">
      <w:pPr>
        <w:rPr>
          <w:b/>
        </w:rPr>
      </w:pPr>
      <w:r w:rsidRPr="009A5ED8">
        <w:rPr>
          <w:b/>
        </w:rPr>
        <w:lastRenderedPageBreak/>
        <w:t>CRP assay</w:t>
      </w:r>
    </w:p>
    <w:p w14:paraId="1DA67186" w14:textId="6016ECE4" w:rsidR="00712F04" w:rsidRDefault="009A5ED8" w:rsidP="004445A3">
      <w:pPr>
        <w:spacing w:line="360" w:lineRule="auto"/>
        <w:rPr>
          <w:b/>
        </w:rPr>
      </w:pPr>
      <w:r>
        <w:rPr>
          <w:rFonts w:ascii="Arial" w:hAnsi="Arial" w:cs="Arial"/>
        </w:rPr>
        <w:t xml:space="preserve">Blood samples were </w:t>
      </w:r>
      <w:r w:rsidRPr="00F01BD0">
        <w:rPr>
          <w:rFonts w:ascii="Arial" w:hAnsi="Arial" w:cs="Arial"/>
        </w:rPr>
        <w:t>allowed to coagulate for 30-60 minutes</w:t>
      </w:r>
      <w:r>
        <w:rPr>
          <w:rFonts w:ascii="Arial" w:hAnsi="Arial" w:cs="Arial"/>
        </w:rPr>
        <w:t xml:space="preserve"> then</w:t>
      </w:r>
      <w:r w:rsidRPr="00F01BD0">
        <w:rPr>
          <w:rFonts w:ascii="Arial" w:hAnsi="Arial" w:cs="Arial"/>
        </w:rPr>
        <w:t xml:space="preserve"> centrifuged at 1600 R</w:t>
      </w:r>
      <w:r>
        <w:rPr>
          <w:rFonts w:ascii="Arial" w:hAnsi="Arial" w:cs="Arial"/>
        </w:rPr>
        <w:t>elative Centrifugal Force (RCF)</w:t>
      </w:r>
      <w:r w:rsidRPr="00F01BD0">
        <w:rPr>
          <w:rFonts w:ascii="Arial" w:hAnsi="Arial" w:cs="Arial"/>
        </w:rPr>
        <w:t xml:space="preserve"> for 15 mins. 1ml of the resultant sample was then transferred to a white-topped serum tube using a pipette, </w:t>
      </w:r>
      <w:r w:rsidRPr="00C71513">
        <w:rPr>
          <w:rFonts w:ascii="Arial" w:hAnsi="Arial" w:cs="Arial"/>
        </w:rPr>
        <w:t>and transported at room temperature to a central laboratory (Q</w:t>
      </w:r>
      <w:r w:rsidRPr="00C71513">
        <w:rPr>
          <w:rFonts w:ascii="Arial" w:hAnsi="Arial" w:cs="Arial"/>
          <w:vertAlign w:val="superscript"/>
        </w:rPr>
        <w:t>2</w:t>
      </w:r>
      <w:r w:rsidRPr="00C71513">
        <w:rPr>
          <w:rFonts w:ascii="Arial" w:hAnsi="Arial" w:cs="Arial"/>
        </w:rPr>
        <w:t xml:space="preserve"> solutions). Samples were</w:t>
      </w:r>
      <w:r w:rsidRPr="00F01BD0">
        <w:rPr>
          <w:rFonts w:ascii="Arial" w:hAnsi="Arial" w:cs="Arial"/>
        </w:rPr>
        <w:t xml:space="preserve"> exposed to anti-CRP-antibodies on latex particles, and the increase in light absorption due to complex formation was used to quantify CRP levels, using Turbidimetry on Beckman Coulter AU analyzers. </w:t>
      </w:r>
      <w:r w:rsidR="00712F04">
        <w:rPr>
          <w:rFonts w:ascii="Arial" w:hAnsi="Arial" w:cs="Arial"/>
        </w:rPr>
        <w:t>Pentameric CRP was analyse</w:t>
      </w:r>
      <w:r w:rsidR="00713628">
        <w:rPr>
          <w:rFonts w:ascii="Arial" w:hAnsi="Arial" w:cs="Arial"/>
        </w:rPr>
        <w:t>d</w:t>
      </w:r>
      <w:r w:rsidR="00712F04">
        <w:rPr>
          <w:rFonts w:ascii="Arial" w:hAnsi="Arial" w:cs="Arial"/>
        </w:rPr>
        <w:t xml:space="preserve"> on the day of receipt rather than in batches, and the </w:t>
      </w:r>
      <w:r w:rsidR="00713628">
        <w:rPr>
          <w:rFonts w:ascii="Arial" w:hAnsi="Arial" w:cs="Arial"/>
        </w:rPr>
        <w:t>coefficients of variation for three concentrations of CRP are shown below:</w:t>
      </w:r>
    </w:p>
    <w:p w14:paraId="1C0AD10B" w14:textId="20644580" w:rsidR="00712F04" w:rsidRDefault="00712F04">
      <w:pPr>
        <w:rPr>
          <w:b/>
        </w:rPr>
      </w:pPr>
    </w:p>
    <w:tbl>
      <w:tblPr>
        <w:tblW w:w="5180" w:type="dxa"/>
        <w:tblInd w:w="1522" w:type="dxa"/>
        <w:shd w:val="clear" w:color="auto" w:fill="FFFFFF"/>
        <w:tblCellMar>
          <w:left w:w="0" w:type="dxa"/>
          <w:right w:w="0" w:type="dxa"/>
        </w:tblCellMar>
        <w:tblLook w:val="04A0" w:firstRow="1" w:lastRow="0" w:firstColumn="1" w:lastColumn="0" w:noHBand="0" w:noVBand="1"/>
      </w:tblPr>
      <w:tblGrid>
        <w:gridCol w:w="1340"/>
        <w:gridCol w:w="942"/>
        <w:gridCol w:w="978"/>
        <w:gridCol w:w="942"/>
        <w:gridCol w:w="978"/>
      </w:tblGrid>
      <w:tr w:rsidR="00712F04" w:rsidRPr="00712F04" w14:paraId="7E607857" w14:textId="77777777" w:rsidTr="00712F04">
        <w:trPr>
          <w:trHeight w:val="300"/>
        </w:trPr>
        <w:tc>
          <w:tcPr>
            <w:tcW w:w="1340" w:type="dxa"/>
            <w:tcBorders>
              <w:top w:val="single" w:sz="8" w:space="0" w:color="auto"/>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243EE38D" w14:textId="77777777" w:rsidR="00712F04" w:rsidRPr="00712F04" w:rsidRDefault="00712F04" w:rsidP="00712F04">
            <w:pPr>
              <w:spacing w:after="0" w:line="240" w:lineRule="auto"/>
              <w:rPr>
                <w:rFonts w:ascii="Arial" w:eastAsia="Times New Roman" w:hAnsi="Arial" w:cs="Arial"/>
                <w:color w:val="222222"/>
                <w:sz w:val="19"/>
                <w:szCs w:val="19"/>
                <w:lang w:eastAsia="en-GB"/>
              </w:rPr>
            </w:pPr>
            <w:r w:rsidRPr="00712F04">
              <w:rPr>
                <w:rFonts w:ascii="Arial" w:eastAsia="Times New Roman" w:hAnsi="Arial" w:cs="Arial"/>
                <w:b/>
                <w:bCs/>
                <w:color w:val="000000"/>
                <w:sz w:val="19"/>
                <w:szCs w:val="19"/>
                <w:lang w:eastAsia="en-GB"/>
              </w:rPr>
              <w:t>n = 80</w:t>
            </w:r>
          </w:p>
        </w:tc>
        <w:tc>
          <w:tcPr>
            <w:tcW w:w="1920" w:type="dxa"/>
            <w:gridSpan w:val="2"/>
            <w:tcBorders>
              <w:top w:val="single" w:sz="8" w:space="0" w:color="auto"/>
              <w:left w:val="nil"/>
              <w:bottom w:val="single" w:sz="8" w:space="0" w:color="auto"/>
              <w:right w:val="single" w:sz="8" w:space="0" w:color="000000"/>
            </w:tcBorders>
            <w:shd w:val="clear" w:color="auto" w:fill="FFFFFF"/>
            <w:noWrap/>
            <w:tcMar>
              <w:top w:w="0" w:type="dxa"/>
              <w:left w:w="108" w:type="dxa"/>
              <w:bottom w:w="0" w:type="dxa"/>
              <w:right w:w="108" w:type="dxa"/>
            </w:tcMar>
            <w:vAlign w:val="bottom"/>
            <w:hideMark/>
          </w:tcPr>
          <w:p w14:paraId="1BAC51EC" w14:textId="77777777" w:rsidR="00712F04" w:rsidRPr="00712F04" w:rsidRDefault="00712F04" w:rsidP="00712F04">
            <w:pPr>
              <w:spacing w:after="0" w:line="240" w:lineRule="auto"/>
              <w:jc w:val="center"/>
              <w:rPr>
                <w:rFonts w:ascii="Arial" w:eastAsia="Times New Roman" w:hAnsi="Arial" w:cs="Arial"/>
                <w:color w:val="222222"/>
                <w:sz w:val="19"/>
                <w:szCs w:val="19"/>
                <w:lang w:eastAsia="en-GB"/>
              </w:rPr>
            </w:pPr>
            <w:r w:rsidRPr="00712F04">
              <w:rPr>
                <w:rFonts w:ascii="Arial" w:eastAsia="Times New Roman" w:hAnsi="Arial" w:cs="Arial"/>
                <w:b/>
                <w:bCs/>
                <w:color w:val="000000"/>
                <w:sz w:val="19"/>
                <w:szCs w:val="19"/>
                <w:lang w:eastAsia="en-GB"/>
              </w:rPr>
              <w:t>Within-run (Intra)</w:t>
            </w:r>
          </w:p>
        </w:tc>
        <w:tc>
          <w:tcPr>
            <w:tcW w:w="1920" w:type="dxa"/>
            <w:gridSpan w:val="2"/>
            <w:tcBorders>
              <w:top w:val="single" w:sz="8" w:space="0" w:color="auto"/>
              <w:left w:val="nil"/>
              <w:bottom w:val="single" w:sz="8" w:space="0" w:color="auto"/>
              <w:right w:val="single" w:sz="8" w:space="0" w:color="000000"/>
            </w:tcBorders>
            <w:shd w:val="clear" w:color="auto" w:fill="FFFFFF"/>
            <w:noWrap/>
            <w:tcMar>
              <w:top w:w="0" w:type="dxa"/>
              <w:left w:w="108" w:type="dxa"/>
              <w:bottom w:w="0" w:type="dxa"/>
              <w:right w:w="108" w:type="dxa"/>
            </w:tcMar>
            <w:vAlign w:val="bottom"/>
            <w:hideMark/>
          </w:tcPr>
          <w:p w14:paraId="3CCF78F7" w14:textId="77777777" w:rsidR="00712F04" w:rsidRPr="00712F04" w:rsidRDefault="00712F04" w:rsidP="00712F04">
            <w:pPr>
              <w:spacing w:after="0" w:line="240" w:lineRule="auto"/>
              <w:jc w:val="center"/>
              <w:rPr>
                <w:rFonts w:ascii="Arial" w:eastAsia="Times New Roman" w:hAnsi="Arial" w:cs="Arial"/>
                <w:color w:val="222222"/>
                <w:sz w:val="19"/>
                <w:szCs w:val="19"/>
                <w:lang w:eastAsia="en-GB"/>
              </w:rPr>
            </w:pPr>
            <w:r w:rsidRPr="00712F04">
              <w:rPr>
                <w:rFonts w:ascii="Arial" w:eastAsia="Times New Roman" w:hAnsi="Arial" w:cs="Arial"/>
                <w:b/>
                <w:bCs/>
                <w:color w:val="000000"/>
                <w:sz w:val="19"/>
                <w:szCs w:val="19"/>
                <w:lang w:eastAsia="en-GB"/>
              </w:rPr>
              <w:t>Total (Inter)</w:t>
            </w:r>
          </w:p>
        </w:tc>
      </w:tr>
      <w:tr w:rsidR="00712F04" w:rsidRPr="00712F04" w14:paraId="203FC097" w14:textId="77777777" w:rsidTr="00712F04">
        <w:trPr>
          <w:trHeight w:val="300"/>
        </w:trPr>
        <w:tc>
          <w:tcPr>
            <w:tcW w:w="1340"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55F58EED" w14:textId="77777777" w:rsidR="00712F04" w:rsidRPr="00712F04" w:rsidRDefault="00712F04" w:rsidP="00712F04">
            <w:pPr>
              <w:spacing w:after="0" w:line="240" w:lineRule="auto"/>
              <w:rPr>
                <w:rFonts w:ascii="Arial" w:eastAsia="Times New Roman" w:hAnsi="Arial" w:cs="Arial"/>
                <w:color w:val="222222"/>
                <w:sz w:val="19"/>
                <w:szCs w:val="19"/>
                <w:lang w:eastAsia="en-GB"/>
              </w:rPr>
            </w:pPr>
            <w:r w:rsidRPr="00712F04">
              <w:rPr>
                <w:rFonts w:ascii="Arial" w:eastAsia="Times New Roman" w:hAnsi="Arial" w:cs="Arial"/>
                <w:b/>
                <w:bCs/>
                <w:color w:val="000000"/>
                <w:sz w:val="19"/>
                <w:szCs w:val="19"/>
                <w:lang w:eastAsia="en-GB"/>
              </w:rPr>
              <w:t>Mean mg/L</w:t>
            </w:r>
          </w:p>
        </w:tc>
        <w:tc>
          <w:tcPr>
            <w:tcW w:w="94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4878F489" w14:textId="77777777" w:rsidR="00712F04" w:rsidRPr="00712F04" w:rsidRDefault="00712F04" w:rsidP="00712F04">
            <w:pPr>
              <w:spacing w:after="0" w:line="240" w:lineRule="auto"/>
              <w:rPr>
                <w:rFonts w:ascii="Arial" w:eastAsia="Times New Roman" w:hAnsi="Arial" w:cs="Arial"/>
                <w:color w:val="222222"/>
                <w:sz w:val="19"/>
                <w:szCs w:val="19"/>
                <w:lang w:eastAsia="en-GB"/>
              </w:rPr>
            </w:pPr>
            <w:r w:rsidRPr="00712F04">
              <w:rPr>
                <w:rFonts w:ascii="Arial" w:eastAsia="Times New Roman" w:hAnsi="Arial" w:cs="Arial"/>
                <w:b/>
                <w:bCs/>
                <w:color w:val="000000"/>
                <w:sz w:val="19"/>
                <w:szCs w:val="19"/>
                <w:lang w:eastAsia="en-GB"/>
              </w:rPr>
              <w:t>SD</w:t>
            </w:r>
          </w:p>
        </w:tc>
        <w:tc>
          <w:tcPr>
            <w:tcW w:w="97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634A0ED3" w14:textId="77777777" w:rsidR="00712F04" w:rsidRPr="00712F04" w:rsidRDefault="00712F04" w:rsidP="00712F04">
            <w:pPr>
              <w:spacing w:after="0" w:line="240" w:lineRule="auto"/>
              <w:rPr>
                <w:rFonts w:ascii="Arial" w:eastAsia="Times New Roman" w:hAnsi="Arial" w:cs="Arial"/>
                <w:color w:val="222222"/>
                <w:sz w:val="19"/>
                <w:szCs w:val="19"/>
                <w:lang w:eastAsia="en-GB"/>
              </w:rPr>
            </w:pPr>
            <w:r w:rsidRPr="00712F04">
              <w:rPr>
                <w:rFonts w:ascii="Arial" w:eastAsia="Times New Roman" w:hAnsi="Arial" w:cs="Arial"/>
                <w:b/>
                <w:bCs/>
                <w:color w:val="000000"/>
                <w:sz w:val="19"/>
                <w:szCs w:val="19"/>
                <w:lang w:eastAsia="en-GB"/>
              </w:rPr>
              <w:t>CV%</w:t>
            </w:r>
          </w:p>
        </w:tc>
        <w:tc>
          <w:tcPr>
            <w:tcW w:w="94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2B279370" w14:textId="77777777" w:rsidR="00712F04" w:rsidRPr="00712F04" w:rsidRDefault="00712F04" w:rsidP="00712F04">
            <w:pPr>
              <w:spacing w:after="0" w:line="240" w:lineRule="auto"/>
              <w:rPr>
                <w:rFonts w:ascii="Arial" w:eastAsia="Times New Roman" w:hAnsi="Arial" w:cs="Arial"/>
                <w:color w:val="222222"/>
                <w:sz w:val="19"/>
                <w:szCs w:val="19"/>
                <w:lang w:eastAsia="en-GB"/>
              </w:rPr>
            </w:pPr>
            <w:r w:rsidRPr="00712F04">
              <w:rPr>
                <w:rFonts w:ascii="Arial" w:eastAsia="Times New Roman" w:hAnsi="Arial" w:cs="Arial"/>
                <w:b/>
                <w:bCs/>
                <w:color w:val="000000"/>
                <w:sz w:val="19"/>
                <w:szCs w:val="19"/>
                <w:lang w:eastAsia="en-GB"/>
              </w:rPr>
              <w:t>SD</w:t>
            </w:r>
          </w:p>
        </w:tc>
        <w:tc>
          <w:tcPr>
            <w:tcW w:w="97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285000E9" w14:textId="77777777" w:rsidR="00712F04" w:rsidRPr="00712F04" w:rsidRDefault="00712F04" w:rsidP="00712F04">
            <w:pPr>
              <w:spacing w:after="0" w:line="240" w:lineRule="auto"/>
              <w:rPr>
                <w:rFonts w:ascii="Arial" w:eastAsia="Times New Roman" w:hAnsi="Arial" w:cs="Arial"/>
                <w:color w:val="222222"/>
                <w:sz w:val="19"/>
                <w:szCs w:val="19"/>
                <w:lang w:eastAsia="en-GB"/>
              </w:rPr>
            </w:pPr>
            <w:r w:rsidRPr="00712F04">
              <w:rPr>
                <w:rFonts w:ascii="Arial" w:eastAsia="Times New Roman" w:hAnsi="Arial" w:cs="Arial"/>
                <w:b/>
                <w:bCs/>
                <w:color w:val="000000"/>
                <w:sz w:val="19"/>
                <w:szCs w:val="19"/>
                <w:lang w:eastAsia="en-GB"/>
              </w:rPr>
              <w:t>CV%</w:t>
            </w:r>
          </w:p>
        </w:tc>
      </w:tr>
      <w:tr w:rsidR="00712F04" w:rsidRPr="00712F04" w14:paraId="05E6F054" w14:textId="77777777" w:rsidTr="00712F04">
        <w:trPr>
          <w:trHeight w:val="300"/>
        </w:trPr>
        <w:tc>
          <w:tcPr>
            <w:tcW w:w="1340"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48CC2172" w14:textId="77777777" w:rsidR="00712F04" w:rsidRPr="00712F04" w:rsidRDefault="00712F04" w:rsidP="00712F04">
            <w:pPr>
              <w:spacing w:after="0" w:line="240" w:lineRule="auto"/>
              <w:jc w:val="right"/>
              <w:rPr>
                <w:rFonts w:ascii="Arial" w:eastAsia="Times New Roman" w:hAnsi="Arial" w:cs="Arial"/>
                <w:color w:val="222222"/>
                <w:sz w:val="19"/>
                <w:szCs w:val="19"/>
                <w:lang w:eastAsia="en-GB"/>
              </w:rPr>
            </w:pPr>
            <w:r w:rsidRPr="00712F04">
              <w:rPr>
                <w:rFonts w:ascii="Arial" w:eastAsia="Times New Roman" w:hAnsi="Arial" w:cs="Arial"/>
                <w:color w:val="000000"/>
                <w:sz w:val="19"/>
                <w:szCs w:val="19"/>
                <w:lang w:eastAsia="en-GB"/>
              </w:rPr>
              <w:t>10.9</w:t>
            </w:r>
          </w:p>
        </w:tc>
        <w:tc>
          <w:tcPr>
            <w:tcW w:w="94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5A2BDBEB" w14:textId="77777777" w:rsidR="00712F04" w:rsidRPr="00712F04" w:rsidRDefault="00712F04" w:rsidP="00712F04">
            <w:pPr>
              <w:spacing w:after="0" w:line="240" w:lineRule="auto"/>
              <w:jc w:val="right"/>
              <w:rPr>
                <w:rFonts w:ascii="Arial" w:eastAsia="Times New Roman" w:hAnsi="Arial" w:cs="Arial"/>
                <w:color w:val="222222"/>
                <w:sz w:val="19"/>
                <w:szCs w:val="19"/>
                <w:lang w:eastAsia="en-GB"/>
              </w:rPr>
            </w:pPr>
            <w:r w:rsidRPr="00712F04">
              <w:rPr>
                <w:rFonts w:ascii="Arial" w:eastAsia="Times New Roman" w:hAnsi="Arial" w:cs="Arial"/>
                <w:color w:val="000000"/>
                <w:sz w:val="19"/>
                <w:szCs w:val="19"/>
                <w:lang w:eastAsia="en-GB"/>
              </w:rPr>
              <w:t>0.31</w:t>
            </w:r>
          </w:p>
        </w:tc>
        <w:tc>
          <w:tcPr>
            <w:tcW w:w="97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5FA0A77A" w14:textId="77777777" w:rsidR="00712F04" w:rsidRPr="00712F04" w:rsidRDefault="00712F04" w:rsidP="00712F04">
            <w:pPr>
              <w:spacing w:after="0" w:line="240" w:lineRule="auto"/>
              <w:jc w:val="right"/>
              <w:rPr>
                <w:rFonts w:ascii="Arial" w:eastAsia="Times New Roman" w:hAnsi="Arial" w:cs="Arial"/>
                <w:color w:val="222222"/>
                <w:sz w:val="19"/>
                <w:szCs w:val="19"/>
                <w:lang w:eastAsia="en-GB"/>
              </w:rPr>
            </w:pPr>
            <w:r w:rsidRPr="00712F04">
              <w:rPr>
                <w:rFonts w:ascii="Arial" w:eastAsia="Times New Roman" w:hAnsi="Arial" w:cs="Arial"/>
                <w:color w:val="000000"/>
                <w:sz w:val="19"/>
                <w:szCs w:val="19"/>
                <w:lang w:eastAsia="en-GB"/>
              </w:rPr>
              <w:t>2.81</w:t>
            </w:r>
          </w:p>
        </w:tc>
        <w:tc>
          <w:tcPr>
            <w:tcW w:w="94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3145DCBF" w14:textId="77777777" w:rsidR="00712F04" w:rsidRPr="00712F04" w:rsidRDefault="00712F04" w:rsidP="00712F04">
            <w:pPr>
              <w:spacing w:after="0" w:line="240" w:lineRule="auto"/>
              <w:jc w:val="right"/>
              <w:rPr>
                <w:rFonts w:ascii="Arial" w:eastAsia="Times New Roman" w:hAnsi="Arial" w:cs="Arial"/>
                <w:color w:val="222222"/>
                <w:sz w:val="19"/>
                <w:szCs w:val="19"/>
                <w:lang w:eastAsia="en-GB"/>
              </w:rPr>
            </w:pPr>
            <w:r w:rsidRPr="00712F04">
              <w:rPr>
                <w:rFonts w:ascii="Arial" w:eastAsia="Times New Roman" w:hAnsi="Arial" w:cs="Arial"/>
                <w:color w:val="000000"/>
                <w:sz w:val="19"/>
                <w:szCs w:val="19"/>
                <w:lang w:eastAsia="en-GB"/>
              </w:rPr>
              <w:t>0.65</w:t>
            </w:r>
          </w:p>
        </w:tc>
        <w:tc>
          <w:tcPr>
            <w:tcW w:w="97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603254AA" w14:textId="77777777" w:rsidR="00712F04" w:rsidRPr="00712F04" w:rsidRDefault="00712F04" w:rsidP="00712F04">
            <w:pPr>
              <w:spacing w:after="0" w:line="240" w:lineRule="auto"/>
              <w:jc w:val="right"/>
              <w:rPr>
                <w:rFonts w:ascii="Arial" w:eastAsia="Times New Roman" w:hAnsi="Arial" w:cs="Arial"/>
                <w:color w:val="222222"/>
                <w:sz w:val="19"/>
                <w:szCs w:val="19"/>
                <w:lang w:eastAsia="en-GB"/>
              </w:rPr>
            </w:pPr>
            <w:r w:rsidRPr="00712F04">
              <w:rPr>
                <w:rFonts w:ascii="Arial" w:eastAsia="Times New Roman" w:hAnsi="Arial" w:cs="Arial"/>
                <w:color w:val="000000"/>
                <w:sz w:val="19"/>
                <w:szCs w:val="19"/>
                <w:lang w:eastAsia="en-GB"/>
              </w:rPr>
              <w:t>5.99</w:t>
            </w:r>
          </w:p>
        </w:tc>
      </w:tr>
      <w:tr w:rsidR="00712F04" w:rsidRPr="00712F04" w14:paraId="65C9F91A" w14:textId="77777777" w:rsidTr="00712F04">
        <w:trPr>
          <w:trHeight w:val="300"/>
        </w:trPr>
        <w:tc>
          <w:tcPr>
            <w:tcW w:w="1340"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079E6F95" w14:textId="77777777" w:rsidR="00712F04" w:rsidRPr="00712F04" w:rsidRDefault="00712F04" w:rsidP="00712F04">
            <w:pPr>
              <w:spacing w:after="0" w:line="240" w:lineRule="auto"/>
              <w:jc w:val="right"/>
              <w:rPr>
                <w:rFonts w:ascii="Arial" w:eastAsia="Times New Roman" w:hAnsi="Arial" w:cs="Arial"/>
                <w:color w:val="222222"/>
                <w:sz w:val="19"/>
                <w:szCs w:val="19"/>
                <w:lang w:eastAsia="en-GB"/>
              </w:rPr>
            </w:pPr>
            <w:r w:rsidRPr="00712F04">
              <w:rPr>
                <w:rFonts w:ascii="Arial" w:eastAsia="Times New Roman" w:hAnsi="Arial" w:cs="Arial"/>
                <w:color w:val="000000"/>
                <w:sz w:val="19"/>
                <w:szCs w:val="19"/>
                <w:lang w:eastAsia="en-GB"/>
              </w:rPr>
              <w:t>89.56</w:t>
            </w:r>
          </w:p>
        </w:tc>
        <w:tc>
          <w:tcPr>
            <w:tcW w:w="94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642B48EB" w14:textId="77777777" w:rsidR="00712F04" w:rsidRPr="00712F04" w:rsidRDefault="00712F04" w:rsidP="00712F04">
            <w:pPr>
              <w:spacing w:after="0" w:line="240" w:lineRule="auto"/>
              <w:jc w:val="right"/>
              <w:rPr>
                <w:rFonts w:ascii="Arial" w:eastAsia="Times New Roman" w:hAnsi="Arial" w:cs="Arial"/>
                <w:color w:val="222222"/>
                <w:sz w:val="19"/>
                <w:szCs w:val="19"/>
                <w:lang w:eastAsia="en-GB"/>
              </w:rPr>
            </w:pPr>
            <w:r w:rsidRPr="00712F04">
              <w:rPr>
                <w:rFonts w:ascii="Arial" w:eastAsia="Times New Roman" w:hAnsi="Arial" w:cs="Arial"/>
                <w:color w:val="000000"/>
                <w:sz w:val="19"/>
                <w:szCs w:val="19"/>
                <w:lang w:eastAsia="en-GB"/>
              </w:rPr>
              <w:t>2.24</w:t>
            </w:r>
          </w:p>
        </w:tc>
        <w:tc>
          <w:tcPr>
            <w:tcW w:w="97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6B995C80" w14:textId="77777777" w:rsidR="00712F04" w:rsidRPr="00712F04" w:rsidRDefault="00712F04" w:rsidP="00712F04">
            <w:pPr>
              <w:spacing w:after="0" w:line="240" w:lineRule="auto"/>
              <w:jc w:val="right"/>
              <w:rPr>
                <w:rFonts w:ascii="Arial" w:eastAsia="Times New Roman" w:hAnsi="Arial" w:cs="Arial"/>
                <w:color w:val="222222"/>
                <w:sz w:val="19"/>
                <w:szCs w:val="19"/>
                <w:lang w:eastAsia="en-GB"/>
              </w:rPr>
            </w:pPr>
            <w:r w:rsidRPr="00712F04">
              <w:rPr>
                <w:rFonts w:ascii="Arial" w:eastAsia="Times New Roman" w:hAnsi="Arial" w:cs="Arial"/>
                <w:color w:val="000000"/>
                <w:sz w:val="19"/>
                <w:szCs w:val="19"/>
                <w:lang w:eastAsia="en-GB"/>
              </w:rPr>
              <w:t>2.49</w:t>
            </w:r>
          </w:p>
        </w:tc>
        <w:tc>
          <w:tcPr>
            <w:tcW w:w="94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757E8160" w14:textId="77777777" w:rsidR="00712F04" w:rsidRPr="00712F04" w:rsidRDefault="00712F04" w:rsidP="00712F04">
            <w:pPr>
              <w:spacing w:after="0" w:line="240" w:lineRule="auto"/>
              <w:jc w:val="right"/>
              <w:rPr>
                <w:rFonts w:ascii="Arial" w:eastAsia="Times New Roman" w:hAnsi="Arial" w:cs="Arial"/>
                <w:color w:val="222222"/>
                <w:sz w:val="19"/>
                <w:szCs w:val="19"/>
                <w:lang w:eastAsia="en-GB"/>
              </w:rPr>
            </w:pPr>
            <w:r w:rsidRPr="00712F04">
              <w:rPr>
                <w:rFonts w:ascii="Arial" w:eastAsia="Times New Roman" w:hAnsi="Arial" w:cs="Arial"/>
                <w:color w:val="000000"/>
                <w:sz w:val="19"/>
                <w:szCs w:val="19"/>
                <w:lang w:eastAsia="en-GB"/>
              </w:rPr>
              <w:t>2.29</w:t>
            </w:r>
          </w:p>
        </w:tc>
        <w:tc>
          <w:tcPr>
            <w:tcW w:w="97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113628DA" w14:textId="77777777" w:rsidR="00712F04" w:rsidRPr="00712F04" w:rsidRDefault="00712F04" w:rsidP="00712F04">
            <w:pPr>
              <w:spacing w:after="0" w:line="240" w:lineRule="auto"/>
              <w:jc w:val="right"/>
              <w:rPr>
                <w:rFonts w:ascii="Arial" w:eastAsia="Times New Roman" w:hAnsi="Arial" w:cs="Arial"/>
                <w:color w:val="222222"/>
                <w:sz w:val="19"/>
                <w:szCs w:val="19"/>
                <w:lang w:eastAsia="en-GB"/>
              </w:rPr>
            </w:pPr>
            <w:r w:rsidRPr="00712F04">
              <w:rPr>
                <w:rFonts w:ascii="Arial" w:eastAsia="Times New Roman" w:hAnsi="Arial" w:cs="Arial"/>
                <w:color w:val="000000"/>
                <w:sz w:val="19"/>
                <w:szCs w:val="19"/>
                <w:lang w:eastAsia="en-GB"/>
              </w:rPr>
              <w:t>2.55</w:t>
            </w:r>
          </w:p>
        </w:tc>
      </w:tr>
      <w:tr w:rsidR="00712F04" w:rsidRPr="00712F04" w14:paraId="5542F50A" w14:textId="77777777" w:rsidTr="00712F04">
        <w:trPr>
          <w:trHeight w:val="300"/>
        </w:trPr>
        <w:tc>
          <w:tcPr>
            <w:tcW w:w="1340"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10664658" w14:textId="77777777" w:rsidR="00712F04" w:rsidRPr="00712F04" w:rsidRDefault="00712F04" w:rsidP="00712F04">
            <w:pPr>
              <w:spacing w:after="0" w:line="240" w:lineRule="auto"/>
              <w:jc w:val="right"/>
              <w:rPr>
                <w:rFonts w:ascii="Arial" w:eastAsia="Times New Roman" w:hAnsi="Arial" w:cs="Arial"/>
                <w:color w:val="222222"/>
                <w:sz w:val="19"/>
                <w:szCs w:val="19"/>
                <w:lang w:eastAsia="en-GB"/>
              </w:rPr>
            </w:pPr>
            <w:r w:rsidRPr="00712F04">
              <w:rPr>
                <w:rFonts w:ascii="Arial" w:eastAsia="Times New Roman" w:hAnsi="Arial" w:cs="Arial"/>
                <w:color w:val="000000"/>
                <w:sz w:val="19"/>
                <w:szCs w:val="19"/>
                <w:lang w:eastAsia="en-GB"/>
              </w:rPr>
              <w:t>168.07</w:t>
            </w:r>
          </w:p>
        </w:tc>
        <w:tc>
          <w:tcPr>
            <w:tcW w:w="94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3EA56706" w14:textId="77777777" w:rsidR="00712F04" w:rsidRPr="00712F04" w:rsidRDefault="00712F04" w:rsidP="00712F04">
            <w:pPr>
              <w:spacing w:after="0" w:line="240" w:lineRule="auto"/>
              <w:jc w:val="right"/>
              <w:rPr>
                <w:rFonts w:ascii="Arial" w:eastAsia="Times New Roman" w:hAnsi="Arial" w:cs="Arial"/>
                <w:color w:val="222222"/>
                <w:sz w:val="19"/>
                <w:szCs w:val="19"/>
                <w:lang w:eastAsia="en-GB"/>
              </w:rPr>
            </w:pPr>
            <w:r w:rsidRPr="00712F04">
              <w:rPr>
                <w:rFonts w:ascii="Arial" w:eastAsia="Times New Roman" w:hAnsi="Arial" w:cs="Arial"/>
                <w:color w:val="000000"/>
                <w:sz w:val="19"/>
                <w:szCs w:val="19"/>
                <w:lang w:eastAsia="en-GB"/>
              </w:rPr>
              <w:t>1.71</w:t>
            </w:r>
          </w:p>
        </w:tc>
        <w:tc>
          <w:tcPr>
            <w:tcW w:w="97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6A6E2ED6" w14:textId="77777777" w:rsidR="00712F04" w:rsidRPr="00712F04" w:rsidRDefault="00712F04" w:rsidP="00712F04">
            <w:pPr>
              <w:spacing w:after="0" w:line="240" w:lineRule="auto"/>
              <w:jc w:val="right"/>
              <w:rPr>
                <w:rFonts w:ascii="Arial" w:eastAsia="Times New Roman" w:hAnsi="Arial" w:cs="Arial"/>
                <w:color w:val="222222"/>
                <w:sz w:val="19"/>
                <w:szCs w:val="19"/>
                <w:lang w:eastAsia="en-GB"/>
              </w:rPr>
            </w:pPr>
            <w:r w:rsidRPr="00712F04">
              <w:rPr>
                <w:rFonts w:ascii="Arial" w:eastAsia="Times New Roman" w:hAnsi="Arial" w:cs="Arial"/>
                <w:color w:val="000000"/>
                <w:sz w:val="19"/>
                <w:szCs w:val="19"/>
                <w:lang w:eastAsia="en-GB"/>
              </w:rPr>
              <w:t>1.02</w:t>
            </w:r>
          </w:p>
        </w:tc>
        <w:tc>
          <w:tcPr>
            <w:tcW w:w="94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2007C9E5" w14:textId="77777777" w:rsidR="00712F04" w:rsidRPr="00712F04" w:rsidRDefault="00712F04" w:rsidP="00712F04">
            <w:pPr>
              <w:spacing w:after="0" w:line="240" w:lineRule="auto"/>
              <w:jc w:val="right"/>
              <w:rPr>
                <w:rFonts w:ascii="Arial" w:eastAsia="Times New Roman" w:hAnsi="Arial" w:cs="Arial"/>
                <w:color w:val="222222"/>
                <w:sz w:val="19"/>
                <w:szCs w:val="19"/>
                <w:lang w:eastAsia="en-GB"/>
              </w:rPr>
            </w:pPr>
            <w:r w:rsidRPr="00712F04">
              <w:rPr>
                <w:rFonts w:ascii="Arial" w:eastAsia="Times New Roman" w:hAnsi="Arial" w:cs="Arial"/>
                <w:color w:val="000000"/>
                <w:sz w:val="19"/>
                <w:szCs w:val="19"/>
                <w:lang w:eastAsia="en-GB"/>
              </w:rPr>
              <w:t>2.17</w:t>
            </w:r>
          </w:p>
        </w:tc>
        <w:tc>
          <w:tcPr>
            <w:tcW w:w="978"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65D91D39" w14:textId="77777777" w:rsidR="00712F04" w:rsidRPr="00712F04" w:rsidRDefault="00712F04" w:rsidP="00712F04">
            <w:pPr>
              <w:spacing w:after="0" w:line="240" w:lineRule="auto"/>
              <w:jc w:val="right"/>
              <w:rPr>
                <w:rFonts w:ascii="Arial" w:eastAsia="Times New Roman" w:hAnsi="Arial" w:cs="Arial"/>
                <w:color w:val="222222"/>
                <w:sz w:val="19"/>
                <w:szCs w:val="19"/>
                <w:lang w:eastAsia="en-GB"/>
              </w:rPr>
            </w:pPr>
            <w:r w:rsidRPr="00712F04">
              <w:rPr>
                <w:rFonts w:ascii="Arial" w:eastAsia="Times New Roman" w:hAnsi="Arial" w:cs="Arial"/>
                <w:color w:val="000000"/>
                <w:sz w:val="19"/>
                <w:szCs w:val="19"/>
                <w:lang w:eastAsia="en-GB"/>
              </w:rPr>
              <w:t>1.29</w:t>
            </w:r>
          </w:p>
        </w:tc>
      </w:tr>
    </w:tbl>
    <w:p w14:paraId="41CB13F2" w14:textId="4D2FB5E0" w:rsidR="00712F04" w:rsidRDefault="00712F04">
      <w:pPr>
        <w:rPr>
          <w:b/>
        </w:rPr>
      </w:pPr>
    </w:p>
    <w:p w14:paraId="0CF5B1E6" w14:textId="77777777" w:rsidR="00712F04" w:rsidRDefault="00712F04">
      <w:pPr>
        <w:rPr>
          <w:b/>
        </w:rPr>
      </w:pPr>
    </w:p>
    <w:p w14:paraId="23CD16B0" w14:textId="5D2BD822" w:rsidR="004445A3" w:rsidRDefault="004445A3" w:rsidP="004445A3">
      <w:pPr>
        <w:pStyle w:val="CommentText"/>
      </w:pPr>
      <w:r>
        <w:rPr>
          <w:rFonts w:ascii="Arial" w:hAnsi="Arial" w:cs="Arial"/>
          <w:sz w:val="22"/>
          <w:szCs w:val="22"/>
        </w:rPr>
        <w:t>For three participants, the CRP result was outside the laboratory reference range, and there was evidence of minor infection in the preceding 2-weeks</w:t>
      </w:r>
      <w:r w:rsidR="00497EDA">
        <w:rPr>
          <w:rFonts w:ascii="Arial" w:hAnsi="Arial" w:cs="Arial"/>
          <w:sz w:val="22"/>
          <w:szCs w:val="22"/>
        </w:rPr>
        <w:t xml:space="preserve">. For these subjects, </w:t>
      </w:r>
      <w:r>
        <w:rPr>
          <w:rFonts w:ascii="Arial" w:hAnsi="Arial" w:cs="Arial"/>
          <w:sz w:val="22"/>
          <w:szCs w:val="22"/>
        </w:rPr>
        <w:t xml:space="preserve">CRP measurement was repeated </w:t>
      </w:r>
      <w:r w:rsidR="00497EDA">
        <w:rPr>
          <w:rFonts w:ascii="Arial" w:hAnsi="Arial" w:cs="Arial"/>
          <w:sz w:val="22"/>
          <w:szCs w:val="22"/>
        </w:rPr>
        <w:t xml:space="preserve">after recovery from infection and the second measurement was </w:t>
      </w:r>
      <w:r>
        <w:rPr>
          <w:rFonts w:ascii="Arial" w:hAnsi="Arial" w:cs="Arial"/>
          <w:sz w:val="22"/>
          <w:szCs w:val="22"/>
        </w:rPr>
        <w:t>used subsequently.</w:t>
      </w:r>
    </w:p>
    <w:p w14:paraId="6BDE4506" w14:textId="77777777" w:rsidR="004445A3" w:rsidRDefault="004445A3">
      <w:pPr>
        <w:rPr>
          <w:b/>
        </w:rPr>
      </w:pPr>
    </w:p>
    <w:p w14:paraId="6710A3B6" w14:textId="77777777" w:rsidR="00E95E01" w:rsidRDefault="00E95E01">
      <w:pPr>
        <w:rPr>
          <w:b/>
        </w:rPr>
      </w:pPr>
      <w:r>
        <w:rPr>
          <w:b/>
        </w:rPr>
        <w:br w:type="page"/>
      </w:r>
    </w:p>
    <w:p w14:paraId="4FE47142" w14:textId="6FB3FD7D" w:rsidR="009B43BD" w:rsidRDefault="008809D8">
      <w:pPr>
        <w:rPr>
          <w:b/>
        </w:rPr>
      </w:pPr>
      <w:r>
        <w:rPr>
          <w:b/>
        </w:rPr>
        <w:lastRenderedPageBreak/>
        <w:t xml:space="preserve">Supplementary </w:t>
      </w:r>
      <w:r w:rsidR="009B43BD">
        <w:rPr>
          <w:b/>
        </w:rPr>
        <w:t>Analysis</w:t>
      </w:r>
      <w:r>
        <w:rPr>
          <w:b/>
        </w:rPr>
        <w:t xml:space="preserve"> 1: </w:t>
      </w:r>
      <w:r w:rsidR="009B43BD">
        <w:rPr>
          <w:b/>
        </w:rPr>
        <w:t xml:space="preserve"> group-level difference in CRP using identical HAM-D threshold</w:t>
      </w:r>
      <w:r w:rsidR="00713628">
        <w:rPr>
          <w:b/>
        </w:rPr>
        <w:t>s</w:t>
      </w:r>
      <w:r w:rsidR="009B43BD">
        <w:rPr>
          <w:b/>
        </w:rPr>
        <w:t xml:space="preserve"> for </w:t>
      </w:r>
      <w:r w:rsidR="00713628">
        <w:rPr>
          <w:b/>
        </w:rPr>
        <w:t>t</w:t>
      </w:r>
      <w:r w:rsidR="009B43BD">
        <w:rPr>
          <w:b/>
        </w:rPr>
        <w:t xml:space="preserve">reatment-resistant and </w:t>
      </w:r>
      <w:r w:rsidR="00713628">
        <w:rPr>
          <w:b/>
        </w:rPr>
        <w:t>untreated</w:t>
      </w:r>
      <w:r w:rsidR="009B43BD">
        <w:rPr>
          <w:b/>
        </w:rPr>
        <w:t xml:space="preserve"> cases</w:t>
      </w:r>
    </w:p>
    <w:p w14:paraId="1A092121" w14:textId="1C0ABD45" w:rsidR="007D6457" w:rsidRPr="007D6457" w:rsidRDefault="009B43BD">
      <w:r w:rsidRPr="007D6457">
        <w:t xml:space="preserve">Per Protocol, and as reported in the Manuscript, a threshold of HAM-D &gt; 13 was used to define treatment-resistant depression; and HAMD &gt; 17 for </w:t>
      </w:r>
      <w:r w:rsidR="00713628">
        <w:t>untreated</w:t>
      </w:r>
      <w:r w:rsidRPr="007D6457">
        <w:t xml:space="preserve"> cases. </w:t>
      </w:r>
    </w:p>
    <w:p w14:paraId="5F635842" w14:textId="62CA7BA4" w:rsidR="009B43BD" w:rsidRPr="007D6457" w:rsidRDefault="007D6457">
      <w:r w:rsidRPr="007D6457">
        <w:rPr>
          <w:rFonts w:cs="Arial"/>
        </w:rPr>
        <w:t>HAM-D total scores did not correlate significantly with CRP or BMI-corrected CRP (Spearman’s r, both P &gt; 0.15).</w:t>
      </w:r>
      <w:r>
        <w:rPr>
          <w:rFonts w:cs="Arial"/>
        </w:rPr>
        <w:t xml:space="preserve"> </w:t>
      </w:r>
      <w:r w:rsidRPr="007D6457">
        <w:t>Nonetheless, t</w:t>
      </w:r>
      <w:r w:rsidR="009B43BD" w:rsidRPr="007D6457">
        <w:t>o rule out potential impact of this differential criterion on group-level CRP differences, secondary analysis was conducted by excluding treatment-resistant cases with HAM-D &gt; 17. This render</w:t>
      </w:r>
      <w:r>
        <w:t>ed</w:t>
      </w:r>
      <w:r w:rsidR="009B43BD" w:rsidRPr="007D6457">
        <w:t xml:space="preserve"> the same operational definition for treatment-resistant and un-treated cases by HAM-D 17 item total scores. </w:t>
      </w:r>
    </w:p>
    <w:p w14:paraId="13AAB46A" w14:textId="35A0DB48" w:rsidR="00D935D0" w:rsidRPr="004445A3" w:rsidRDefault="009B43BD">
      <w:pPr>
        <w:rPr>
          <w:rFonts w:ascii="Calibri" w:hAnsi="Calibri"/>
        </w:rPr>
      </w:pPr>
      <w:r w:rsidRPr="007D6457">
        <w:t>Forty-eight treatment-resistant cases had HAM-D &lt; 18</w:t>
      </w:r>
      <w:r w:rsidR="00DC60C0">
        <w:t xml:space="preserve">, and these participants’ data were excluded in the </w:t>
      </w:r>
      <w:r w:rsidR="00713628">
        <w:t xml:space="preserve">secondary </w:t>
      </w:r>
      <w:r w:rsidR="00BC5291">
        <w:t>analysis</w:t>
      </w:r>
      <w:r w:rsidR="00DC60C0">
        <w:t xml:space="preserve">. As expected, HAM-D total scores did not differ significantly </w:t>
      </w:r>
      <w:r w:rsidR="00DC60C0" w:rsidRPr="00D935D0">
        <w:t xml:space="preserve">between treatment-resistant and untreated </w:t>
      </w:r>
      <w:r w:rsidR="00C06056" w:rsidRPr="00D935D0">
        <w:t>MDD groups</w:t>
      </w:r>
      <w:r w:rsidR="00DC60C0" w:rsidRPr="00291AB2">
        <w:t xml:space="preserve"> (t = 1.0, P = 0.30).</w:t>
      </w:r>
      <w:r w:rsidR="00C06056" w:rsidRPr="00291AB2">
        <w:t xml:space="preserve"> </w:t>
      </w:r>
      <w:r w:rsidR="00C06056" w:rsidRPr="00291AB2">
        <w:rPr>
          <w:rFonts w:ascii="Arial" w:hAnsi="Arial" w:cs="Arial"/>
        </w:rPr>
        <w:t>CRP was significantly elevated in MDD cohorts viewed collectively,</w:t>
      </w:r>
      <w:r w:rsidR="00C06056" w:rsidRPr="008809D8">
        <w:rPr>
          <w:rFonts w:ascii="Arial" w:hAnsi="Arial" w:cs="Arial"/>
        </w:rPr>
        <w:t xml:space="preserve"> compared to healthy volunteers</w:t>
      </w:r>
      <w:r w:rsidR="00D935D0" w:rsidRPr="00D935D0">
        <w:rPr>
          <w:rFonts w:ascii="Arial" w:hAnsi="Arial" w:cs="Arial"/>
        </w:rPr>
        <w:t xml:space="preserve"> (Wilcoxon Z = 2.75, P = 0.006). </w:t>
      </w:r>
      <w:r>
        <w:t xml:space="preserve">Both treatment-resistant and </w:t>
      </w:r>
      <w:r w:rsidR="00713628">
        <w:t>untreated</w:t>
      </w:r>
      <w:r>
        <w:t xml:space="preserve"> </w:t>
      </w:r>
      <w:r w:rsidR="00C06056">
        <w:t xml:space="preserve">MDD </w:t>
      </w:r>
      <w:r>
        <w:t xml:space="preserve">groups had significantly higher hs-CRP than healthy volunteers (Wilcoxon Z = 3.2, P = 0.001 and Wilcoxon Z = 2.6, P = 0.010, respectively). Treatment-resistant </w:t>
      </w:r>
      <w:r w:rsidR="00C06056">
        <w:t xml:space="preserve">MDD cases </w:t>
      </w:r>
      <w:r>
        <w:t xml:space="preserve">had significantly higher CRP than </w:t>
      </w:r>
      <w:r w:rsidR="00713628">
        <w:t>untreated</w:t>
      </w:r>
      <w:r>
        <w:t xml:space="preserve"> cases (Wilcoxon Z = 2.0, p = 0.042). </w:t>
      </w:r>
      <w:r w:rsidR="00D935D0">
        <w:t>T</w:t>
      </w:r>
      <w:r w:rsidR="00D935D0" w:rsidRPr="007D6457">
        <w:t>he main effect of group was significant (Wilcoxon Chi-Square = 12.66, df = 3, P = 0.005).</w:t>
      </w:r>
      <w:r w:rsidR="00D935D0">
        <w:t xml:space="preserve"> </w:t>
      </w:r>
      <w:r w:rsidRPr="004445A3">
        <w:rPr>
          <w:rFonts w:ascii="Calibri" w:hAnsi="Calibri"/>
        </w:rPr>
        <w:t xml:space="preserve">No other post-hoc tests were statistically significant. </w:t>
      </w:r>
      <w:bookmarkStart w:id="0" w:name="_GoBack"/>
      <w:bookmarkEnd w:id="0"/>
    </w:p>
    <w:p w14:paraId="7D7B3273" w14:textId="7D0D215F" w:rsidR="009B43BD" w:rsidRPr="004445A3" w:rsidRDefault="00291AB2" w:rsidP="00291AB2">
      <w:pPr>
        <w:rPr>
          <w:rFonts w:ascii="Calibri" w:hAnsi="Calibri"/>
        </w:rPr>
      </w:pPr>
      <w:r w:rsidRPr="004445A3">
        <w:rPr>
          <w:rFonts w:ascii="Calibri" w:hAnsi="Calibri"/>
        </w:rPr>
        <w:t>BMI-corrected CRP</w:t>
      </w:r>
      <w:r w:rsidR="00D935D0" w:rsidRPr="004445A3">
        <w:rPr>
          <w:rFonts w:ascii="Calibri" w:hAnsi="Calibri" w:cs="Arial"/>
        </w:rPr>
        <w:t xml:space="preserve"> was significantly elevated in MDD cohorts viewed collectively, compared to healthy volunteers</w:t>
      </w:r>
      <w:r w:rsidRPr="004445A3">
        <w:rPr>
          <w:rFonts w:ascii="Calibri" w:hAnsi="Calibri" w:cs="Arial"/>
        </w:rPr>
        <w:t xml:space="preserve"> (t = 2.20, df = 193, P = 0.029). </w:t>
      </w:r>
      <w:r w:rsidR="009B43BD" w:rsidRPr="004445A3">
        <w:rPr>
          <w:rFonts w:ascii="Calibri" w:hAnsi="Calibri"/>
        </w:rPr>
        <w:t>Post-hoc tests indicated that the treatment-resistant group had significantly higher BMI-corrected CRP than healthy volunteers (t = 3.0, P = 0.004</w:t>
      </w:r>
      <w:r w:rsidR="00D935D0" w:rsidRPr="004445A3">
        <w:rPr>
          <w:rFonts w:ascii="Calibri" w:hAnsi="Calibri"/>
        </w:rPr>
        <w:t>; Cohen’s D = 0.43</w:t>
      </w:r>
      <w:r w:rsidR="009B43BD" w:rsidRPr="004445A3">
        <w:rPr>
          <w:rFonts w:ascii="Calibri" w:hAnsi="Calibri"/>
        </w:rPr>
        <w:t>). The treatment-resistant cases also had significantly higher BMI-corrected CRP than untreated cases (t = 2.0, P = 0.045</w:t>
      </w:r>
      <w:r w:rsidR="00D935D0" w:rsidRPr="004445A3">
        <w:rPr>
          <w:rFonts w:ascii="Calibri" w:hAnsi="Calibri"/>
        </w:rPr>
        <w:t>; Cohen’s D = 0.29</w:t>
      </w:r>
      <w:r w:rsidR="009B43BD" w:rsidRPr="004445A3">
        <w:rPr>
          <w:rFonts w:ascii="Calibri" w:hAnsi="Calibri"/>
        </w:rPr>
        <w:t>).</w:t>
      </w:r>
      <w:r w:rsidR="00D935D0" w:rsidRPr="004445A3">
        <w:rPr>
          <w:rFonts w:ascii="Calibri" w:hAnsi="Calibri"/>
        </w:rPr>
        <w:t xml:space="preserve"> The main effect of group was significant (F = 3.1, df = 3,191, P = 0.03).</w:t>
      </w:r>
      <w:r w:rsidR="009B43BD" w:rsidRPr="004445A3">
        <w:rPr>
          <w:rFonts w:ascii="Calibri" w:hAnsi="Calibri"/>
        </w:rPr>
        <w:t xml:space="preserve"> </w:t>
      </w:r>
      <w:r w:rsidR="00D935D0" w:rsidRPr="004445A3">
        <w:rPr>
          <w:rFonts w:ascii="Calibri" w:hAnsi="Calibri"/>
        </w:rPr>
        <w:t xml:space="preserve">BMI-corrected CRP did not differ significantly from healthy volunteers for treatment-responsive MDD group (t = 1.48, df = 191, P = 0.14; Cohen’s D = 0.21), nor for the untreated MDD group (t = 0.88, df = 191, P = 0.379; Cohen’s D = 0.13). </w:t>
      </w:r>
      <w:r w:rsidR="009B43BD" w:rsidRPr="004445A3">
        <w:rPr>
          <w:rFonts w:ascii="Calibri" w:hAnsi="Calibri"/>
        </w:rPr>
        <w:t xml:space="preserve">No other post-hoc tests were statistically significant (all P &gt; 0.07). </w:t>
      </w:r>
    </w:p>
    <w:p w14:paraId="179F6998" w14:textId="77777777" w:rsidR="009B43BD" w:rsidRPr="004445A3" w:rsidRDefault="009B43BD">
      <w:pPr>
        <w:rPr>
          <w:rFonts w:ascii="Calibri" w:hAnsi="Calibri"/>
        </w:rPr>
      </w:pPr>
    </w:p>
    <w:p w14:paraId="142888A7" w14:textId="77777777" w:rsidR="009B43BD" w:rsidRPr="004445A3" w:rsidRDefault="009B43BD">
      <w:pPr>
        <w:rPr>
          <w:rFonts w:ascii="Calibri" w:hAnsi="Calibri"/>
        </w:rPr>
      </w:pPr>
    </w:p>
    <w:p w14:paraId="46F7A61B" w14:textId="1928DE4A" w:rsidR="009777BB" w:rsidRDefault="009777BB">
      <w:pPr>
        <w:rPr>
          <w:b/>
        </w:rPr>
      </w:pPr>
      <w:r>
        <w:rPr>
          <w:b/>
        </w:rPr>
        <w:br w:type="page"/>
      </w:r>
    </w:p>
    <w:p w14:paraId="25AC4568" w14:textId="72918AB2" w:rsidR="008551A2" w:rsidRPr="00A50275" w:rsidRDefault="008551A2" w:rsidP="008551A2">
      <w:pPr>
        <w:adjustRightInd w:val="0"/>
        <w:spacing w:line="480" w:lineRule="auto"/>
        <w:rPr>
          <w:b/>
        </w:rPr>
      </w:pPr>
      <w:r>
        <w:rPr>
          <w:b/>
        </w:rPr>
        <w:lastRenderedPageBreak/>
        <w:t xml:space="preserve">Table S1. </w:t>
      </w:r>
      <w:r w:rsidR="0098722C">
        <w:rPr>
          <w:b/>
        </w:rPr>
        <w:t>Summary statistics for all questionnaire-based measures</w:t>
      </w:r>
    </w:p>
    <w:tbl>
      <w:tblPr>
        <w:tblW w:w="5000" w:type="pct"/>
        <w:tblLayout w:type="fixed"/>
        <w:tblLook w:val="04A0" w:firstRow="1" w:lastRow="0" w:firstColumn="1" w:lastColumn="0" w:noHBand="0" w:noVBand="1"/>
      </w:tblPr>
      <w:tblGrid>
        <w:gridCol w:w="1592"/>
        <w:gridCol w:w="1308"/>
        <w:gridCol w:w="1462"/>
        <w:gridCol w:w="1299"/>
        <w:gridCol w:w="1453"/>
        <w:gridCol w:w="1074"/>
        <w:gridCol w:w="1054"/>
      </w:tblGrid>
      <w:tr w:rsidR="008551A2" w:rsidRPr="00986F13" w14:paraId="2559A5AD" w14:textId="77777777" w:rsidTr="00862816">
        <w:trPr>
          <w:trHeight w:val="585"/>
        </w:trPr>
        <w:tc>
          <w:tcPr>
            <w:tcW w:w="86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EF7A53" w14:textId="77777777" w:rsidR="008551A2" w:rsidRPr="00C5598B" w:rsidRDefault="008551A2" w:rsidP="00862816">
            <w:pPr>
              <w:spacing w:line="480" w:lineRule="auto"/>
              <w:rPr>
                <w:rFonts w:ascii="Calibri" w:hAnsi="Calibri"/>
                <w:color w:val="000000"/>
                <w:sz w:val="20"/>
                <w:szCs w:val="20"/>
                <w:lang w:eastAsia="en-GB"/>
              </w:rPr>
            </w:pPr>
            <w:r w:rsidRPr="00C5598B">
              <w:rPr>
                <w:rFonts w:ascii="Calibri" w:hAnsi="Calibri"/>
                <w:color w:val="000000"/>
                <w:sz w:val="20"/>
                <w:szCs w:val="20"/>
                <w:lang w:eastAsia="en-GB"/>
              </w:rPr>
              <w:t> </w:t>
            </w:r>
          </w:p>
        </w:tc>
        <w:tc>
          <w:tcPr>
            <w:tcW w:w="2987" w:type="pct"/>
            <w:gridSpan w:val="4"/>
            <w:tcBorders>
              <w:top w:val="single" w:sz="4" w:space="0" w:color="auto"/>
              <w:left w:val="nil"/>
              <w:bottom w:val="single" w:sz="4" w:space="0" w:color="auto"/>
              <w:right w:val="single" w:sz="4" w:space="0" w:color="auto"/>
            </w:tcBorders>
            <w:shd w:val="clear" w:color="auto" w:fill="auto"/>
            <w:noWrap/>
            <w:vAlign w:val="bottom"/>
            <w:hideMark/>
          </w:tcPr>
          <w:p w14:paraId="6A34B04B" w14:textId="77777777" w:rsidR="008551A2" w:rsidRPr="00986F13" w:rsidRDefault="008551A2" w:rsidP="00862816">
            <w:pPr>
              <w:spacing w:line="480" w:lineRule="auto"/>
              <w:jc w:val="center"/>
              <w:rPr>
                <w:rFonts w:ascii="Calibri" w:hAnsi="Calibri"/>
                <w:b/>
                <w:bCs/>
                <w:color w:val="000000"/>
                <w:sz w:val="20"/>
                <w:szCs w:val="20"/>
                <w:lang w:eastAsia="en-GB"/>
              </w:rPr>
            </w:pPr>
            <w:r w:rsidRPr="00986F13">
              <w:rPr>
                <w:rFonts w:ascii="Calibri" w:hAnsi="Calibri"/>
                <w:b/>
                <w:bCs/>
                <w:color w:val="000000"/>
                <w:sz w:val="20"/>
                <w:szCs w:val="20"/>
                <w:lang w:eastAsia="en-GB"/>
              </w:rPr>
              <w:t>Mean (Standard Deviation)</w:t>
            </w:r>
          </w:p>
        </w:tc>
        <w:tc>
          <w:tcPr>
            <w:tcW w:w="1151" w:type="pct"/>
            <w:gridSpan w:val="2"/>
            <w:tcBorders>
              <w:top w:val="single" w:sz="4" w:space="0" w:color="auto"/>
              <w:left w:val="nil"/>
              <w:bottom w:val="single" w:sz="4" w:space="0" w:color="auto"/>
              <w:right w:val="single" w:sz="4" w:space="0" w:color="auto"/>
            </w:tcBorders>
            <w:shd w:val="clear" w:color="auto" w:fill="auto"/>
            <w:noWrap/>
            <w:vAlign w:val="bottom"/>
            <w:hideMark/>
          </w:tcPr>
          <w:p w14:paraId="025C2DE7" w14:textId="77777777" w:rsidR="008551A2" w:rsidRPr="00986F13" w:rsidRDefault="008551A2" w:rsidP="00862816">
            <w:pPr>
              <w:spacing w:line="480" w:lineRule="auto"/>
              <w:jc w:val="center"/>
              <w:rPr>
                <w:rFonts w:ascii="Calibri" w:hAnsi="Calibri"/>
                <w:b/>
                <w:bCs/>
                <w:color w:val="000000"/>
                <w:sz w:val="20"/>
                <w:szCs w:val="20"/>
                <w:lang w:eastAsia="en-GB"/>
              </w:rPr>
            </w:pPr>
            <w:r>
              <w:rPr>
                <w:rFonts w:ascii="Calibri" w:hAnsi="Calibri"/>
                <w:b/>
                <w:bCs/>
                <w:color w:val="000000"/>
                <w:sz w:val="20"/>
                <w:szCs w:val="20"/>
                <w:lang w:eastAsia="en-GB"/>
              </w:rPr>
              <w:t>Welch Test</w:t>
            </w:r>
          </w:p>
        </w:tc>
      </w:tr>
      <w:tr w:rsidR="008551A2" w:rsidRPr="00986F13" w14:paraId="6EBD4B01" w14:textId="77777777" w:rsidTr="00862816">
        <w:trPr>
          <w:trHeight w:val="510"/>
        </w:trPr>
        <w:tc>
          <w:tcPr>
            <w:tcW w:w="861" w:type="pct"/>
            <w:tcBorders>
              <w:top w:val="nil"/>
              <w:left w:val="single" w:sz="4" w:space="0" w:color="auto"/>
              <w:bottom w:val="single" w:sz="4" w:space="0" w:color="auto"/>
              <w:right w:val="single" w:sz="4" w:space="0" w:color="auto"/>
            </w:tcBorders>
            <w:shd w:val="clear" w:color="auto" w:fill="auto"/>
            <w:noWrap/>
            <w:vAlign w:val="bottom"/>
            <w:hideMark/>
          </w:tcPr>
          <w:p w14:paraId="7B359E83" w14:textId="77777777" w:rsidR="008551A2" w:rsidRPr="00986F13" w:rsidRDefault="008551A2" w:rsidP="00862816">
            <w:pPr>
              <w:spacing w:line="480" w:lineRule="auto"/>
              <w:rPr>
                <w:rFonts w:ascii="Calibri" w:hAnsi="Calibri"/>
                <w:color w:val="000000"/>
                <w:sz w:val="20"/>
                <w:szCs w:val="20"/>
                <w:lang w:eastAsia="en-GB"/>
              </w:rPr>
            </w:pPr>
            <w:r w:rsidRPr="00986F13">
              <w:rPr>
                <w:rFonts w:ascii="Calibri" w:hAnsi="Calibri"/>
                <w:color w:val="000000"/>
                <w:sz w:val="20"/>
                <w:szCs w:val="20"/>
                <w:lang w:eastAsia="en-GB"/>
              </w:rPr>
              <w:t> </w:t>
            </w:r>
          </w:p>
        </w:tc>
        <w:tc>
          <w:tcPr>
            <w:tcW w:w="707" w:type="pct"/>
            <w:tcBorders>
              <w:top w:val="nil"/>
              <w:left w:val="nil"/>
              <w:bottom w:val="single" w:sz="4" w:space="0" w:color="auto"/>
              <w:right w:val="single" w:sz="4" w:space="0" w:color="auto"/>
            </w:tcBorders>
            <w:shd w:val="clear" w:color="auto" w:fill="auto"/>
            <w:vAlign w:val="bottom"/>
            <w:hideMark/>
          </w:tcPr>
          <w:p w14:paraId="530EEF11" w14:textId="7F007F6B" w:rsidR="008551A2" w:rsidRPr="00986F13" w:rsidRDefault="0098722C" w:rsidP="00862816">
            <w:pPr>
              <w:spacing w:line="480" w:lineRule="auto"/>
              <w:rPr>
                <w:rFonts w:ascii="Calibri" w:hAnsi="Calibri"/>
                <w:b/>
                <w:bCs/>
                <w:color w:val="000000"/>
                <w:sz w:val="20"/>
                <w:szCs w:val="20"/>
                <w:lang w:eastAsia="en-GB"/>
              </w:rPr>
            </w:pPr>
            <w:r>
              <w:rPr>
                <w:rFonts w:ascii="Calibri" w:hAnsi="Calibri"/>
                <w:b/>
                <w:bCs/>
                <w:color w:val="000000"/>
                <w:sz w:val="20"/>
                <w:szCs w:val="20"/>
                <w:lang w:eastAsia="en-GB"/>
              </w:rPr>
              <w:t>Healthy Volunteers</w:t>
            </w:r>
            <w:r w:rsidR="008551A2" w:rsidRPr="00986F13">
              <w:rPr>
                <w:rFonts w:ascii="Calibri" w:hAnsi="Calibri"/>
                <w:b/>
                <w:bCs/>
                <w:color w:val="000000"/>
                <w:sz w:val="20"/>
                <w:szCs w:val="20"/>
                <w:vertAlign w:val="superscript"/>
                <w:lang w:eastAsia="en-GB"/>
              </w:rPr>
              <w:t>a</w:t>
            </w:r>
          </w:p>
        </w:tc>
        <w:tc>
          <w:tcPr>
            <w:tcW w:w="791" w:type="pct"/>
            <w:tcBorders>
              <w:top w:val="nil"/>
              <w:left w:val="nil"/>
              <w:bottom w:val="single" w:sz="4" w:space="0" w:color="auto"/>
              <w:right w:val="single" w:sz="4" w:space="0" w:color="auto"/>
            </w:tcBorders>
            <w:shd w:val="clear" w:color="auto" w:fill="auto"/>
            <w:vAlign w:val="bottom"/>
            <w:hideMark/>
          </w:tcPr>
          <w:p w14:paraId="7EF6332B" w14:textId="6503E1B4" w:rsidR="008551A2" w:rsidRPr="00986F13" w:rsidRDefault="0098722C" w:rsidP="00862816">
            <w:pPr>
              <w:spacing w:line="480" w:lineRule="auto"/>
              <w:rPr>
                <w:rFonts w:ascii="Calibri" w:hAnsi="Calibri"/>
                <w:b/>
                <w:bCs/>
                <w:color w:val="000000"/>
                <w:sz w:val="20"/>
                <w:szCs w:val="20"/>
                <w:lang w:eastAsia="en-GB"/>
              </w:rPr>
            </w:pPr>
            <w:r>
              <w:rPr>
                <w:rFonts w:ascii="Calibri" w:hAnsi="Calibri"/>
                <w:b/>
                <w:bCs/>
                <w:color w:val="000000"/>
                <w:sz w:val="20"/>
                <w:szCs w:val="20"/>
                <w:lang w:eastAsia="en-GB"/>
              </w:rPr>
              <w:t>Treatment-Responsive</w:t>
            </w:r>
            <w:r w:rsidR="008551A2" w:rsidRPr="00986F13">
              <w:rPr>
                <w:rFonts w:ascii="Calibri" w:hAnsi="Calibri"/>
                <w:b/>
                <w:bCs/>
                <w:color w:val="000000"/>
                <w:sz w:val="20"/>
                <w:szCs w:val="20"/>
                <w:vertAlign w:val="superscript"/>
                <w:lang w:eastAsia="en-GB"/>
              </w:rPr>
              <w:t>b</w:t>
            </w:r>
          </w:p>
        </w:tc>
        <w:tc>
          <w:tcPr>
            <w:tcW w:w="703" w:type="pct"/>
            <w:tcBorders>
              <w:top w:val="nil"/>
              <w:left w:val="nil"/>
              <w:bottom w:val="single" w:sz="4" w:space="0" w:color="auto"/>
              <w:right w:val="single" w:sz="4" w:space="0" w:color="auto"/>
            </w:tcBorders>
            <w:shd w:val="clear" w:color="auto" w:fill="auto"/>
            <w:vAlign w:val="bottom"/>
            <w:hideMark/>
          </w:tcPr>
          <w:p w14:paraId="4615EA36" w14:textId="6CCD0A44" w:rsidR="008551A2" w:rsidRPr="00986F13" w:rsidRDefault="0098722C" w:rsidP="00862816">
            <w:pPr>
              <w:spacing w:line="480" w:lineRule="auto"/>
              <w:rPr>
                <w:rFonts w:ascii="Calibri" w:hAnsi="Calibri"/>
                <w:b/>
                <w:bCs/>
                <w:color w:val="000000"/>
                <w:sz w:val="20"/>
                <w:szCs w:val="20"/>
                <w:lang w:eastAsia="en-GB"/>
              </w:rPr>
            </w:pPr>
            <w:r>
              <w:rPr>
                <w:rFonts w:ascii="Calibri" w:hAnsi="Calibri"/>
                <w:b/>
                <w:bCs/>
                <w:color w:val="000000"/>
                <w:sz w:val="20"/>
                <w:szCs w:val="20"/>
                <w:lang w:eastAsia="en-GB"/>
              </w:rPr>
              <w:t>Treatment Resistant</w:t>
            </w:r>
            <w:r w:rsidR="008551A2" w:rsidRPr="00986F13">
              <w:rPr>
                <w:rFonts w:ascii="Calibri" w:hAnsi="Calibri"/>
                <w:b/>
                <w:bCs/>
                <w:color w:val="000000"/>
                <w:sz w:val="20"/>
                <w:szCs w:val="20"/>
                <w:vertAlign w:val="superscript"/>
                <w:lang w:eastAsia="en-GB"/>
              </w:rPr>
              <w:t>c</w:t>
            </w:r>
          </w:p>
        </w:tc>
        <w:tc>
          <w:tcPr>
            <w:tcW w:w="786" w:type="pct"/>
            <w:tcBorders>
              <w:top w:val="nil"/>
              <w:left w:val="nil"/>
              <w:bottom w:val="single" w:sz="4" w:space="0" w:color="auto"/>
              <w:right w:val="single" w:sz="4" w:space="0" w:color="auto"/>
            </w:tcBorders>
            <w:shd w:val="clear" w:color="auto" w:fill="auto"/>
            <w:vAlign w:val="bottom"/>
            <w:hideMark/>
          </w:tcPr>
          <w:p w14:paraId="51C7018B" w14:textId="4FC21A64" w:rsidR="008551A2" w:rsidRPr="00986F13" w:rsidRDefault="0098722C" w:rsidP="00862816">
            <w:pPr>
              <w:spacing w:line="480" w:lineRule="auto"/>
              <w:rPr>
                <w:rFonts w:ascii="Calibri" w:hAnsi="Calibri"/>
                <w:b/>
                <w:bCs/>
                <w:color w:val="000000"/>
                <w:sz w:val="20"/>
                <w:szCs w:val="20"/>
                <w:lang w:eastAsia="en-GB"/>
              </w:rPr>
            </w:pPr>
            <w:r>
              <w:rPr>
                <w:rFonts w:ascii="Calibri" w:hAnsi="Calibri"/>
                <w:b/>
                <w:bCs/>
                <w:color w:val="000000"/>
                <w:sz w:val="20"/>
                <w:szCs w:val="20"/>
                <w:lang w:eastAsia="en-GB"/>
              </w:rPr>
              <w:t>Untreated</w:t>
            </w:r>
            <w:r w:rsidR="008551A2" w:rsidRPr="00986F13">
              <w:rPr>
                <w:rFonts w:ascii="Calibri" w:hAnsi="Calibri"/>
                <w:b/>
                <w:bCs/>
                <w:color w:val="000000"/>
                <w:sz w:val="20"/>
                <w:szCs w:val="20"/>
                <w:vertAlign w:val="superscript"/>
                <w:lang w:eastAsia="en-GB"/>
              </w:rPr>
              <w:t>d</w:t>
            </w:r>
          </w:p>
        </w:tc>
        <w:tc>
          <w:tcPr>
            <w:tcW w:w="581" w:type="pct"/>
            <w:tcBorders>
              <w:top w:val="nil"/>
              <w:left w:val="nil"/>
              <w:bottom w:val="single" w:sz="4" w:space="0" w:color="auto"/>
              <w:right w:val="single" w:sz="4" w:space="0" w:color="auto"/>
            </w:tcBorders>
            <w:shd w:val="clear" w:color="auto" w:fill="auto"/>
            <w:noWrap/>
            <w:vAlign w:val="bottom"/>
            <w:hideMark/>
          </w:tcPr>
          <w:p w14:paraId="5A9308DC" w14:textId="77777777" w:rsidR="008551A2" w:rsidRPr="00986F13" w:rsidRDefault="008551A2" w:rsidP="00862816">
            <w:pPr>
              <w:spacing w:line="480" w:lineRule="auto"/>
              <w:rPr>
                <w:rFonts w:ascii="Calibri" w:hAnsi="Calibri"/>
                <w:b/>
                <w:bCs/>
                <w:color w:val="000000"/>
                <w:sz w:val="20"/>
                <w:szCs w:val="20"/>
                <w:lang w:eastAsia="en-GB"/>
              </w:rPr>
            </w:pPr>
            <w:r>
              <w:rPr>
                <w:rFonts w:ascii="Calibri" w:hAnsi="Calibri"/>
                <w:b/>
                <w:bCs/>
                <w:color w:val="000000"/>
                <w:sz w:val="20"/>
                <w:szCs w:val="20"/>
                <w:lang w:eastAsia="en-GB"/>
              </w:rPr>
              <w:t>W</w:t>
            </w:r>
          </w:p>
        </w:tc>
        <w:tc>
          <w:tcPr>
            <w:tcW w:w="570" w:type="pct"/>
            <w:tcBorders>
              <w:top w:val="nil"/>
              <w:left w:val="nil"/>
              <w:bottom w:val="single" w:sz="4" w:space="0" w:color="auto"/>
              <w:right w:val="single" w:sz="4" w:space="0" w:color="auto"/>
            </w:tcBorders>
            <w:shd w:val="clear" w:color="auto" w:fill="auto"/>
            <w:noWrap/>
            <w:vAlign w:val="bottom"/>
            <w:hideMark/>
          </w:tcPr>
          <w:p w14:paraId="55C7D82E" w14:textId="77777777" w:rsidR="008551A2" w:rsidRPr="00986F13" w:rsidRDefault="008551A2" w:rsidP="00862816">
            <w:pPr>
              <w:spacing w:line="480" w:lineRule="auto"/>
              <w:rPr>
                <w:rFonts w:ascii="Calibri" w:hAnsi="Calibri"/>
                <w:b/>
                <w:bCs/>
                <w:color w:val="000000"/>
                <w:sz w:val="20"/>
                <w:szCs w:val="20"/>
                <w:lang w:eastAsia="en-GB"/>
              </w:rPr>
            </w:pPr>
            <w:r w:rsidRPr="00986F13">
              <w:rPr>
                <w:rFonts w:ascii="Calibri" w:hAnsi="Calibri"/>
                <w:b/>
                <w:bCs/>
                <w:color w:val="000000"/>
                <w:sz w:val="20"/>
                <w:szCs w:val="20"/>
                <w:lang w:eastAsia="en-GB"/>
              </w:rPr>
              <w:t>p</w:t>
            </w:r>
          </w:p>
        </w:tc>
      </w:tr>
      <w:tr w:rsidR="008551A2" w:rsidRPr="00D43919" w14:paraId="6FE886DB" w14:textId="77777777" w:rsidTr="00862816">
        <w:trPr>
          <w:trHeight w:val="345"/>
        </w:trPr>
        <w:tc>
          <w:tcPr>
            <w:tcW w:w="861" w:type="pct"/>
            <w:tcBorders>
              <w:top w:val="nil"/>
              <w:left w:val="single" w:sz="4" w:space="0" w:color="auto"/>
              <w:bottom w:val="single" w:sz="4" w:space="0" w:color="auto"/>
              <w:right w:val="single" w:sz="4" w:space="0" w:color="auto"/>
            </w:tcBorders>
            <w:shd w:val="clear" w:color="auto" w:fill="auto"/>
            <w:noWrap/>
            <w:vAlign w:val="bottom"/>
          </w:tcPr>
          <w:p w14:paraId="6EF34D96" w14:textId="77777777" w:rsidR="008551A2" w:rsidRPr="00D43919" w:rsidRDefault="008551A2" w:rsidP="00862816">
            <w:pPr>
              <w:spacing w:line="480" w:lineRule="auto"/>
              <w:rPr>
                <w:rFonts w:ascii="Calibri" w:hAnsi="Calibri"/>
                <w:b/>
                <w:bCs/>
                <w:color w:val="000000"/>
                <w:sz w:val="20"/>
                <w:szCs w:val="20"/>
                <w:lang w:eastAsia="en-GB"/>
              </w:rPr>
            </w:pPr>
            <w:r w:rsidRPr="00D43919">
              <w:rPr>
                <w:rFonts w:ascii="Calibri" w:hAnsi="Calibri"/>
                <w:b/>
                <w:bCs/>
                <w:color w:val="000000"/>
                <w:sz w:val="20"/>
                <w:szCs w:val="20"/>
                <w:lang w:eastAsia="en-GB"/>
              </w:rPr>
              <w:t>BDI total score</w:t>
            </w:r>
          </w:p>
        </w:tc>
        <w:tc>
          <w:tcPr>
            <w:tcW w:w="707" w:type="pct"/>
            <w:tcBorders>
              <w:top w:val="nil"/>
              <w:left w:val="nil"/>
              <w:bottom w:val="single" w:sz="4" w:space="0" w:color="auto"/>
              <w:right w:val="single" w:sz="4" w:space="0" w:color="auto"/>
            </w:tcBorders>
            <w:shd w:val="clear" w:color="auto" w:fill="auto"/>
            <w:vAlign w:val="bottom"/>
          </w:tcPr>
          <w:p w14:paraId="06F466D0"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1.4 (1.7)</w:t>
            </w:r>
            <w:r w:rsidRPr="00D43919">
              <w:rPr>
                <w:rFonts w:ascii="Calibri" w:hAnsi="Calibri"/>
                <w:b/>
                <w:bCs/>
                <w:color w:val="000000"/>
                <w:sz w:val="20"/>
                <w:szCs w:val="20"/>
                <w:vertAlign w:val="superscript"/>
                <w:lang w:eastAsia="en-GB"/>
              </w:rPr>
              <w:t>b,c,d</w:t>
            </w:r>
          </w:p>
        </w:tc>
        <w:tc>
          <w:tcPr>
            <w:tcW w:w="791" w:type="pct"/>
            <w:tcBorders>
              <w:top w:val="nil"/>
              <w:left w:val="nil"/>
              <w:bottom w:val="single" w:sz="4" w:space="0" w:color="auto"/>
              <w:right w:val="single" w:sz="4" w:space="0" w:color="auto"/>
            </w:tcBorders>
            <w:shd w:val="clear" w:color="auto" w:fill="auto"/>
            <w:vAlign w:val="bottom"/>
          </w:tcPr>
          <w:p w14:paraId="6918DBA7"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9.9 (9.1)</w:t>
            </w:r>
            <w:r w:rsidRPr="00D43919">
              <w:rPr>
                <w:rFonts w:ascii="Calibri" w:hAnsi="Calibri"/>
                <w:b/>
                <w:bCs/>
                <w:color w:val="000000"/>
                <w:sz w:val="20"/>
                <w:szCs w:val="20"/>
                <w:vertAlign w:val="superscript"/>
                <w:lang w:eastAsia="en-GB"/>
              </w:rPr>
              <w:t>a,c,d</w:t>
            </w:r>
          </w:p>
        </w:tc>
        <w:tc>
          <w:tcPr>
            <w:tcW w:w="703" w:type="pct"/>
            <w:tcBorders>
              <w:top w:val="nil"/>
              <w:left w:val="nil"/>
              <w:bottom w:val="single" w:sz="4" w:space="0" w:color="auto"/>
              <w:right w:val="single" w:sz="4" w:space="0" w:color="auto"/>
            </w:tcBorders>
            <w:shd w:val="clear" w:color="auto" w:fill="auto"/>
            <w:vAlign w:val="bottom"/>
          </w:tcPr>
          <w:p w14:paraId="79AF884E"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27.0 (10.1)</w:t>
            </w:r>
            <w:r w:rsidRPr="00D43919">
              <w:rPr>
                <w:rFonts w:ascii="Calibri" w:hAnsi="Calibri"/>
                <w:b/>
                <w:bCs/>
                <w:color w:val="000000"/>
                <w:sz w:val="20"/>
                <w:szCs w:val="20"/>
                <w:vertAlign w:val="superscript"/>
                <w:lang w:eastAsia="en-GB"/>
              </w:rPr>
              <w:t>a,b,d</w:t>
            </w:r>
          </w:p>
        </w:tc>
        <w:tc>
          <w:tcPr>
            <w:tcW w:w="786" w:type="pct"/>
            <w:tcBorders>
              <w:top w:val="nil"/>
              <w:left w:val="nil"/>
              <w:bottom w:val="single" w:sz="4" w:space="0" w:color="auto"/>
              <w:right w:val="single" w:sz="4" w:space="0" w:color="auto"/>
            </w:tcBorders>
            <w:shd w:val="clear" w:color="auto" w:fill="auto"/>
            <w:vAlign w:val="bottom"/>
          </w:tcPr>
          <w:p w14:paraId="5E0D1517"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23.7 (8.7)</w:t>
            </w:r>
            <w:r w:rsidRPr="00D43919">
              <w:rPr>
                <w:rFonts w:ascii="Calibri" w:hAnsi="Calibri"/>
                <w:b/>
                <w:bCs/>
                <w:color w:val="000000"/>
                <w:sz w:val="20"/>
                <w:szCs w:val="20"/>
                <w:vertAlign w:val="superscript"/>
                <w:lang w:eastAsia="en-GB"/>
              </w:rPr>
              <w:t>a,b,c</w:t>
            </w:r>
          </w:p>
        </w:tc>
        <w:tc>
          <w:tcPr>
            <w:tcW w:w="581" w:type="pct"/>
            <w:tcBorders>
              <w:top w:val="nil"/>
              <w:left w:val="nil"/>
              <w:bottom w:val="single" w:sz="4" w:space="0" w:color="auto"/>
              <w:right w:val="single" w:sz="4" w:space="0" w:color="auto"/>
            </w:tcBorders>
            <w:shd w:val="clear" w:color="auto" w:fill="auto"/>
            <w:noWrap/>
            <w:vAlign w:val="center"/>
          </w:tcPr>
          <w:p w14:paraId="36EEFDD4" w14:textId="77777777" w:rsidR="008551A2" w:rsidRPr="00D43919" w:rsidRDefault="008551A2" w:rsidP="00862816">
            <w:pPr>
              <w:spacing w:line="480" w:lineRule="auto"/>
              <w:rPr>
                <w:rFonts w:ascii="Arial" w:hAnsi="Arial" w:cs="Arial"/>
                <w:color w:val="000000"/>
                <w:sz w:val="20"/>
                <w:szCs w:val="20"/>
                <w:lang w:eastAsia="en-GB"/>
              </w:rPr>
            </w:pPr>
            <w:r w:rsidRPr="00D43919">
              <w:rPr>
                <w:rFonts w:ascii="Arial" w:hAnsi="Arial" w:cs="Arial"/>
                <w:color w:val="000000"/>
                <w:sz w:val="20"/>
                <w:szCs w:val="20"/>
                <w:lang w:eastAsia="en-GB"/>
              </w:rPr>
              <w:t>286.562</w:t>
            </w:r>
          </w:p>
        </w:tc>
        <w:tc>
          <w:tcPr>
            <w:tcW w:w="570" w:type="pct"/>
            <w:tcBorders>
              <w:top w:val="nil"/>
              <w:left w:val="nil"/>
              <w:bottom w:val="single" w:sz="4" w:space="0" w:color="auto"/>
              <w:right w:val="single" w:sz="4" w:space="0" w:color="auto"/>
            </w:tcBorders>
            <w:shd w:val="clear" w:color="auto" w:fill="auto"/>
            <w:noWrap/>
            <w:vAlign w:val="center"/>
          </w:tcPr>
          <w:p w14:paraId="098C8C21" w14:textId="77777777" w:rsidR="008551A2" w:rsidRPr="00D43919" w:rsidRDefault="008551A2" w:rsidP="00862816">
            <w:pPr>
              <w:spacing w:line="480" w:lineRule="auto"/>
              <w:rPr>
                <w:rFonts w:ascii="Arial" w:hAnsi="Arial" w:cs="Arial"/>
                <w:color w:val="000000"/>
                <w:sz w:val="20"/>
                <w:szCs w:val="20"/>
                <w:lang w:eastAsia="en-GB"/>
              </w:rPr>
            </w:pPr>
            <w:r w:rsidRPr="00D43919">
              <w:rPr>
                <w:rFonts w:ascii="Arial" w:hAnsi="Arial" w:cs="Arial"/>
                <w:color w:val="000000"/>
                <w:sz w:val="20"/>
                <w:szCs w:val="20"/>
                <w:lang w:eastAsia="en-GB"/>
              </w:rPr>
              <w:t>&lt;0.001</w:t>
            </w:r>
          </w:p>
        </w:tc>
      </w:tr>
      <w:tr w:rsidR="008551A2" w:rsidRPr="00D43919" w14:paraId="3829BA04" w14:textId="77777777" w:rsidTr="00862816">
        <w:trPr>
          <w:trHeight w:val="345"/>
        </w:trPr>
        <w:tc>
          <w:tcPr>
            <w:tcW w:w="861" w:type="pct"/>
            <w:tcBorders>
              <w:top w:val="nil"/>
              <w:left w:val="single" w:sz="4" w:space="0" w:color="auto"/>
              <w:bottom w:val="single" w:sz="4" w:space="0" w:color="auto"/>
              <w:right w:val="single" w:sz="4" w:space="0" w:color="auto"/>
            </w:tcBorders>
            <w:shd w:val="clear" w:color="auto" w:fill="auto"/>
            <w:noWrap/>
            <w:vAlign w:val="bottom"/>
          </w:tcPr>
          <w:p w14:paraId="468A7A97" w14:textId="3A145DEA" w:rsidR="008551A2" w:rsidRPr="00D43919" w:rsidRDefault="008551A2" w:rsidP="00862816">
            <w:pPr>
              <w:spacing w:line="480" w:lineRule="auto"/>
              <w:rPr>
                <w:rFonts w:ascii="Calibri" w:hAnsi="Calibri"/>
                <w:b/>
                <w:bCs/>
                <w:color w:val="000000"/>
                <w:sz w:val="20"/>
                <w:szCs w:val="20"/>
                <w:lang w:eastAsia="en-GB"/>
              </w:rPr>
            </w:pPr>
            <w:r w:rsidRPr="00D43919">
              <w:rPr>
                <w:rFonts w:ascii="Calibri" w:hAnsi="Calibri"/>
                <w:b/>
                <w:bCs/>
                <w:color w:val="000000"/>
                <w:sz w:val="20"/>
                <w:szCs w:val="20"/>
                <w:lang w:eastAsia="en-GB"/>
              </w:rPr>
              <w:t>Spielberger State-Trait Anxiety Rating Scale</w:t>
            </w:r>
            <w:r w:rsidR="00D564B0">
              <w:rPr>
                <w:rFonts w:ascii="Calibri" w:hAnsi="Calibri"/>
                <w:b/>
                <w:bCs/>
                <w:color w:val="000000"/>
                <w:sz w:val="20"/>
                <w:szCs w:val="20"/>
                <w:lang w:eastAsia="en-GB"/>
              </w:rPr>
              <w:t>, State</w:t>
            </w:r>
          </w:p>
        </w:tc>
        <w:tc>
          <w:tcPr>
            <w:tcW w:w="707" w:type="pct"/>
            <w:tcBorders>
              <w:top w:val="nil"/>
              <w:left w:val="nil"/>
              <w:bottom w:val="single" w:sz="4" w:space="0" w:color="auto"/>
              <w:right w:val="single" w:sz="4" w:space="0" w:color="auto"/>
            </w:tcBorders>
            <w:shd w:val="clear" w:color="auto" w:fill="auto"/>
            <w:vAlign w:val="bottom"/>
          </w:tcPr>
          <w:p w14:paraId="498DD696"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26.4 (5.9)</w:t>
            </w:r>
            <w:r w:rsidRPr="00D43919">
              <w:rPr>
                <w:rFonts w:ascii="Calibri" w:hAnsi="Calibri"/>
                <w:b/>
                <w:bCs/>
                <w:color w:val="000000"/>
                <w:sz w:val="20"/>
                <w:szCs w:val="20"/>
                <w:vertAlign w:val="superscript"/>
                <w:lang w:eastAsia="en-GB"/>
              </w:rPr>
              <w:t>b,c,d</w:t>
            </w:r>
          </w:p>
        </w:tc>
        <w:tc>
          <w:tcPr>
            <w:tcW w:w="791" w:type="pct"/>
            <w:tcBorders>
              <w:top w:val="nil"/>
              <w:left w:val="nil"/>
              <w:bottom w:val="single" w:sz="4" w:space="0" w:color="auto"/>
              <w:right w:val="single" w:sz="4" w:space="0" w:color="auto"/>
            </w:tcBorders>
            <w:shd w:val="clear" w:color="auto" w:fill="auto"/>
            <w:vAlign w:val="bottom"/>
          </w:tcPr>
          <w:p w14:paraId="616E0943"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36.0 (10.1)</w:t>
            </w:r>
            <w:r w:rsidRPr="00D43919">
              <w:rPr>
                <w:rFonts w:ascii="Calibri" w:hAnsi="Calibri"/>
                <w:b/>
                <w:bCs/>
                <w:color w:val="000000"/>
                <w:sz w:val="20"/>
                <w:szCs w:val="20"/>
                <w:vertAlign w:val="superscript"/>
                <w:lang w:eastAsia="en-GB"/>
              </w:rPr>
              <w:t>a,c,d</w:t>
            </w:r>
          </w:p>
        </w:tc>
        <w:tc>
          <w:tcPr>
            <w:tcW w:w="703" w:type="pct"/>
            <w:tcBorders>
              <w:top w:val="nil"/>
              <w:left w:val="nil"/>
              <w:bottom w:val="single" w:sz="4" w:space="0" w:color="auto"/>
              <w:right w:val="single" w:sz="4" w:space="0" w:color="auto"/>
            </w:tcBorders>
            <w:shd w:val="clear" w:color="auto" w:fill="auto"/>
            <w:vAlign w:val="bottom"/>
          </w:tcPr>
          <w:p w14:paraId="55664833"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52.4 (12.5)</w:t>
            </w:r>
            <w:r w:rsidRPr="00D43919">
              <w:rPr>
                <w:rFonts w:ascii="Calibri" w:hAnsi="Calibri"/>
                <w:b/>
                <w:bCs/>
                <w:color w:val="000000"/>
                <w:sz w:val="20"/>
                <w:szCs w:val="20"/>
                <w:vertAlign w:val="superscript"/>
                <w:lang w:eastAsia="en-GB"/>
              </w:rPr>
              <w:t>a,b</w:t>
            </w:r>
          </w:p>
        </w:tc>
        <w:tc>
          <w:tcPr>
            <w:tcW w:w="786" w:type="pct"/>
            <w:tcBorders>
              <w:top w:val="nil"/>
              <w:left w:val="nil"/>
              <w:bottom w:val="single" w:sz="4" w:space="0" w:color="auto"/>
              <w:right w:val="single" w:sz="4" w:space="0" w:color="auto"/>
            </w:tcBorders>
            <w:shd w:val="clear" w:color="auto" w:fill="auto"/>
            <w:vAlign w:val="bottom"/>
          </w:tcPr>
          <w:p w14:paraId="4FECA5D7"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52.8 (10.9)</w:t>
            </w:r>
            <w:r w:rsidRPr="00D43919">
              <w:rPr>
                <w:rFonts w:ascii="Calibri" w:hAnsi="Calibri"/>
                <w:b/>
                <w:bCs/>
                <w:color w:val="000000"/>
                <w:sz w:val="20"/>
                <w:szCs w:val="20"/>
                <w:vertAlign w:val="superscript"/>
                <w:lang w:eastAsia="en-GB"/>
              </w:rPr>
              <w:t>a,b</w:t>
            </w:r>
          </w:p>
        </w:tc>
        <w:tc>
          <w:tcPr>
            <w:tcW w:w="581" w:type="pct"/>
            <w:tcBorders>
              <w:top w:val="nil"/>
              <w:left w:val="nil"/>
              <w:bottom w:val="single" w:sz="4" w:space="0" w:color="auto"/>
              <w:right w:val="single" w:sz="4" w:space="0" w:color="auto"/>
            </w:tcBorders>
            <w:shd w:val="clear" w:color="auto" w:fill="auto"/>
            <w:noWrap/>
            <w:vAlign w:val="center"/>
          </w:tcPr>
          <w:p w14:paraId="44A316BA" w14:textId="77777777" w:rsidR="008551A2" w:rsidRPr="00D43919" w:rsidRDefault="008551A2" w:rsidP="00862816">
            <w:pPr>
              <w:spacing w:line="480" w:lineRule="auto"/>
              <w:rPr>
                <w:rFonts w:ascii="Arial" w:hAnsi="Arial" w:cs="Arial"/>
                <w:color w:val="000000"/>
                <w:sz w:val="20"/>
                <w:szCs w:val="20"/>
                <w:lang w:eastAsia="en-GB"/>
              </w:rPr>
            </w:pPr>
            <w:r w:rsidRPr="00D43919">
              <w:rPr>
                <w:rFonts w:ascii="Arial" w:hAnsi="Arial" w:cs="Arial"/>
                <w:color w:val="000000"/>
                <w:sz w:val="20"/>
                <w:szCs w:val="20"/>
                <w:lang w:eastAsia="en-GB"/>
              </w:rPr>
              <w:t>134.187</w:t>
            </w:r>
          </w:p>
        </w:tc>
        <w:tc>
          <w:tcPr>
            <w:tcW w:w="570" w:type="pct"/>
            <w:tcBorders>
              <w:top w:val="nil"/>
              <w:left w:val="nil"/>
              <w:bottom w:val="single" w:sz="4" w:space="0" w:color="auto"/>
              <w:right w:val="single" w:sz="4" w:space="0" w:color="auto"/>
            </w:tcBorders>
            <w:shd w:val="clear" w:color="auto" w:fill="auto"/>
            <w:noWrap/>
            <w:vAlign w:val="center"/>
          </w:tcPr>
          <w:p w14:paraId="3FABAD72" w14:textId="77777777" w:rsidR="008551A2" w:rsidRPr="00D43919" w:rsidRDefault="008551A2" w:rsidP="00862816">
            <w:pPr>
              <w:spacing w:line="480" w:lineRule="auto"/>
              <w:rPr>
                <w:rFonts w:ascii="Arial" w:hAnsi="Arial" w:cs="Arial"/>
                <w:color w:val="000000"/>
                <w:sz w:val="20"/>
                <w:szCs w:val="20"/>
                <w:lang w:eastAsia="en-GB"/>
              </w:rPr>
            </w:pPr>
            <w:r w:rsidRPr="00D43919">
              <w:rPr>
                <w:rFonts w:ascii="Arial" w:hAnsi="Arial" w:cs="Arial"/>
                <w:color w:val="000000"/>
                <w:sz w:val="20"/>
                <w:szCs w:val="20"/>
                <w:lang w:eastAsia="en-GB"/>
              </w:rPr>
              <w:t>&lt;0.001</w:t>
            </w:r>
          </w:p>
        </w:tc>
      </w:tr>
      <w:tr w:rsidR="008551A2" w:rsidRPr="00D43919" w14:paraId="69F1DF96" w14:textId="77777777" w:rsidTr="00862816">
        <w:trPr>
          <w:trHeight w:val="345"/>
        </w:trPr>
        <w:tc>
          <w:tcPr>
            <w:tcW w:w="861" w:type="pct"/>
            <w:tcBorders>
              <w:top w:val="nil"/>
              <w:left w:val="single" w:sz="4" w:space="0" w:color="auto"/>
              <w:bottom w:val="single" w:sz="4" w:space="0" w:color="auto"/>
              <w:right w:val="single" w:sz="4" w:space="0" w:color="auto"/>
            </w:tcBorders>
            <w:shd w:val="clear" w:color="auto" w:fill="auto"/>
            <w:noWrap/>
            <w:vAlign w:val="bottom"/>
          </w:tcPr>
          <w:p w14:paraId="33D20FDC" w14:textId="37F558EC" w:rsidR="008551A2" w:rsidRPr="00D43919" w:rsidRDefault="008551A2" w:rsidP="00862816">
            <w:pPr>
              <w:spacing w:line="480" w:lineRule="auto"/>
              <w:rPr>
                <w:rFonts w:ascii="Calibri" w:hAnsi="Calibri"/>
                <w:b/>
                <w:bCs/>
                <w:color w:val="000000"/>
                <w:sz w:val="20"/>
                <w:szCs w:val="20"/>
                <w:lang w:eastAsia="en-GB"/>
              </w:rPr>
            </w:pPr>
            <w:r w:rsidRPr="00D43919">
              <w:rPr>
                <w:rFonts w:ascii="Calibri" w:hAnsi="Calibri"/>
                <w:b/>
                <w:bCs/>
                <w:color w:val="000000"/>
                <w:sz w:val="20"/>
                <w:szCs w:val="20"/>
                <w:lang w:eastAsia="en-GB"/>
              </w:rPr>
              <w:t>Spielberger State-Trait Anxiety Rating Scale</w:t>
            </w:r>
            <w:r w:rsidR="00D564B0">
              <w:rPr>
                <w:rFonts w:ascii="Calibri" w:hAnsi="Calibri"/>
                <w:b/>
                <w:bCs/>
                <w:color w:val="000000"/>
                <w:sz w:val="20"/>
                <w:szCs w:val="20"/>
                <w:lang w:eastAsia="en-GB"/>
              </w:rPr>
              <w:t>, Trait</w:t>
            </w:r>
          </w:p>
        </w:tc>
        <w:tc>
          <w:tcPr>
            <w:tcW w:w="707" w:type="pct"/>
            <w:tcBorders>
              <w:top w:val="nil"/>
              <w:left w:val="nil"/>
              <w:bottom w:val="single" w:sz="4" w:space="0" w:color="auto"/>
              <w:right w:val="single" w:sz="4" w:space="0" w:color="auto"/>
            </w:tcBorders>
            <w:shd w:val="clear" w:color="auto" w:fill="auto"/>
            <w:vAlign w:val="bottom"/>
          </w:tcPr>
          <w:p w14:paraId="1CB72DAF"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27.3 (4.8)</w:t>
            </w:r>
            <w:r w:rsidRPr="00D43919">
              <w:rPr>
                <w:rFonts w:ascii="Calibri" w:hAnsi="Calibri"/>
                <w:b/>
                <w:bCs/>
                <w:color w:val="000000"/>
                <w:sz w:val="20"/>
                <w:szCs w:val="20"/>
                <w:vertAlign w:val="superscript"/>
                <w:lang w:eastAsia="en-GB"/>
              </w:rPr>
              <w:t>b,c,d</w:t>
            </w:r>
          </w:p>
        </w:tc>
        <w:tc>
          <w:tcPr>
            <w:tcW w:w="791" w:type="pct"/>
            <w:tcBorders>
              <w:top w:val="nil"/>
              <w:left w:val="nil"/>
              <w:bottom w:val="single" w:sz="4" w:space="0" w:color="auto"/>
              <w:right w:val="single" w:sz="4" w:space="0" w:color="auto"/>
            </w:tcBorders>
            <w:shd w:val="clear" w:color="auto" w:fill="auto"/>
            <w:vAlign w:val="bottom"/>
          </w:tcPr>
          <w:p w14:paraId="3A606658"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43.7 (10.8)</w:t>
            </w:r>
            <w:r w:rsidRPr="00D43919">
              <w:rPr>
                <w:rFonts w:ascii="Calibri" w:hAnsi="Calibri"/>
                <w:b/>
                <w:bCs/>
                <w:color w:val="000000"/>
                <w:sz w:val="20"/>
                <w:szCs w:val="20"/>
                <w:vertAlign w:val="superscript"/>
                <w:lang w:eastAsia="en-GB"/>
              </w:rPr>
              <w:t>a,c,d</w:t>
            </w:r>
          </w:p>
        </w:tc>
        <w:tc>
          <w:tcPr>
            <w:tcW w:w="703" w:type="pct"/>
            <w:tcBorders>
              <w:top w:val="nil"/>
              <w:left w:val="nil"/>
              <w:bottom w:val="single" w:sz="4" w:space="0" w:color="auto"/>
              <w:right w:val="single" w:sz="4" w:space="0" w:color="auto"/>
            </w:tcBorders>
            <w:shd w:val="clear" w:color="auto" w:fill="auto"/>
            <w:vAlign w:val="bottom"/>
          </w:tcPr>
          <w:p w14:paraId="1F431AA8"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62.7 (9.2)</w:t>
            </w:r>
            <w:r w:rsidRPr="00D43919">
              <w:rPr>
                <w:rFonts w:ascii="Calibri" w:hAnsi="Calibri"/>
                <w:b/>
                <w:bCs/>
                <w:color w:val="000000"/>
                <w:sz w:val="20"/>
                <w:szCs w:val="20"/>
                <w:vertAlign w:val="superscript"/>
                <w:lang w:eastAsia="en-GB"/>
              </w:rPr>
              <w:t>a,b</w:t>
            </w:r>
          </w:p>
        </w:tc>
        <w:tc>
          <w:tcPr>
            <w:tcW w:w="786" w:type="pct"/>
            <w:tcBorders>
              <w:top w:val="nil"/>
              <w:left w:val="nil"/>
              <w:bottom w:val="single" w:sz="4" w:space="0" w:color="auto"/>
              <w:right w:val="single" w:sz="4" w:space="0" w:color="auto"/>
            </w:tcBorders>
            <w:shd w:val="clear" w:color="auto" w:fill="auto"/>
            <w:vAlign w:val="bottom"/>
          </w:tcPr>
          <w:p w14:paraId="6C626CF4"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60.5 (9.4)</w:t>
            </w:r>
            <w:r w:rsidRPr="00D43919">
              <w:rPr>
                <w:rFonts w:ascii="Calibri" w:hAnsi="Calibri"/>
                <w:b/>
                <w:bCs/>
                <w:color w:val="000000"/>
                <w:sz w:val="20"/>
                <w:szCs w:val="20"/>
                <w:vertAlign w:val="superscript"/>
                <w:lang w:eastAsia="en-GB"/>
              </w:rPr>
              <w:t>a,b</w:t>
            </w:r>
          </w:p>
        </w:tc>
        <w:tc>
          <w:tcPr>
            <w:tcW w:w="581" w:type="pct"/>
            <w:tcBorders>
              <w:top w:val="nil"/>
              <w:left w:val="nil"/>
              <w:bottom w:val="single" w:sz="4" w:space="0" w:color="auto"/>
              <w:right w:val="single" w:sz="4" w:space="0" w:color="auto"/>
            </w:tcBorders>
            <w:shd w:val="clear" w:color="auto" w:fill="auto"/>
            <w:noWrap/>
            <w:vAlign w:val="center"/>
          </w:tcPr>
          <w:p w14:paraId="16FAC940" w14:textId="77777777" w:rsidR="008551A2" w:rsidRPr="00D43919" w:rsidRDefault="008551A2" w:rsidP="00862816">
            <w:pPr>
              <w:spacing w:line="480" w:lineRule="auto"/>
              <w:rPr>
                <w:rFonts w:ascii="Arial" w:hAnsi="Arial" w:cs="Arial"/>
                <w:color w:val="000000"/>
                <w:sz w:val="20"/>
                <w:szCs w:val="20"/>
                <w:lang w:eastAsia="en-GB"/>
              </w:rPr>
            </w:pPr>
            <w:r w:rsidRPr="00D43919">
              <w:rPr>
                <w:rFonts w:ascii="Arial" w:hAnsi="Arial" w:cs="Arial"/>
                <w:color w:val="000000"/>
                <w:sz w:val="20"/>
                <w:szCs w:val="20"/>
                <w:lang w:eastAsia="en-GB"/>
              </w:rPr>
              <w:t>278.967</w:t>
            </w:r>
          </w:p>
        </w:tc>
        <w:tc>
          <w:tcPr>
            <w:tcW w:w="570" w:type="pct"/>
            <w:tcBorders>
              <w:top w:val="nil"/>
              <w:left w:val="nil"/>
              <w:bottom w:val="single" w:sz="4" w:space="0" w:color="auto"/>
              <w:right w:val="single" w:sz="4" w:space="0" w:color="auto"/>
            </w:tcBorders>
            <w:shd w:val="clear" w:color="auto" w:fill="auto"/>
            <w:noWrap/>
            <w:vAlign w:val="center"/>
          </w:tcPr>
          <w:p w14:paraId="2E07526D" w14:textId="77777777" w:rsidR="008551A2" w:rsidRPr="00D43919" w:rsidRDefault="008551A2" w:rsidP="00862816">
            <w:pPr>
              <w:spacing w:line="480" w:lineRule="auto"/>
              <w:rPr>
                <w:rFonts w:ascii="Arial" w:hAnsi="Arial" w:cs="Arial"/>
                <w:color w:val="000000"/>
                <w:sz w:val="20"/>
                <w:szCs w:val="20"/>
                <w:lang w:eastAsia="en-GB"/>
              </w:rPr>
            </w:pPr>
            <w:r w:rsidRPr="00D43919">
              <w:rPr>
                <w:rFonts w:ascii="Arial" w:hAnsi="Arial" w:cs="Arial"/>
                <w:color w:val="000000"/>
                <w:sz w:val="20"/>
                <w:szCs w:val="20"/>
                <w:lang w:eastAsia="en-GB"/>
              </w:rPr>
              <w:t>&lt;0.001</w:t>
            </w:r>
          </w:p>
        </w:tc>
      </w:tr>
      <w:tr w:rsidR="008551A2" w:rsidRPr="00D43919" w14:paraId="1AB3DD81" w14:textId="77777777" w:rsidTr="00862816">
        <w:trPr>
          <w:trHeight w:val="345"/>
        </w:trPr>
        <w:tc>
          <w:tcPr>
            <w:tcW w:w="861" w:type="pct"/>
            <w:tcBorders>
              <w:top w:val="nil"/>
              <w:left w:val="single" w:sz="4" w:space="0" w:color="auto"/>
              <w:bottom w:val="single" w:sz="4" w:space="0" w:color="auto"/>
              <w:right w:val="single" w:sz="4" w:space="0" w:color="auto"/>
            </w:tcBorders>
            <w:shd w:val="clear" w:color="auto" w:fill="auto"/>
            <w:noWrap/>
            <w:vAlign w:val="bottom"/>
          </w:tcPr>
          <w:p w14:paraId="7F1B5BF9" w14:textId="77777777" w:rsidR="008551A2" w:rsidRPr="00D43919" w:rsidRDefault="008551A2" w:rsidP="00862816">
            <w:pPr>
              <w:spacing w:line="480" w:lineRule="auto"/>
              <w:rPr>
                <w:rFonts w:ascii="Calibri" w:hAnsi="Calibri"/>
                <w:b/>
                <w:bCs/>
                <w:color w:val="000000"/>
                <w:sz w:val="20"/>
                <w:szCs w:val="20"/>
                <w:lang w:eastAsia="en-GB"/>
              </w:rPr>
            </w:pPr>
            <w:r w:rsidRPr="00D43919">
              <w:rPr>
                <w:rFonts w:ascii="Calibri" w:hAnsi="Calibri"/>
                <w:b/>
                <w:bCs/>
                <w:color w:val="000000"/>
                <w:sz w:val="20"/>
                <w:szCs w:val="20"/>
                <w:lang w:eastAsia="en-GB"/>
              </w:rPr>
              <w:t>Chalder Fatigue Scale</w:t>
            </w:r>
          </w:p>
        </w:tc>
        <w:tc>
          <w:tcPr>
            <w:tcW w:w="707" w:type="pct"/>
            <w:tcBorders>
              <w:top w:val="nil"/>
              <w:left w:val="nil"/>
              <w:bottom w:val="single" w:sz="4" w:space="0" w:color="auto"/>
              <w:right w:val="single" w:sz="4" w:space="0" w:color="auto"/>
            </w:tcBorders>
            <w:shd w:val="clear" w:color="auto" w:fill="auto"/>
            <w:vAlign w:val="bottom"/>
          </w:tcPr>
          <w:p w14:paraId="57A46188"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10.5 (3.3)</w:t>
            </w:r>
            <w:r w:rsidRPr="00D43919">
              <w:rPr>
                <w:rFonts w:ascii="Calibri" w:hAnsi="Calibri"/>
                <w:b/>
                <w:bCs/>
                <w:color w:val="000000"/>
                <w:sz w:val="20"/>
                <w:szCs w:val="20"/>
                <w:vertAlign w:val="superscript"/>
                <w:lang w:eastAsia="en-GB"/>
              </w:rPr>
              <w:t>b,c,d</w:t>
            </w:r>
          </w:p>
        </w:tc>
        <w:tc>
          <w:tcPr>
            <w:tcW w:w="791" w:type="pct"/>
            <w:tcBorders>
              <w:top w:val="nil"/>
              <w:left w:val="nil"/>
              <w:bottom w:val="single" w:sz="4" w:space="0" w:color="auto"/>
              <w:right w:val="single" w:sz="4" w:space="0" w:color="auto"/>
            </w:tcBorders>
            <w:shd w:val="clear" w:color="auto" w:fill="auto"/>
            <w:vAlign w:val="bottom"/>
          </w:tcPr>
          <w:p w14:paraId="583E84D5"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14.3 (5.3)</w:t>
            </w:r>
            <w:r w:rsidRPr="00D43919">
              <w:rPr>
                <w:rFonts w:ascii="Calibri" w:hAnsi="Calibri"/>
                <w:b/>
                <w:bCs/>
                <w:color w:val="000000"/>
                <w:sz w:val="20"/>
                <w:szCs w:val="20"/>
                <w:vertAlign w:val="superscript"/>
                <w:lang w:eastAsia="en-GB"/>
              </w:rPr>
              <w:t>a,c,d</w:t>
            </w:r>
          </w:p>
        </w:tc>
        <w:tc>
          <w:tcPr>
            <w:tcW w:w="703" w:type="pct"/>
            <w:tcBorders>
              <w:top w:val="nil"/>
              <w:left w:val="nil"/>
              <w:bottom w:val="single" w:sz="4" w:space="0" w:color="auto"/>
              <w:right w:val="single" w:sz="4" w:space="0" w:color="auto"/>
            </w:tcBorders>
            <w:shd w:val="clear" w:color="auto" w:fill="auto"/>
            <w:vAlign w:val="bottom"/>
          </w:tcPr>
          <w:p w14:paraId="717AC4D4"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21.1 (5.5)</w:t>
            </w:r>
            <w:r w:rsidRPr="00D43919">
              <w:rPr>
                <w:rFonts w:ascii="Calibri" w:hAnsi="Calibri"/>
                <w:b/>
                <w:bCs/>
                <w:color w:val="000000"/>
                <w:sz w:val="20"/>
                <w:szCs w:val="20"/>
                <w:vertAlign w:val="superscript"/>
                <w:lang w:eastAsia="en-GB"/>
              </w:rPr>
              <w:t>a,b</w:t>
            </w:r>
          </w:p>
        </w:tc>
        <w:tc>
          <w:tcPr>
            <w:tcW w:w="786" w:type="pct"/>
            <w:tcBorders>
              <w:top w:val="nil"/>
              <w:left w:val="nil"/>
              <w:bottom w:val="single" w:sz="4" w:space="0" w:color="auto"/>
              <w:right w:val="single" w:sz="4" w:space="0" w:color="auto"/>
            </w:tcBorders>
            <w:shd w:val="clear" w:color="auto" w:fill="auto"/>
            <w:vAlign w:val="bottom"/>
          </w:tcPr>
          <w:p w14:paraId="0DDDF6F9"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19.7 (5.3)</w:t>
            </w:r>
            <w:r w:rsidRPr="00D43919">
              <w:rPr>
                <w:rFonts w:ascii="Calibri" w:hAnsi="Calibri"/>
                <w:b/>
                <w:bCs/>
                <w:color w:val="000000"/>
                <w:sz w:val="20"/>
                <w:szCs w:val="20"/>
                <w:vertAlign w:val="superscript"/>
                <w:lang w:eastAsia="en-GB"/>
              </w:rPr>
              <w:t>a,b</w:t>
            </w:r>
          </w:p>
        </w:tc>
        <w:tc>
          <w:tcPr>
            <w:tcW w:w="581" w:type="pct"/>
            <w:tcBorders>
              <w:top w:val="nil"/>
              <w:left w:val="nil"/>
              <w:bottom w:val="single" w:sz="4" w:space="0" w:color="auto"/>
              <w:right w:val="single" w:sz="4" w:space="0" w:color="auto"/>
            </w:tcBorders>
            <w:shd w:val="clear" w:color="auto" w:fill="auto"/>
            <w:noWrap/>
            <w:vAlign w:val="center"/>
          </w:tcPr>
          <w:p w14:paraId="17586EF9" w14:textId="77777777" w:rsidR="008551A2" w:rsidRPr="00D43919" w:rsidRDefault="008551A2" w:rsidP="00862816">
            <w:pPr>
              <w:spacing w:line="480" w:lineRule="auto"/>
              <w:rPr>
                <w:rFonts w:ascii="Arial" w:hAnsi="Arial" w:cs="Arial"/>
                <w:color w:val="000000"/>
                <w:sz w:val="20"/>
                <w:szCs w:val="20"/>
                <w:lang w:eastAsia="en-GB"/>
              </w:rPr>
            </w:pPr>
            <w:r w:rsidRPr="00D43919">
              <w:rPr>
                <w:rFonts w:ascii="Arial" w:hAnsi="Arial" w:cs="Arial"/>
                <w:color w:val="000000"/>
                <w:sz w:val="20"/>
                <w:szCs w:val="20"/>
                <w:lang w:eastAsia="en-GB"/>
              </w:rPr>
              <w:t>83.439</w:t>
            </w:r>
          </w:p>
        </w:tc>
        <w:tc>
          <w:tcPr>
            <w:tcW w:w="570" w:type="pct"/>
            <w:tcBorders>
              <w:top w:val="nil"/>
              <w:left w:val="nil"/>
              <w:bottom w:val="single" w:sz="4" w:space="0" w:color="auto"/>
              <w:right w:val="single" w:sz="4" w:space="0" w:color="auto"/>
            </w:tcBorders>
            <w:shd w:val="clear" w:color="auto" w:fill="auto"/>
            <w:noWrap/>
            <w:vAlign w:val="center"/>
          </w:tcPr>
          <w:p w14:paraId="36A608FF" w14:textId="77777777" w:rsidR="008551A2" w:rsidRPr="00D43919" w:rsidRDefault="008551A2" w:rsidP="00862816">
            <w:pPr>
              <w:spacing w:line="480" w:lineRule="auto"/>
              <w:rPr>
                <w:rFonts w:ascii="Arial" w:hAnsi="Arial" w:cs="Arial"/>
                <w:color w:val="000000"/>
                <w:sz w:val="20"/>
                <w:szCs w:val="20"/>
                <w:lang w:eastAsia="en-GB"/>
              </w:rPr>
            </w:pPr>
            <w:r w:rsidRPr="00D43919">
              <w:rPr>
                <w:rFonts w:ascii="Arial" w:hAnsi="Arial" w:cs="Arial"/>
                <w:color w:val="000000"/>
                <w:sz w:val="20"/>
                <w:szCs w:val="20"/>
                <w:lang w:eastAsia="en-GB"/>
              </w:rPr>
              <w:t>&lt;0.001</w:t>
            </w:r>
          </w:p>
        </w:tc>
      </w:tr>
      <w:tr w:rsidR="008551A2" w:rsidRPr="00D43919" w14:paraId="6EC88963" w14:textId="77777777" w:rsidTr="00862816">
        <w:trPr>
          <w:trHeight w:val="345"/>
        </w:trPr>
        <w:tc>
          <w:tcPr>
            <w:tcW w:w="861" w:type="pct"/>
            <w:tcBorders>
              <w:top w:val="nil"/>
              <w:left w:val="single" w:sz="4" w:space="0" w:color="auto"/>
              <w:bottom w:val="single" w:sz="4" w:space="0" w:color="auto"/>
              <w:right w:val="single" w:sz="4" w:space="0" w:color="auto"/>
            </w:tcBorders>
            <w:shd w:val="clear" w:color="auto" w:fill="auto"/>
            <w:noWrap/>
            <w:vAlign w:val="bottom"/>
          </w:tcPr>
          <w:p w14:paraId="0145608E" w14:textId="77777777" w:rsidR="008551A2" w:rsidRPr="00D43919" w:rsidRDefault="008551A2" w:rsidP="00862816">
            <w:pPr>
              <w:spacing w:line="480" w:lineRule="auto"/>
              <w:rPr>
                <w:rFonts w:ascii="Calibri" w:hAnsi="Calibri"/>
                <w:b/>
                <w:bCs/>
                <w:color w:val="000000"/>
                <w:sz w:val="20"/>
                <w:szCs w:val="20"/>
                <w:lang w:eastAsia="en-GB"/>
              </w:rPr>
            </w:pPr>
            <w:r w:rsidRPr="00D43919">
              <w:rPr>
                <w:rFonts w:ascii="Calibri" w:hAnsi="Calibri"/>
                <w:b/>
                <w:bCs/>
                <w:color w:val="000000"/>
                <w:sz w:val="20"/>
                <w:szCs w:val="20"/>
                <w:lang w:eastAsia="en-GB"/>
              </w:rPr>
              <w:t>Snaith-Hamilton Pleasure Scale</w:t>
            </w:r>
          </w:p>
        </w:tc>
        <w:tc>
          <w:tcPr>
            <w:tcW w:w="707" w:type="pct"/>
            <w:tcBorders>
              <w:top w:val="nil"/>
              <w:left w:val="nil"/>
              <w:bottom w:val="single" w:sz="4" w:space="0" w:color="auto"/>
              <w:right w:val="single" w:sz="4" w:space="0" w:color="auto"/>
            </w:tcBorders>
            <w:shd w:val="clear" w:color="auto" w:fill="auto"/>
            <w:vAlign w:val="bottom"/>
          </w:tcPr>
          <w:p w14:paraId="5D95CE06"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16.2 (3.6)</w:t>
            </w:r>
            <w:r w:rsidRPr="00D43919">
              <w:rPr>
                <w:rFonts w:ascii="Calibri" w:hAnsi="Calibri"/>
                <w:b/>
                <w:bCs/>
                <w:color w:val="000000"/>
                <w:sz w:val="20"/>
                <w:szCs w:val="20"/>
                <w:vertAlign w:val="superscript"/>
                <w:lang w:eastAsia="en-GB"/>
              </w:rPr>
              <w:t>b,c,d</w:t>
            </w:r>
          </w:p>
        </w:tc>
        <w:tc>
          <w:tcPr>
            <w:tcW w:w="791" w:type="pct"/>
            <w:tcBorders>
              <w:top w:val="nil"/>
              <w:left w:val="nil"/>
              <w:bottom w:val="single" w:sz="4" w:space="0" w:color="auto"/>
              <w:right w:val="single" w:sz="4" w:space="0" w:color="auto"/>
            </w:tcBorders>
            <w:shd w:val="clear" w:color="auto" w:fill="auto"/>
            <w:vAlign w:val="bottom"/>
          </w:tcPr>
          <w:p w14:paraId="570D9CFD"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22.5 (7.0)</w:t>
            </w:r>
            <w:r w:rsidRPr="00D43919">
              <w:rPr>
                <w:rFonts w:ascii="Calibri" w:hAnsi="Calibri"/>
                <w:b/>
                <w:bCs/>
                <w:color w:val="000000"/>
                <w:sz w:val="20"/>
                <w:szCs w:val="20"/>
                <w:vertAlign w:val="superscript"/>
                <w:lang w:eastAsia="en-GB"/>
              </w:rPr>
              <w:t>a,c,d</w:t>
            </w:r>
          </w:p>
        </w:tc>
        <w:tc>
          <w:tcPr>
            <w:tcW w:w="703" w:type="pct"/>
            <w:tcBorders>
              <w:top w:val="nil"/>
              <w:left w:val="nil"/>
              <w:bottom w:val="single" w:sz="4" w:space="0" w:color="auto"/>
              <w:right w:val="single" w:sz="4" w:space="0" w:color="auto"/>
            </w:tcBorders>
            <w:shd w:val="clear" w:color="auto" w:fill="auto"/>
            <w:vAlign w:val="bottom"/>
          </w:tcPr>
          <w:p w14:paraId="404C6EED"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32.5 (7.1)</w:t>
            </w:r>
            <w:r w:rsidRPr="00D43919">
              <w:rPr>
                <w:rFonts w:ascii="Calibri" w:hAnsi="Calibri"/>
                <w:b/>
                <w:bCs/>
                <w:color w:val="000000"/>
                <w:sz w:val="20"/>
                <w:szCs w:val="20"/>
                <w:vertAlign w:val="superscript"/>
                <w:lang w:eastAsia="en-GB"/>
              </w:rPr>
              <w:t>a,b</w:t>
            </w:r>
          </w:p>
        </w:tc>
        <w:tc>
          <w:tcPr>
            <w:tcW w:w="786" w:type="pct"/>
            <w:tcBorders>
              <w:top w:val="nil"/>
              <w:left w:val="nil"/>
              <w:bottom w:val="single" w:sz="4" w:space="0" w:color="auto"/>
              <w:right w:val="single" w:sz="4" w:space="0" w:color="auto"/>
            </w:tcBorders>
            <w:shd w:val="clear" w:color="auto" w:fill="auto"/>
            <w:vAlign w:val="bottom"/>
          </w:tcPr>
          <w:p w14:paraId="4F484BD8"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31.6 (5.8)</w:t>
            </w:r>
            <w:r w:rsidRPr="00D43919">
              <w:rPr>
                <w:rFonts w:ascii="Calibri" w:hAnsi="Calibri"/>
                <w:b/>
                <w:bCs/>
                <w:color w:val="000000"/>
                <w:sz w:val="20"/>
                <w:szCs w:val="20"/>
                <w:vertAlign w:val="superscript"/>
                <w:lang w:eastAsia="en-GB"/>
              </w:rPr>
              <w:t>a,b</w:t>
            </w:r>
          </w:p>
        </w:tc>
        <w:tc>
          <w:tcPr>
            <w:tcW w:w="581" w:type="pct"/>
            <w:tcBorders>
              <w:top w:val="nil"/>
              <w:left w:val="nil"/>
              <w:bottom w:val="single" w:sz="4" w:space="0" w:color="auto"/>
              <w:right w:val="single" w:sz="4" w:space="0" w:color="auto"/>
            </w:tcBorders>
            <w:shd w:val="clear" w:color="auto" w:fill="auto"/>
            <w:noWrap/>
            <w:vAlign w:val="center"/>
          </w:tcPr>
          <w:p w14:paraId="23927DD4" w14:textId="77777777" w:rsidR="008551A2" w:rsidRPr="00D43919" w:rsidRDefault="008551A2" w:rsidP="00862816">
            <w:pPr>
              <w:spacing w:line="480" w:lineRule="auto"/>
              <w:rPr>
                <w:rFonts w:ascii="Arial" w:hAnsi="Arial" w:cs="Arial"/>
                <w:color w:val="000000"/>
                <w:sz w:val="20"/>
                <w:szCs w:val="20"/>
                <w:lang w:eastAsia="en-GB"/>
              </w:rPr>
            </w:pPr>
            <w:r w:rsidRPr="00D43919">
              <w:rPr>
                <w:rFonts w:ascii="Arial" w:hAnsi="Arial" w:cs="Arial"/>
                <w:color w:val="000000"/>
                <w:sz w:val="20"/>
                <w:szCs w:val="20"/>
                <w:lang w:eastAsia="en-GB"/>
              </w:rPr>
              <w:t>153.654</w:t>
            </w:r>
          </w:p>
        </w:tc>
        <w:tc>
          <w:tcPr>
            <w:tcW w:w="570" w:type="pct"/>
            <w:tcBorders>
              <w:top w:val="nil"/>
              <w:left w:val="nil"/>
              <w:bottom w:val="single" w:sz="4" w:space="0" w:color="auto"/>
              <w:right w:val="single" w:sz="4" w:space="0" w:color="auto"/>
            </w:tcBorders>
            <w:shd w:val="clear" w:color="auto" w:fill="auto"/>
            <w:noWrap/>
            <w:vAlign w:val="center"/>
          </w:tcPr>
          <w:p w14:paraId="45F1F81F" w14:textId="77777777" w:rsidR="008551A2" w:rsidRPr="00D43919" w:rsidRDefault="008551A2" w:rsidP="00862816">
            <w:pPr>
              <w:spacing w:line="480" w:lineRule="auto"/>
              <w:rPr>
                <w:rFonts w:ascii="Arial" w:hAnsi="Arial" w:cs="Arial"/>
                <w:color w:val="000000"/>
                <w:sz w:val="20"/>
                <w:szCs w:val="20"/>
                <w:lang w:eastAsia="en-GB"/>
              </w:rPr>
            </w:pPr>
            <w:r w:rsidRPr="00D43919">
              <w:rPr>
                <w:rFonts w:ascii="Arial" w:hAnsi="Arial" w:cs="Arial"/>
                <w:color w:val="000000"/>
                <w:sz w:val="20"/>
                <w:szCs w:val="20"/>
                <w:lang w:eastAsia="en-GB"/>
              </w:rPr>
              <w:t>&lt;0.001</w:t>
            </w:r>
          </w:p>
        </w:tc>
      </w:tr>
      <w:tr w:rsidR="008551A2" w:rsidRPr="00D43919" w14:paraId="186636EE" w14:textId="77777777" w:rsidTr="00862816">
        <w:trPr>
          <w:trHeight w:val="345"/>
        </w:trPr>
        <w:tc>
          <w:tcPr>
            <w:tcW w:w="861" w:type="pct"/>
            <w:tcBorders>
              <w:top w:val="nil"/>
              <w:left w:val="single" w:sz="4" w:space="0" w:color="auto"/>
              <w:bottom w:val="single" w:sz="4" w:space="0" w:color="auto"/>
              <w:right w:val="single" w:sz="4" w:space="0" w:color="auto"/>
            </w:tcBorders>
            <w:shd w:val="clear" w:color="auto" w:fill="auto"/>
            <w:noWrap/>
            <w:vAlign w:val="bottom"/>
          </w:tcPr>
          <w:p w14:paraId="1E4B89C9" w14:textId="77777777" w:rsidR="008551A2" w:rsidRPr="00D43919" w:rsidRDefault="008551A2" w:rsidP="00862816">
            <w:pPr>
              <w:spacing w:line="480" w:lineRule="auto"/>
              <w:rPr>
                <w:rFonts w:ascii="Calibri" w:hAnsi="Calibri"/>
                <w:b/>
                <w:bCs/>
                <w:color w:val="000000"/>
                <w:sz w:val="20"/>
                <w:szCs w:val="20"/>
                <w:lang w:eastAsia="en-GB"/>
              </w:rPr>
            </w:pPr>
            <w:r w:rsidRPr="00D43919">
              <w:rPr>
                <w:rFonts w:ascii="Calibri" w:hAnsi="Calibri"/>
                <w:b/>
                <w:bCs/>
                <w:color w:val="000000"/>
                <w:sz w:val="20"/>
                <w:szCs w:val="20"/>
                <w:lang w:eastAsia="en-GB"/>
              </w:rPr>
              <w:t>CTQ, Emotional Abuse</w:t>
            </w:r>
          </w:p>
        </w:tc>
        <w:tc>
          <w:tcPr>
            <w:tcW w:w="707" w:type="pct"/>
            <w:tcBorders>
              <w:top w:val="nil"/>
              <w:left w:val="nil"/>
              <w:bottom w:val="single" w:sz="4" w:space="0" w:color="auto"/>
              <w:right w:val="single" w:sz="4" w:space="0" w:color="auto"/>
            </w:tcBorders>
            <w:shd w:val="clear" w:color="auto" w:fill="auto"/>
            <w:vAlign w:val="bottom"/>
          </w:tcPr>
          <w:p w14:paraId="52F1B05F"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6.6 (2.7)</w:t>
            </w:r>
            <w:r w:rsidRPr="00D43919">
              <w:rPr>
                <w:rFonts w:ascii="Calibri" w:hAnsi="Calibri"/>
                <w:b/>
                <w:bCs/>
                <w:color w:val="000000"/>
                <w:sz w:val="20"/>
                <w:szCs w:val="20"/>
                <w:vertAlign w:val="superscript"/>
                <w:lang w:eastAsia="en-GB"/>
              </w:rPr>
              <w:t>b,c,d</w:t>
            </w:r>
          </w:p>
        </w:tc>
        <w:tc>
          <w:tcPr>
            <w:tcW w:w="791" w:type="pct"/>
            <w:tcBorders>
              <w:top w:val="nil"/>
              <w:left w:val="nil"/>
              <w:bottom w:val="single" w:sz="4" w:space="0" w:color="auto"/>
              <w:right w:val="single" w:sz="4" w:space="0" w:color="auto"/>
            </w:tcBorders>
            <w:shd w:val="clear" w:color="auto" w:fill="auto"/>
            <w:vAlign w:val="bottom"/>
          </w:tcPr>
          <w:p w14:paraId="1D0809E0"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9.6 (4.7)</w:t>
            </w:r>
            <w:r w:rsidRPr="00D43919">
              <w:rPr>
                <w:rFonts w:ascii="Calibri" w:hAnsi="Calibri"/>
                <w:b/>
                <w:bCs/>
                <w:color w:val="000000"/>
                <w:sz w:val="20"/>
                <w:szCs w:val="20"/>
                <w:vertAlign w:val="superscript"/>
                <w:lang w:eastAsia="en-GB"/>
              </w:rPr>
              <w:t>a,c,d</w:t>
            </w:r>
          </w:p>
        </w:tc>
        <w:tc>
          <w:tcPr>
            <w:tcW w:w="703" w:type="pct"/>
            <w:tcBorders>
              <w:top w:val="nil"/>
              <w:left w:val="nil"/>
              <w:bottom w:val="single" w:sz="4" w:space="0" w:color="auto"/>
              <w:right w:val="single" w:sz="4" w:space="0" w:color="auto"/>
            </w:tcBorders>
            <w:shd w:val="clear" w:color="auto" w:fill="auto"/>
            <w:vAlign w:val="bottom"/>
          </w:tcPr>
          <w:p w14:paraId="586F964A"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12.3 (5.6)</w:t>
            </w:r>
            <w:r w:rsidRPr="00D43919">
              <w:rPr>
                <w:rFonts w:ascii="Calibri" w:hAnsi="Calibri"/>
                <w:b/>
                <w:bCs/>
                <w:color w:val="000000"/>
                <w:sz w:val="20"/>
                <w:szCs w:val="20"/>
                <w:vertAlign w:val="superscript"/>
                <w:lang w:eastAsia="en-GB"/>
              </w:rPr>
              <w:t>a,b</w:t>
            </w:r>
          </w:p>
        </w:tc>
        <w:tc>
          <w:tcPr>
            <w:tcW w:w="786" w:type="pct"/>
            <w:tcBorders>
              <w:top w:val="nil"/>
              <w:left w:val="nil"/>
              <w:bottom w:val="single" w:sz="4" w:space="0" w:color="auto"/>
              <w:right w:val="single" w:sz="4" w:space="0" w:color="auto"/>
            </w:tcBorders>
            <w:shd w:val="clear" w:color="auto" w:fill="auto"/>
            <w:vAlign w:val="bottom"/>
          </w:tcPr>
          <w:p w14:paraId="4BE56C66"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12.5 (5.1)</w:t>
            </w:r>
            <w:r w:rsidRPr="00D43919">
              <w:rPr>
                <w:rFonts w:ascii="Calibri" w:hAnsi="Calibri"/>
                <w:b/>
                <w:bCs/>
                <w:color w:val="000000"/>
                <w:sz w:val="20"/>
                <w:szCs w:val="20"/>
                <w:vertAlign w:val="superscript"/>
                <w:lang w:eastAsia="en-GB"/>
              </w:rPr>
              <w:t>a,b</w:t>
            </w:r>
          </w:p>
        </w:tc>
        <w:tc>
          <w:tcPr>
            <w:tcW w:w="581" w:type="pct"/>
            <w:tcBorders>
              <w:top w:val="nil"/>
              <w:left w:val="nil"/>
              <w:bottom w:val="single" w:sz="4" w:space="0" w:color="auto"/>
              <w:right w:val="single" w:sz="4" w:space="0" w:color="auto"/>
            </w:tcBorders>
            <w:shd w:val="clear" w:color="auto" w:fill="auto"/>
            <w:noWrap/>
            <w:vAlign w:val="center"/>
          </w:tcPr>
          <w:p w14:paraId="3B7C64E3" w14:textId="77777777" w:rsidR="008551A2" w:rsidRPr="00D43919" w:rsidRDefault="008551A2" w:rsidP="00862816">
            <w:pPr>
              <w:spacing w:line="480" w:lineRule="auto"/>
              <w:rPr>
                <w:rFonts w:ascii="Arial" w:hAnsi="Arial" w:cs="Arial"/>
                <w:color w:val="000000"/>
                <w:sz w:val="20"/>
                <w:szCs w:val="20"/>
                <w:lang w:eastAsia="en-GB"/>
              </w:rPr>
            </w:pPr>
            <w:r w:rsidRPr="00D43919">
              <w:rPr>
                <w:rFonts w:ascii="Arial" w:hAnsi="Arial" w:cs="Arial"/>
                <w:color w:val="000000"/>
                <w:sz w:val="20"/>
                <w:szCs w:val="20"/>
                <w:lang w:eastAsia="en-GB"/>
              </w:rPr>
              <w:t>31.851</w:t>
            </w:r>
          </w:p>
        </w:tc>
        <w:tc>
          <w:tcPr>
            <w:tcW w:w="570" w:type="pct"/>
            <w:tcBorders>
              <w:top w:val="nil"/>
              <w:left w:val="nil"/>
              <w:bottom w:val="single" w:sz="4" w:space="0" w:color="auto"/>
              <w:right w:val="single" w:sz="4" w:space="0" w:color="auto"/>
            </w:tcBorders>
            <w:shd w:val="clear" w:color="auto" w:fill="auto"/>
            <w:noWrap/>
            <w:vAlign w:val="center"/>
          </w:tcPr>
          <w:p w14:paraId="2E373E85" w14:textId="77777777" w:rsidR="008551A2" w:rsidRPr="00D43919" w:rsidRDefault="008551A2" w:rsidP="00862816">
            <w:pPr>
              <w:spacing w:line="480" w:lineRule="auto"/>
              <w:rPr>
                <w:rFonts w:ascii="Arial" w:hAnsi="Arial" w:cs="Arial"/>
                <w:color w:val="000000"/>
                <w:sz w:val="20"/>
                <w:szCs w:val="20"/>
                <w:lang w:eastAsia="en-GB"/>
              </w:rPr>
            </w:pPr>
            <w:r w:rsidRPr="00D43919">
              <w:rPr>
                <w:rFonts w:ascii="Arial" w:hAnsi="Arial" w:cs="Arial"/>
                <w:color w:val="000000"/>
                <w:sz w:val="20"/>
                <w:szCs w:val="20"/>
                <w:lang w:eastAsia="en-GB"/>
              </w:rPr>
              <w:t>&lt;0.001</w:t>
            </w:r>
          </w:p>
        </w:tc>
      </w:tr>
      <w:tr w:rsidR="008551A2" w:rsidRPr="00D43919" w14:paraId="1BBD6642" w14:textId="77777777" w:rsidTr="00862816">
        <w:trPr>
          <w:trHeight w:val="345"/>
        </w:trPr>
        <w:tc>
          <w:tcPr>
            <w:tcW w:w="861" w:type="pct"/>
            <w:tcBorders>
              <w:top w:val="nil"/>
              <w:left w:val="single" w:sz="4" w:space="0" w:color="auto"/>
              <w:bottom w:val="single" w:sz="4" w:space="0" w:color="auto"/>
              <w:right w:val="single" w:sz="4" w:space="0" w:color="auto"/>
            </w:tcBorders>
            <w:shd w:val="clear" w:color="auto" w:fill="auto"/>
            <w:noWrap/>
            <w:vAlign w:val="bottom"/>
          </w:tcPr>
          <w:p w14:paraId="24560E4C" w14:textId="77777777" w:rsidR="008551A2" w:rsidRPr="00D43919" w:rsidRDefault="008551A2" w:rsidP="00862816">
            <w:pPr>
              <w:spacing w:line="480" w:lineRule="auto"/>
              <w:rPr>
                <w:rFonts w:ascii="Calibri" w:hAnsi="Calibri"/>
                <w:b/>
                <w:bCs/>
                <w:color w:val="000000"/>
                <w:sz w:val="20"/>
                <w:szCs w:val="20"/>
                <w:lang w:eastAsia="en-GB"/>
              </w:rPr>
            </w:pPr>
            <w:r w:rsidRPr="00D43919">
              <w:rPr>
                <w:rFonts w:ascii="Calibri" w:hAnsi="Calibri"/>
                <w:b/>
                <w:bCs/>
                <w:color w:val="000000"/>
                <w:sz w:val="20"/>
                <w:szCs w:val="20"/>
                <w:lang w:eastAsia="en-GB"/>
              </w:rPr>
              <w:t>CTQ, Physical Abuse</w:t>
            </w:r>
          </w:p>
        </w:tc>
        <w:tc>
          <w:tcPr>
            <w:tcW w:w="707" w:type="pct"/>
            <w:tcBorders>
              <w:top w:val="nil"/>
              <w:left w:val="nil"/>
              <w:bottom w:val="single" w:sz="4" w:space="0" w:color="auto"/>
              <w:right w:val="single" w:sz="4" w:space="0" w:color="auto"/>
            </w:tcBorders>
            <w:shd w:val="clear" w:color="auto" w:fill="auto"/>
            <w:vAlign w:val="bottom"/>
          </w:tcPr>
          <w:p w14:paraId="146F382D"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5.8 (2.9)</w:t>
            </w:r>
            <w:r w:rsidRPr="00D43919">
              <w:rPr>
                <w:rFonts w:ascii="Calibri" w:hAnsi="Calibri"/>
                <w:b/>
                <w:bCs/>
                <w:color w:val="000000"/>
                <w:sz w:val="20"/>
                <w:szCs w:val="20"/>
                <w:vertAlign w:val="superscript"/>
                <w:lang w:eastAsia="en-GB"/>
              </w:rPr>
              <w:t>c</w:t>
            </w:r>
          </w:p>
        </w:tc>
        <w:tc>
          <w:tcPr>
            <w:tcW w:w="791" w:type="pct"/>
            <w:tcBorders>
              <w:top w:val="nil"/>
              <w:left w:val="nil"/>
              <w:bottom w:val="single" w:sz="4" w:space="0" w:color="auto"/>
              <w:right w:val="single" w:sz="4" w:space="0" w:color="auto"/>
            </w:tcBorders>
            <w:shd w:val="clear" w:color="auto" w:fill="auto"/>
            <w:vAlign w:val="bottom"/>
          </w:tcPr>
          <w:p w14:paraId="09CAE387"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6.8 (3.6)</w:t>
            </w:r>
          </w:p>
        </w:tc>
        <w:tc>
          <w:tcPr>
            <w:tcW w:w="703" w:type="pct"/>
            <w:tcBorders>
              <w:top w:val="nil"/>
              <w:left w:val="nil"/>
              <w:bottom w:val="single" w:sz="4" w:space="0" w:color="auto"/>
              <w:right w:val="single" w:sz="4" w:space="0" w:color="auto"/>
            </w:tcBorders>
            <w:shd w:val="clear" w:color="auto" w:fill="auto"/>
            <w:vAlign w:val="bottom"/>
          </w:tcPr>
          <w:p w14:paraId="478768F7"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7.5 (4.3)</w:t>
            </w:r>
            <w:r w:rsidRPr="00D43919">
              <w:rPr>
                <w:rFonts w:ascii="Calibri" w:hAnsi="Calibri"/>
                <w:b/>
                <w:bCs/>
                <w:color w:val="000000"/>
                <w:sz w:val="20"/>
                <w:szCs w:val="20"/>
                <w:vertAlign w:val="superscript"/>
                <w:lang w:eastAsia="en-GB"/>
              </w:rPr>
              <w:t>a</w:t>
            </w:r>
          </w:p>
        </w:tc>
        <w:tc>
          <w:tcPr>
            <w:tcW w:w="786" w:type="pct"/>
            <w:tcBorders>
              <w:top w:val="nil"/>
              <w:left w:val="nil"/>
              <w:bottom w:val="single" w:sz="4" w:space="0" w:color="auto"/>
              <w:right w:val="single" w:sz="4" w:space="0" w:color="auto"/>
            </w:tcBorders>
            <w:shd w:val="clear" w:color="auto" w:fill="auto"/>
            <w:vAlign w:val="bottom"/>
          </w:tcPr>
          <w:p w14:paraId="30D2AB0A"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7.0 (3.2)</w:t>
            </w:r>
          </w:p>
        </w:tc>
        <w:tc>
          <w:tcPr>
            <w:tcW w:w="581" w:type="pct"/>
            <w:tcBorders>
              <w:top w:val="nil"/>
              <w:left w:val="nil"/>
              <w:bottom w:val="single" w:sz="4" w:space="0" w:color="auto"/>
              <w:right w:val="single" w:sz="4" w:space="0" w:color="auto"/>
            </w:tcBorders>
            <w:shd w:val="clear" w:color="auto" w:fill="auto"/>
            <w:noWrap/>
            <w:vAlign w:val="center"/>
          </w:tcPr>
          <w:p w14:paraId="1CF87A46" w14:textId="77777777" w:rsidR="008551A2" w:rsidRPr="00D43919" w:rsidRDefault="008551A2" w:rsidP="00862816">
            <w:pPr>
              <w:spacing w:line="480" w:lineRule="auto"/>
              <w:rPr>
                <w:rFonts w:ascii="Arial" w:hAnsi="Arial" w:cs="Arial"/>
                <w:color w:val="000000"/>
                <w:sz w:val="20"/>
                <w:szCs w:val="20"/>
                <w:lang w:eastAsia="en-GB"/>
              </w:rPr>
            </w:pPr>
            <w:r w:rsidRPr="00D43919">
              <w:rPr>
                <w:rFonts w:ascii="Arial" w:hAnsi="Arial" w:cs="Arial"/>
                <w:color w:val="000000"/>
                <w:sz w:val="20"/>
                <w:szCs w:val="20"/>
                <w:lang w:eastAsia="en-GB"/>
              </w:rPr>
              <w:t>2.907</w:t>
            </w:r>
          </w:p>
        </w:tc>
        <w:tc>
          <w:tcPr>
            <w:tcW w:w="570" w:type="pct"/>
            <w:tcBorders>
              <w:top w:val="nil"/>
              <w:left w:val="nil"/>
              <w:bottom w:val="single" w:sz="4" w:space="0" w:color="auto"/>
              <w:right w:val="single" w:sz="4" w:space="0" w:color="auto"/>
            </w:tcBorders>
            <w:shd w:val="clear" w:color="auto" w:fill="auto"/>
            <w:noWrap/>
            <w:vAlign w:val="center"/>
          </w:tcPr>
          <w:p w14:paraId="03778887" w14:textId="77777777" w:rsidR="008551A2" w:rsidRPr="00D43919" w:rsidRDefault="008551A2" w:rsidP="00862816">
            <w:pPr>
              <w:spacing w:line="480" w:lineRule="auto"/>
              <w:rPr>
                <w:rFonts w:ascii="Arial" w:hAnsi="Arial" w:cs="Arial"/>
                <w:color w:val="000000"/>
                <w:sz w:val="20"/>
                <w:szCs w:val="20"/>
                <w:lang w:eastAsia="en-GB"/>
              </w:rPr>
            </w:pPr>
            <w:r w:rsidRPr="00D43919">
              <w:rPr>
                <w:rFonts w:ascii="Arial" w:hAnsi="Arial" w:cs="Arial"/>
                <w:color w:val="000000"/>
                <w:sz w:val="20"/>
                <w:szCs w:val="20"/>
                <w:lang w:eastAsia="en-GB"/>
              </w:rPr>
              <w:t>0.038</w:t>
            </w:r>
          </w:p>
        </w:tc>
      </w:tr>
      <w:tr w:rsidR="008551A2" w:rsidRPr="00D43919" w14:paraId="35968E05" w14:textId="77777777" w:rsidTr="00862816">
        <w:trPr>
          <w:trHeight w:val="345"/>
        </w:trPr>
        <w:tc>
          <w:tcPr>
            <w:tcW w:w="861" w:type="pct"/>
            <w:tcBorders>
              <w:top w:val="nil"/>
              <w:left w:val="single" w:sz="4" w:space="0" w:color="auto"/>
              <w:bottom w:val="single" w:sz="4" w:space="0" w:color="auto"/>
              <w:right w:val="single" w:sz="4" w:space="0" w:color="auto"/>
            </w:tcBorders>
            <w:shd w:val="clear" w:color="auto" w:fill="auto"/>
            <w:noWrap/>
            <w:vAlign w:val="bottom"/>
          </w:tcPr>
          <w:p w14:paraId="4C08A2D4" w14:textId="77777777" w:rsidR="008551A2" w:rsidRPr="00D43919" w:rsidRDefault="008551A2" w:rsidP="00862816">
            <w:pPr>
              <w:spacing w:line="480" w:lineRule="auto"/>
              <w:rPr>
                <w:rFonts w:ascii="Calibri" w:hAnsi="Calibri"/>
                <w:b/>
                <w:bCs/>
                <w:color w:val="000000"/>
                <w:sz w:val="20"/>
                <w:szCs w:val="20"/>
                <w:lang w:eastAsia="en-GB"/>
              </w:rPr>
            </w:pPr>
            <w:r w:rsidRPr="00D43919">
              <w:rPr>
                <w:rFonts w:ascii="Calibri" w:hAnsi="Calibri"/>
                <w:b/>
                <w:bCs/>
                <w:color w:val="000000"/>
                <w:sz w:val="20"/>
                <w:szCs w:val="20"/>
                <w:lang w:eastAsia="en-GB"/>
              </w:rPr>
              <w:t>CTQ, Sexual Abuse</w:t>
            </w:r>
          </w:p>
        </w:tc>
        <w:tc>
          <w:tcPr>
            <w:tcW w:w="707" w:type="pct"/>
            <w:tcBorders>
              <w:top w:val="nil"/>
              <w:left w:val="nil"/>
              <w:bottom w:val="single" w:sz="4" w:space="0" w:color="auto"/>
              <w:right w:val="single" w:sz="4" w:space="0" w:color="auto"/>
            </w:tcBorders>
            <w:shd w:val="clear" w:color="auto" w:fill="auto"/>
            <w:vAlign w:val="bottom"/>
          </w:tcPr>
          <w:p w14:paraId="025B8958"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5.6 (2.4)</w:t>
            </w:r>
            <w:r w:rsidRPr="00D43919">
              <w:rPr>
                <w:rFonts w:ascii="Calibri" w:hAnsi="Calibri"/>
                <w:b/>
                <w:bCs/>
                <w:color w:val="000000"/>
                <w:sz w:val="20"/>
                <w:szCs w:val="20"/>
                <w:vertAlign w:val="superscript"/>
                <w:lang w:eastAsia="en-GB"/>
              </w:rPr>
              <w:t>c,d</w:t>
            </w:r>
          </w:p>
        </w:tc>
        <w:tc>
          <w:tcPr>
            <w:tcW w:w="791" w:type="pct"/>
            <w:tcBorders>
              <w:top w:val="nil"/>
              <w:left w:val="nil"/>
              <w:bottom w:val="single" w:sz="4" w:space="0" w:color="auto"/>
              <w:right w:val="single" w:sz="4" w:space="0" w:color="auto"/>
            </w:tcBorders>
            <w:shd w:val="clear" w:color="auto" w:fill="auto"/>
            <w:vAlign w:val="bottom"/>
          </w:tcPr>
          <w:p w14:paraId="0CB09EC8"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6.6 (4.2)</w:t>
            </w:r>
          </w:p>
        </w:tc>
        <w:tc>
          <w:tcPr>
            <w:tcW w:w="703" w:type="pct"/>
            <w:tcBorders>
              <w:top w:val="nil"/>
              <w:left w:val="nil"/>
              <w:bottom w:val="single" w:sz="4" w:space="0" w:color="auto"/>
              <w:right w:val="single" w:sz="4" w:space="0" w:color="auto"/>
            </w:tcBorders>
            <w:shd w:val="clear" w:color="auto" w:fill="auto"/>
            <w:vAlign w:val="bottom"/>
          </w:tcPr>
          <w:p w14:paraId="6EC81FC5"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7.4 (5.2)</w:t>
            </w:r>
            <w:r w:rsidRPr="00D43919">
              <w:rPr>
                <w:rFonts w:ascii="Calibri" w:hAnsi="Calibri"/>
                <w:b/>
                <w:bCs/>
                <w:color w:val="000000"/>
                <w:sz w:val="20"/>
                <w:szCs w:val="20"/>
                <w:vertAlign w:val="superscript"/>
                <w:lang w:eastAsia="en-GB"/>
              </w:rPr>
              <w:t>a</w:t>
            </w:r>
          </w:p>
        </w:tc>
        <w:tc>
          <w:tcPr>
            <w:tcW w:w="786" w:type="pct"/>
            <w:tcBorders>
              <w:top w:val="nil"/>
              <w:left w:val="nil"/>
              <w:bottom w:val="single" w:sz="4" w:space="0" w:color="auto"/>
              <w:right w:val="single" w:sz="4" w:space="0" w:color="auto"/>
            </w:tcBorders>
            <w:shd w:val="clear" w:color="auto" w:fill="auto"/>
            <w:vAlign w:val="bottom"/>
          </w:tcPr>
          <w:p w14:paraId="0E77B37C"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7.5 (5.4)</w:t>
            </w:r>
            <w:r w:rsidRPr="00D43919">
              <w:rPr>
                <w:rFonts w:ascii="Calibri" w:hAnsi="Calibri"/>
                <w:b/>
                <w:bCs/>
                <w:color w:val="000000"/>
                <w:sz w:val="20"/>
                <w:szCs w:val="20"/>
                <w:vertAlign w:val="superscript"/>
                <w:lang w:eastAsia="en-GB"/>
              </w:rPr>
              <w:t>a</w:t>
            </w:r>
          </w:p>
        </w:tc>
        <w:tc>
          <w:tcPr>
            <w:tcW w:w="581" w:type="pct"/>
            <w:tcBorders>
              <w:top w:val="nil"/>
              <w:left w:val="nil"/>
              <w:bottom w:val="single" w:sz="4" w:space="0" w:color="auto"/>
              <w:right w:val="single" w:sz="4" w:space="0" w:color="auto"/>
            </w:tcBorders>
            <w:shd w:val="clear" w:color="auto" w:fill="auto"/>
            <w:noWrap/>
            <w:vAlign w:val="center"/>
          </w:tcPr>
          <w:p w14:paraId="212D4808" w14:textId="77777777" w:rsidR="008551A2" w:rsidRPr="00D43919" w:rsidRDefault="008551A2" w:rsidP="00862816">
            <w:pPr>
              <w:spacing w:line="480" w:lineRule="auto"/>
              <w:rPr>
                <w:rFonts w:ascii="Arial" w:hAnsi="Arial" w:cs="Arial"/>
                <w:color w:val="000000"/>
                <w:sz w:val="20"/>
                <w:szCs w:val="20"/>
                <w:lang w:eastAsia="en-GB"/>
              </w:rPr>
            </w:pPr>
            <w:r w:rsidRPr="00D43919">
              <w:rPr>
                <w:rFonts w:ascii="Arial" w:hAnsi="Arial" w:cs="Arial"/>
                <w:color w:val="000000"/>
                <w:sz w:val="20"/>
                <w:szCs w:val="20"/>
                <w:lang w:eastAsia="en-GB"/>
              </w:rPr>
              <w:t>3.492</w:t>
            </w:r>
          </w:p>
        </w:tc>
        <w:tc>
          <w:tcPr>
            <w:tcW w:w="570" w:type="pct"/>
            <w:tcBorders>
              <w:top w:val="nil"/>
              <w:left w:val="nil"/>
              <w:bottom w:val="single" w:sz="4" w:space="0" w:color="auto"/>
              <w:right w:val="single" w:sz="4" w:space="0" w:color="auto"/>
            </w:tcBorders>
            <w:shd w:val="clear" w:color="auto" w:fill="auto"/>
            <w:noWrap/>
            <w:vAlign w:val="center"/>
          </w:tcPr>
          <w:p w14:paraId="61312648" w14:textId="77777777" w:rsidR="008551A2" w:rsidRPr="00D43919" w:rsidRDefault="008551A2" w:rsidP="00862816">
            <w:pPr>
              <w:spacing w:line="480" w:lineRule="auto"/>
              <w:rPr>
                <w:rFonts w:ascii="Arial" w:hAnsi="Arial" w:cs="Arial"/>
                <w:color w:val="000000"/>
                <w:sz w:val="20"/>
                <w:szCs w:val="20"/>
                <w:lang w:eastAsia="en-GB"/>
              </w:rPr>
            </w:pPr>
            <w:r w:rsidRPr="00D43919">
              <w:rPr>
                <w:rFonts w:ascii="Arial" w:hAnsi="Arial" w:cs="Arial"/>
                <w:color w:val="000000"/>
                <w:sz w:val="20"/>
                <w:szCs w:val="20"/>
                <w:lang w:eastAsia="en-GB"/>
              </w:rPr>
              <w:t>0.018</w:t>
            </w:r>
          </w:p>
        </w:tc>
      </w:tr>
      <w:tr w:rsidR="008551A2" w:rsidRPr="00D43919" w14:paraId="749C9916" w14:textId="77777777" w:rsidTr="00862816">
        <w:trPr>
          <w:trHeight w:val="345"/>
        </w:trPr>
        <w:tc>
          <w:tcPr>
            <w:tcW w:w="861" w:type="pct"/>
            <w:tcBorders>
              <w:top w:val="nil"/>
              <w:left w:val="single" w:sz="4" w:space="0" w:color="auto"/>
              <w:bottom w:val="single" w:sz="4" w:space="0" w:color="auto"/>
              <w:right w:val="single" w:sz="4" w:space="0" w:color="auto"/>
            </w:tcBorders>
            <w:shd w:val="clear" w:color="auto" w:fill="auto"/>
            <w:noWrap/>
            <w:vAlign w:val="bottom"/>
          </w:tcPr>
          <w:p w14:paraId="6BD324F0" w14:textId="77777777" w:rsidR="008551A2" w:rsidRPr="00D43919" w:rsidRDefault="008551A2" w:rsidP="00862816">
            <w:pPr>
              <w:spacing w:line="480" w:lineRule="auto"/>
              <w:rPr>
                <w:rFonts w:ascii="Calibri" w:hAnsi="Calibri"/>
                <w:b/>
                <w:bCs/>
                <w:color w:val="000000"/>
                <w:sz w:val="20"/>
                <w:szCs w:val="20"/>
                <w:lang w:eastAsia="en-GB"/>
              </w:rPr>
            </w:pPr>
            <w:r w:rsidRPr="00D43919">
              <w:rPr>
                <w:rFonts w:ascii="Calibri" w:hAnsi="Calibri"/>
                <w:b/>
                <w:bCs/>
                <w:color w:val="000000"/>
                <w:sz w:val="20"/>
                <w:szCs w:val="20"/>
                <w:lang w:eastAsia="en-GB"/>
              </w:rPr>
              <w:lastRenderedPageBreak/>
              <w:t>CTQ Emotional Neglect</w:t>
            </w:r>
          </w:p>
        </w:tc>
        <w:tc>
          <w:tcPr>
            <w:tcW w:w="707" w:type="pct"/>
            <w:tcBorders>
              <w:top w:val="nil"/>
              <w:left w:val="nil"/>
              <w:bottom w:val="single" w:sz="4" w:space="0" w:color="auto"/>
              <w:right w:val="single" w:sz="4" w:space="0" w:color="auto"/>
            </w:tcBorders>
            <w:shd w:val="clear" w:color="auto" w:fill="auto"/>
            <w:vAlign w:val="bottom"/>
          </w:tcPr>
          <w:p w14:paraId="1E3D0433"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8.5 (3.8)</w:t>
            </w:r>
            <w:r w:rsidRPr="00D43919">
              <w:rPr>
                <w:rFonts w:ascii="Calibri" w:hAnsi="Calibri"/>
                <w:b/>
                <w:bCs/>
                <w:color w:val="000000"/>
                <w:sz w:val="20"/>
                <w:szCs w:val="20"/>
                <w:vertAlign w:val="superscript"/>
                <w:lang w:eastAsia="en-GB"/>
              </w:rPr>
              <w:t>b,c,d</w:t>
            </w:r>
          </w:p>
        </w:tc>
        <w:tc>
          <w:tcPr>
            <w:tcW w:w="791" w:type="pct"/>
            <w:tcBorders>
              <w:top w:val="nil"/>
              <w:left w:val="nil"/>
              <w:bottom w:val="single" w:sz="4" w:space="0" w:color="auto"/>
              <w:right w:val="single" w:sz="4" w:space="0" w:color="auto"/>
            </w:tcBorders>
            <w:shd w:val="clear" w:color="auto" w:fill="auto"/>
            <w:vAlign w:val="bottom"/>
          </w:tcPr>
          <w:p w14:paraId="25D6D97E"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11.8 (4.9)</w:t>
            </w:r>
            <w:r w:rsidRPr="00D43919">
              <w:rPr>
                <w:rFonts w:ascii="Calibri" w:hAnsi="Calibri"/>
                <w:b/>
                <w:bCs/>
                <w:color w:val="000000"/>
                <w:sz w:val="20"/>
                <w:szCs w:val="20"/>
                <w:vertAlign w:val="superscript"/>
                <w:lang w:eastAsia="en-GB"/>
              </w:rPr>
              <w:t>a,c,d</w:t>
            </w:r>
          </w:p>
        </w:tc>
        <w:tc>
          <w:tcPr>
            <w:tcW w:w="703" w:type="pct"/>
            <w:tcBorders>
              <w:top w:val="nil"/>
              <w:left w:val="nil"/>
              <w:bottom w:val="single" w:sz="4" w:space="0" w:color="auto"/>
              <w:right w:val="single" w:sz="4" w:space="0" w:color="auto"/>
            </w:tcBorders>
            <w:shd w:val="clear" w:color="auto" w:fill="auto"/>
            <w:vAlign w:val="bottom"/>
          </w:tcPr>
          <w:p w14:paraId="3E627CC2"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14.2 (5.3)</w:t>
            </w:r>
            <w:r w:rsidRPr="00D43919">
              <w:rPr>
                <w:rFonts w:ascii="Calibri" w:hAnsi="Calibri"/>
                <w:b/>
                <w:bCs/>
                <w:color w:val="000000"/>
                <w:sz w:val="20"/>
                <w:szCs w:val="20"/>
                <w:vertAlign w:val="superscript"/>
                <w:lang w:eastAsia="en-GB"/>
              </w:rPr>
              <w:t>a,b</w:t>
            </w:r>
          </w:p>
        </w:tc>
        <w:tc>
          <w:tcPr>
            <w:tcW w:w="786" w:type="pct"/>
            <w:tcBorders>
              <w:top w:val="nil"/>
              <w:left w:val="nil"/>
              <w:bottom w:val="single" w:sz="4" w:space="0" w:color="auto"/>
              <w:right w:val="single" w:sz="4" w:space="0" w:color="auto"/>
            </w:tcBorders>
            <w:shd w:val="clear" w:color="auto" w:fill="auto"/>
            <w:vAlign w:val="bottom"/>
          </w:tcPr>
          <w:p w14:paraId="6358EAFA"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14.4 (5.7)</w:t>
            </w:r>
            <w:r w:rsidRPr="00D43919">
              <w:rPr>
                <w:rFonts w:ascii="Calibri" w:hAnsi="Calibri"/>
                <w:b/>
                <w:bCs/>
                <w:color w:val="000000"/>
                <w:sz w:val="20"/>
                <w:szCs w:val="20"/>
                <w:vertAlign w:val="superscript"/>
                <w:lang w:eastAsia="en-GB"/>
              </w:rPr>
              <w:t>a,b</w:t>
            </w:r>
          </w:p>
        </w:tc>
        <w:tc>
          <w:tcPr>
            <w:tcW w:w="581" w:type="pct"/>
            <w:tcBorders>
              <w:top w:val="nil"/>
              <w:left w:val="nil"/>
              <w:bottom w:val="single" w:sz="4" w:space="0" w:color="auto"/>
              <w:right w:val="single" w:sz="4" w:space="0" w:color="auto"/>
            </w:tcBorders>
            <w:shd w:val="clear" w:color="auto" w:fill="auto"/>
            <w:noWrap/>
            <w:vAlign w:val="center"/>
          </w:tcPr>
          <w:p w14:paraId="653B641E" w14:textId="77777777" w:rsidR="008551A2" w:rsidRPr="00D43919" w:rsidRDefault="008551A2" w:rsidP="00862816">
            <w:pPr>
              <w:spacing w:line="480" w:lineRule="auto"/>
              <w:rPr>
                <w:rFonts w:ascii="Arial" w:hAnsi="Arial" w:cs="Arial"/>
                <w:color w:val="000000"/>
                <w:sz w:val="20"/>
                <w:szCs w:val="20"/>
                <w:lang w:eastAsia="en-GB"/>
              </w:rPr>
            </w:pPr>
            <w:r w:rsidRPr="00D43919">
              <w:rPr>
                <w:rFonts w:ascii="Arial" w:hAnsi="Arial" w:cs="Arial"/>
                <w:color w:val="000000"/>
                <w:sz w:val="20"/>
                <w:szCs w:val="20"/>
                <w:lang w:eastAsia="en-GB"/>
              </w:rPr>
              <w:t>22.344</w:t>
            </w:r>
          </w:p>
        </w:tc>
        <w:tc>
          <w:tcPr>
            <w:tcW w:w="570" w:type="pct"/>
            <w:tcBorders>
              <w:top w:val="nil"/>
              <w:left w:val="nil"/>
              <w:bottom w:val="single" w:sz="4" w:space="0" w:color="auto"/>
              <w:right w:val="single" w:sz="4" w:space="0" w:color="auto"/>
            </w:tcBorders>
            <w:shd w:val="clear" w:color="auto" w:fill="auto"/>
            <w:noWrap/>
            <w:vAlign w:val="center"/>
          </w:tcPr>
          <w:p w14:paraId="327CB0EF" w14:textId="77777777" w:rsidR="008551A2" w:rsidRPr="00D43919" w:rsidRDefault="008551A2" w:rsidP="00862816">
            <w:pPr>
              <w:spacing w:line="480" w:lineRule="auto"/>
              <w:rPr>
                <w:rFonts w:ascii="Arial" w:hAnsi="Arial" w:cs="Arial"/>
                <w:color w:val="000000"/>
                <w:sz w:val="20"/>
                <w:szCs w:val="20"/>
                <w:lang w:eastAsia="en-GB"/>
              </w:rPr>
            </w:pPr>
            <w:r w:rsidRPr="00D43919">
              <w:rPr>
                <w:rFonts w:ascii="Arial" w:hAnsi="Arial" w:cs="Arial"/>
                <w:color w:val="000000"/>
                <w:sz w:val="20"/>
                <w:szCs w:val="20"/>
                <w:lang w:eastAsia="en-GB"/>
              </w:rPr>
              <w:t>&lt;0.001</w:t>
            </w:r>
          </w:p>
        </w:tc>
      </w:tr>
      <w:tr w:rsidR="008551A2" w:rsidRPr="00C5598B" w14:paraId="3D975FBD" w14:textId="77777777" w:rsidTr="00862816">
        <w:trPr>
          <w:trHeight w:val="345"/>
        </w:trPr>
        <w:tc>
          <w:tcPr>
            <w:tcW w:w="861" w:type="pct"/>
            <w:tcBorders>
              <w:top w:val="nil"/>
              <w:left w:val="single" w:sz="4" w:space="0" w:color="auto"/>
              <w:bottom w:val="single" w:sz="4" w:space="0" w:color="auto"/>
              <w:right w:val="single" w:sz="4" w:space="0" w:color="auto"/>
            </w:tcBorders>
            <w:shd w:val="clear" w:color="auto" w:fill="auto"/>
            <w:noWrap/>
            <w:vAlign w:val="bottom"/>
          </w:tcPr>
          <w:p w14:paraId="36A9E025" w14:textId="77777777" w:rsidR="008551A2" w:rsidRPr="00D43919" w:rsidRDefault="008551A2" w:rsidP="00862816">
            <w:pPr>
              <w:spacing w:line="480" w:lineRule="auto"/>
              <w:rPr>
                <w:rFonts w:ascii="Calibri" w:hAnsi="Calibri"/>
                <w:b/>
                <w:bCs/>
                <w:color w:val="000000"/>
                <w:sz w:val="20"/>
                <w:szCs w:val="20"/>
                <w:lang w:eastAsia="en-GB"/>
              </w:rPr>
            </w:pPr>
            <w:r w:rsidRPr="00D43919">
              <w:rPr>
                <w:rFonts w:ascii="Calibri" w:hAnsi="Calibri"/>
                <w:b/>
                <w:bCs/>
                <w:color w:val="000000"/>
                <w:sz w:val="20"/>
                <w:szCs w:val="20"/>
                <w:lang w:eastAsia="en-GB"/>
              </w:rPr>
              <w:t>CTQ, Physical Neglect</w:t>
            </w:r>
          </w:p>
        </w:tc>
        <w:tc>
          <w:tcPr>
            <w:tcW w:w="707" w:type="pct"/>
            <w:tcBorders>
              <w:top w:val="nil"/>
              <w:left w:val="nil"/>
              <w:bottom w:val="single" w:sz="4" w:space="0" w:color="auto"/>
              <w:right w:val="single" w:sz="4" w:space="0" w:color="auto"/>
            </w:tcBorders>
            <w:shd w:val="clear" w:color="auto" w:fill="auto"/>
            <w:vAlign w:val="bottom"/>
          </w:tcPr>
          <w:p w14:paraId="2E08CEB9"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6.1 (1.7)</w:t>
            </w:r>
            <w:r w:rsidRPr="00D43919">
              <w:rPr>
                <w:rFonts w:ascii="Calibri" w:hAnsi="Calibri"/>
                <w:b/>
                <w:bCs/>
                <w:color w:val="000000"/>
                <w:sz w:val="20"/>
                <w:szCs w:val="20"/>
                <w:vertAlign w:val="superscript"/>
                <w:lang w:eastAsia="en-GB"/>
              </w:rPr>
              <w:t>b,c,d</w:t>
            </w:r>
          </w:p>
        </w:tc>
        <w:tc>
          <w:tcPr>
            <w:tcW w:w="791" w:type="pct"/>
            <w:tcBorders>
              <w:top w:val="nil"/>
              <w:left w:val="nil"/>
              <w:bottom w:val="single" w:sz="4" w:space="0" w:color="auto"/>
              <w:right w:val="single" w:sz="4" w:space="0" w:color="auto"/>
            </w:tcBorders>
            <w:shd w:val="clear" w:color="auto" w:fill="auto"/>
            <w:vAlign w:val="bottom"/>
          </w:tcPr>
          <w:p w14:paraId="22EF5C89"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7.5 (3.2)</w:t>
            </w:r>
            <w:r w:rsidRPr="00D43919">
              <w:rPr>
                <w:rFonts w:ascii="Calibri" w:hAnsi="Calibri"/>
                <w:b/>
                <w:bCs/>
                <w:color w:val="000000"/>
                <w:sz w:val="20"/>
                <w:szCs w:val="20"/>
                <w:vertAlign w:val="superscript"/>
                <w:lang w:eastAsia="en-GB"/>
              </w:rPr>
              <w:t>a</w:t>
            </w:r>
          </w:p>
        </w:tc>
        <w:tc>
          <w:tcPr>
            <w:tcW w:w="703" w:type="pct"/>
            <w:tcBorders>
              <w:top w:val="nil"/>
              <w:left w:val="nil"/>
              <w:bottom w:val="single" w:sz="4" w:space="0" w:color="auto"/>
              <w:right w:val="single" w:sz="4" w:space="0" w:color="auto"/>
            </w:tcBorders>
            <w:shd w:val="clear" w:color="auto" w:fill="auto"/>
            <w:vAlign w:val="bottom"/>
          </w:tcPr>
          <w:p w14:paraId="53BDB8A1"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8.4 (3.6)</w:t>
            </w:r>
            <w:r w:rsidRPr="00D43919">
              <w:rPr>
                <w:rFonts w:ascii="Calibri" w:hAnsi="Calibri"/>
                <w:b/>
                <w:bCs/>
                <w:color w:val="000000"/>
                <w:sz w:val="20"/>
                <w:szCs w:val="20"/>
                <w:vertAlign w:val="superscript"/>
                <w:lang w:eastAsia="en-GB"/>
              </w:rPr>
              <w:t>a</w:t>
            </w:r>
          </w:p>
        </w:tc>
        <w:tc>
          <w:tcPr>
            <w:tcW w:w="786" w:type="pct"/>
            <w:tcBorders>
              <w:top w:val="nil"/>
              <w:left w:val="nil"/>
              <w:bottom w:val="single" w:sz="4" w:space="0" w:color="auto"/>
              <w:right w:val="single" w:sz="4" w:space="0" w:color="auto"/>
            </w:tcBorders>
            <w:shd w:val="clear" w:color="auto" w:fill="auto"/>
            <w:vAlign w:val="bottom"/>
          </w:tcPr>
          <w:p w14:paraId="3060CF8E" w14:textId="77777777" w:rsidR="008551A2" w:rsidRPr="00D43919" w:rsidRDefault="008551A2" w:rsidP="00862816">
            <w:pPr>
              <w:spacing w:line="480" w:lineRule="auto"/>
              <w:rPr>
                <w:rFonts w:ascii="Calibri" w:hAnsi="Calibri"/>
                <w:color w:val="000000"/>
                <w:sz w:val="20"/>
                <w:szCs w:val="20"/>
                <w:lang w:eastAsia="en-GB"/>
              </w:rPr>
            </w:pPr>
            <w:r w:rsidRPr="00D43919">
              <w:rPr>
                <w:rFonts w:ascii="Calibri" w:hAnsi="Calibri"/>
                <w:color w:val="000000"/>
                <w:sz w:val="20"/>
                <w:szCs w:val="20"/>
                <w:lang w:eastAsia="en-GB"/>
              </w:rPr>
              <w:t>8.6 (3.1)</w:t>
            </w:r>
            <w:r w:rsidRPr="00D43919">
              <w:rPr>
                <w:rFonts w:ascii="Calibri" w:hAnsi="Calibri"/>
                <w:b/>
                <w:bCs/>
                <w:color w:val="000000"/>
                <w:sz w:val="20"/>
                <w:szCs w:val="20"/>
                <w:vertAlign w:val="superscript"/>
                <w:lang w:eastAsia="en-GB"/>
              </w:rPr>
              <w:t>a</w:t>
            </w:r>
          </w:p>
        </w:tc>
        <w:tc>
          <w:tcPr>
            <w:tcW w:w="581" w:type="pct"/>
            <w:tcBorders>
              <w:top w:val="nil"/>
              <w:left w:val="nil"/>
              <w:bottom w:val="single" w:sz="4" w:space="0" w:color="auto"/>
              <w:right w:val="single" w:sz="4" w:space="0" w:color="auto"/>
            </w:tcBorders>
            <w:shd w:val="clear" w:color="auto" w:fill="auto"/>
            <w:noWrap/>
            <w:vAlign w:val="center"/>
          </w:tcPr>
          <w:p w14:paraId="0D0756FA" w14:textId="77777777" w:rsidR="008551A2" w:rsidRPr="00D43919" w:rsidRDefault="008551A2" w:rsidP="00862816">
            <w:pPr>
              <w:spacing w:line="480" w:lineRule="auto"/>
              <w:rPr>
                <w:rFonts w:ascii="Arial" w:hAnsi="Arial" w:cs="Arial"/>
                <w:color w:val="000000"/>
                <w:sz w:val="20"/>
                <w:szCs w:val="20"/>
                <w:lang w:eastAsia="en-GB"/>
              </w:rPr>
            </w:pPr>
            <w:r w:rsidRPr="00D43919">
              <w:rPr>
                <w:rFonts w:ascii="Arial" w:hAnsi="Arial" w:cs="Arial"/>
                <w:color w:val="000000"/>
                <w:sz w:val="20"/>
                <w:szCs w:val="20"/>
                <w:lang w:eastAsia="en-GB"/>
              </w:rPr>
              <w:t>13.420</w:t>
            </w:r>
          </w:p>
        </w:tc>
        <w:tc>
          <w:tcPr>
            <w:tcW w:w="570" w:type="pct"/>
            <w:tcBorders>
              <w:top w:val="nil"/>
              <w:left w:val="nil"/>
              <w:bottom w:val="single" w:sz="4" w:space="0" w:color="auto"/>
              <w:right w:val="single" w:sz="4" w:space="0" w:color="auto"/>
            </w:tcBorders>
            <w:shd w:val="clear" w:color="auto" w:fill="auto"/>
            <w:noWrap/>
            <w:vAlign w:val="center"/>
          </w:tcPr>
          <w:p w14:paraId="6DA066DF" w14:textId="77777777" w:rsidR="008551A2" w:rsidRPr="00C5598B" w:rsidRDefault="008551A2" w:rsidP="00862816">
            <w:pPr>
              <w:spacing w:line="480" w:lineRule="auto"/>
              <w:rPr>
                <w:rFonts w:ascii="Arial" w:hAnsi="Arial" w:cs="Arial"/>
                <w:color w:val="000000"/>
                <w:sz w:val="20"/>
                <w:szCs w:val="20"/>
                <w:lang w:eastAsia="en-GB"/>
              </w:rPr>
            </w:pPr>
            <w:r w:rsidRPr="00D43919">
              <w:rPr>
                <w:rFonts w:ascii="Arial" w:hAnsi="Arial" w:cs="Arial"/>
                <w:color w:val="000000"/>
                <w:sz w:val="20"/>
                <w:szCs w:val="20"/>
                <w:lang w:eastAsia="en-GB"/>
              </w:rPr>
              <w:t>&lt;0.001</w:t>
            </w:r>
          </w:p>
        </w:tc>
      </w:tr>
    </w:tbl>
    <w:p w14:paraId="7340B0B2" w14:textId="39412CA8" w:rsidR="008551A2" w:rsidRDefault="008551A2" w:rsidP="008551A2">
      <w:pPr>
        <w:spacing w:line="480" w:lineRule="auto"/>
        <w:rPr>
          <w:rFonts w:ascii="Calibri" w:hAnsi="Calibri"/>
          <w:color w:val="000000"/>
          <w:sz w:val="20"/>
          <w:szCs w:val="20"/>
          <w:lang w:eastAsia="en-GB"/>
        </w:rPr>
      </w:pPr>
      <w:r w:rsidRPr="007671DE">
        <w:rPr>
          <w:rFonts w:ascii="Calibri" w:hAnsi="Calibri"/>
          <w:color w:val="000000"/>
          <w:sz w:val="20"/>
          <w:szCs w:val="20"/>
          <w:lang w:eastAsia="en-GB"/>
        </w:rPr>
        <w:t>Superscr</w:t>
      </w:r>
      <w:r>
        <w:rPr>
          <w:rFonts w:ascii="Calibri" w:hAnsi="Calibri"/>
          <w:color w:val="000000"/>
          <w:sz w:val="20"/>
          <w:szCs w:val="20"/>
          <w:lang w:eastAsia="en-GB"/>
        </w:rPr>
        <w:t>ipt letters indicate that the group</w:t>
      </w:r>
      <w:r w:rsidRPr="007671DE">
        <w:rPr>
          <w:rFonts w:ascii="Calibri" w:hAnsi="Calibri"/>
          <w:color w:val="000000"/>
          <w:sz w:val="20"/>
          <w:szCs w:val="20"/>
          <w:lang w:eastAsia="en-GB"/>
        </w:rPr>
        <w:t xml:space="preserve"> differs significantly from the other group by post hoc Least S</w:t>
      </w:r>
      <w:r w:rsidR="0098722C">
        <w:rPr>
          <w:rFonts w:ascii="Calibri" w:hAnsi="Calibri"/>
          <w:color w:val="000000"/>
          <w:sz w:val="20"/>
          <w:szCs w:val="20"/>
          <w:lang w:eastAsia="en-GB"/>
        </w:rPr>
        <w:t xml:space="preserve">ignificant Difference tests at </w:t>
      </w:r>
      <w:r w:rsidR="0098722C" w:rsidRPr="0098722C">
        <w:rPr>
          <w:rFonts w:ascii="Calibri" w:hAnsi="Calibri"/>
          <w:i/>
          <w:color w:val="000000"/>
          <w:sz w:val="20"/>
          <w:szCs w:val="20"/>
          <w:lang w:eastAsia="en-GB"/>
        </w:rPr>
        <w:t>P</w:t>
      </w:r>
      <w:r w:rsidRPr="007671DE">
        <w:rPr>
          <w:rFonts w:ascii="Calibri" w:hAnsi="Calibri"/>
          <w:color w:val="000000"/>
          <w:sz w:val="20"/>
          <w:szCs w:val="20"/>
          <w:lang w:eastAsia="en-GB"/>
        </w:rPr>
        <w:t>&lt;0.05.</w:t>
      </w:r>
      <w:r>
        <w:rPr>
          <w:rFonts w:ascii="Calibri" w:hAnsi="Calibri"/>
          <w:color w:val="000000"/>
          <w:sz w:val="20"/>
          <w:szCs w:val="20"/>
          <w:lang w:eastAsia="en-GB"/>
        </w:rPr>
        <w:t xml:space="preserve"> Welch tests were used for composite tests due to heterogeneity of variance across groups. </w:t>
      </w:r>
    </w:p>
    <w:p w14:paraId="13C7911B" w14:textId="77777777" w:rsidR="008551A2" w:rsidRDefault="008551A2">
      <w:pPr>
        <w:rPr>
          <w:b/>
        </w:rPr>
      </w:pPr>
    </w:p>
    <w:p w14:paraId="6A1676C6" w14:textId="77777777" w:rsidR="008551A2" w:rsidRDefault="008551A2">
      <w:pPr>
        <w:rPr>
          <w:b/>
        </w:rPr>
      </w:pPr>
    </w:p>
    <w:p w14:paraId="7AD76C15" w14:textId="77777777" w:rsidR="009777BB" w:rsidRDefault="009777BB">
      <w:pPr>
        <w:rPr>
          <w:b/>
        </w:rPr>
      </w:pPr>
      <w:r>
        <w:rPr>
          <w:b/>
        </w:rPr>
        <w:br w:type="page"/>
      </w:r>
    </w:p>
    <w:p w14:paraId="355A5FE2" w14:textId="316BDEA0" w:rsidR="008551A2" w:rsidRPr="007774AE" w:rsidRDefault="008551A2" w:rsidP="008551A2">
      <w:pPr>
        <w:rPr>
          <w:b/>
        </w:rPr>
      </w:pPr>
      <w:r>
        <w:rPr>
          <w:b/>
        </w:rPr>
        <w:lastRenderedPageBreak/>
        <w:t>Table S2</w:t>
      </w:r>
      <w:r w:rsidR="0098722C">
        <w:rPr>
          <w:b/>
        </w:rPr>
        <w:t>. Comorbid non-psychotic psychiatric disorders in depressed patient groups</w:t>
      </w:r>
    </w:p>
    <w:tbl>
      <w:tblPr>
        <w:tblW w:w="5000" w:type="pct"/>
        <w:tblLook w:val="04A0" w:firstRow="1" w:lastRow="0" w:firstColumn="1" w:lastColumn="0" w:noHBand="0" w:noVBand="1"/>
      </w:tblPr>
      <w:tblGrid>
        <w:gridCol w:w="1761"/>
        <w:gridCol w:w="1368"/>
        <w:gridCol w:w="1370"/>
        <w:gridCol w:w="1453"/>
        <w:gridCol w:w="1473"/>
        <w:gridCol w:w="956"/>
        <w:gridCol w:w="861"/>
      </w:tblGrid>
      <w:tr w:rsidR="008551A2" w:rsidRPr="00C01EC4" w14:paraId="00915135" w14:textId="77777777" w:rsidTr="00862816">
        <w:trPr>
          <w:trHeight w:val="705"/>
        </w:trPr>
        <w:tc>
          <w:tcPr>
            <w:tcW w:w="9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1D3D7C" w14:textId="77777777" w:rsidR="008551A2" w:rsidRPr="00FB6924" w:rsidRDefault="008551A2" w:rsidP="00862816">
            <w:pPr>
              <w:spacing w:line="480" w:lineRule="auto"/>
              <w:rPr>
                <w:rFonts w:ascii="Calibri" w:hAnsi="Calibri"/>
                <w:b/>
                <w:bCs/>
                <w:color w:val="000000"/>
                <w:sz w:val="20"/>
                <w:szCs w:val="20"/>
                <w:lang w:eastAsia="en-GB"/>
              </w:rPr>
            </w:pPr>
            <w:r w:rsidRPr="00FB6924">
              <w:rPr>
                <w:rFonts w:ascii="Calibri" w:hAnsi="Calibri"/>
                <w:b/>
                <w:bCs/>
                <w:color w:val="000000"/>
                <w:sz w:val="20"/>
                <w:szCs w:val="20"/>
                <w:lang w:eastAsia="en-GB"/>
              </w:rPr>
              <w:t> </w:t>
            </w:r>
          </w:p>
        </w:tc>
        <w:tc>
          <w:tcPr>
            <w:tcW w:w="3064" w:type="pct"/>
            <w:gridSpan w:val="4"/>
            <w:tcBorders>
              <w:top w:val="single" w:sz="4" w:space="0" w:color="auto"/>
              <w:left w:val="nil"/>
              <w:bottom w:val="single" w:sz="4" w:space="0" w:color="auto"/>
              <w:right w:val="single" w:sz="4" w:space="0" w:color="auto"/>
            </w:tcBorders>
            <w:shd w:val="clear" w:color="auto" w:fill="auto"/>
            <w:vAlign w:val="bottom"/>
            <w:hideMark/>
          </w:tcPr>
          <w:p w14:paraId="67CCBCD3" w14:textId="77777777" w:rsidR="008551A2" w:rsidRPr="00C01EC4" w:rsidRDefault="008551A2" w:rsidP="00862816">
            <w:pPr>
              <w:spacing w:line="480" w:lineRule="auto"/>
              <w:jc w:val="center"/>
              <w:rPr>
                <w:rFonts w:ascii="Calibri" w:hAnsi="Calibri"/>
                <w:b/>
                <w:bCs/>
                <w:color w:val="000000"/>
                <w:sz w:val="20"/>
                <w:szCs w:val="20"/>
                <w:lang w:eastAsia="en-GB"/>
              </w:rPr>
            </w:pPr>
            <w:r w:rsidRPr="00C01EC4">
              <w:rPr>
                <w:rFonts w:ascii="Calibri" w:hAnsi="Calibri"/>
                <w:b/>
                <w:bCs/>
                <w:color w:val="000000"/>
                <w:sz w:val="20"/>
                <w:szCs w:val="20"/>
                <w:lang w:eastAsia="en-GB"/>
              </w:rPr>
              <w:t>N [%] of cases in group with disorder</w:t>
            </w:r>
          </w:p>
        </w:tc>
        <w:tc>
          <w:tcPr>
            <w:tcW w:w="983" w:type="pct"/>
            <w:gridSpan w:val="2"/>
            <w:tcBorders>
              <w:top w:val="single" w:sz="4" w:space="0" w:color="auto"/>
              <w:left w:val="nil"/>
              <w:bottom w:val="single" w:sz="4" w:space="0" w:color="auto"/>
              <w:right w:val="single" w:sz="4" w:space="0" w:color="auto"/>
            </w:tcBorders>
            <w:shd w:val="clear" w:color="auto" w:fill="auto"/>
            <w:noWrap/>
            <w:vAlign w:val="center"/>
            <w:hideMark/>
          </w:tcPr>
          <w:p w14:paraId="3474D161" w14:textId="77777777" w:rsidR="008551A2" w:rsidRPr="00C01EC4" w:rsidRDefault="008551A2" w:rsidP="00862816">
            <w:pPr>
              <w:spacing w:line="480" w:lineRule="auto"/>
              <w:jc w:val="center"/>
              <w:rPr>
                <w:rFonts w:ascii="Arial" w:hAnsi="Arial" w:cs="Arial"/>
                <w:b/>
                <w:bCs/>
                <w:color w:val="000000"/>
                <w:sz w:val="20"/>
                <w:szCs w:val="20"/>
                <w:lang w:eastAsia="en-GB"/>
              </w:rPr>
            </w:pPr>
            <w:r w:rsidRPr="00C01EC4">
              <w:rPr>
                <w:rFonts w:ascii="Arial" w:hAnsi="Arial" w:cs="Arial"/>
                <w:b/>
                <w:bCs/>
                <w:color w:val="000000"/>
                <w:sz w:val="20"/>
                <w:szCs w:val="20"/>
                <w:lang w:eastAsia="en-GB"/>
              </w:rPr>
              <w:t>Likelihood Ratio</w:t>
            </w:r>
          </w:p>
        </w:tc>
      </w:tr>
      <w:tr w:rsidR="008551A2" w:rsidRPr="00C01EC4" w14:paraId="4297BDED" w14:textId="77777777" w:rsidTr="00862816">
        <w:trPr>
          <w:trHeight w:val="345"/>
        </w:trPr>
        <w:tc>
          <w:tcPr>
            <w:tcW w:w="953" w:type="pct"/>
            <w:tcBorders>
              <w:top w:val="nil"/>
              <w:left w:val="single" w:sz="4" w:space="0" w:color="auto"/>
              <w:bottom w:val="single" w:sz="4" w:space="0" w:color="auto"/>
              <w:right w:val="single" w:sz="4" w:space="0" w:color="auto"/>
            </w:tcBorders>
            <w:shd w:val="clear" w:color="auto" w:fill="auto"/>
            <w:noWrap/>
            <w:vAlign w:val="bottom"/>
            <w:hideMark/>
          </w:tcPr>
          <w:p w14:paraId="61E4FEFF" w14:textId="77777777" w:rsidR="008551A2" w:rsidRPr="00C01EC4" w:rsidRDefault="008551A2" w:rsidP="00862816">
            <w:pPr>
              <w:spacing w:line="480" w:lineRule="auto"/>
              <w:rPr>
                <w:rFonts w:ascii="Calibri" w:hAnsi="Calibri"/>
                <w:b/>
                <w:bCs/>
                <w:color w:val="000000"/>
                <w:sz w:val="20"/>
                <w:szCs w:val="20"/>
                <w:lang w:eastAsia="en-GB"/>
              </w:rPr>
            </w:pPr>
            <w:r w:rsidRPr="00C01EC4">
              <w:rPr>
                <w:rFonts w:ascii="Calibri" w:hAnsi="Calibri"/>
                <w:b/>
                <w:bCs/>
                <w:color w:val="000000"/>
                <w:sz w:val="20"/>
                <w:szCs w:val="20"/>
                <w:lang w:eastAsia="en-GB"/>
              </w:rPr>
              <w:t> </w:t>
            </w:r>
          </w:p>
        </w:tc>
        <w:tc>
          <w:tcPr>
            <w:tcW w:w="740" w:type="pct"/>
            <w:tcBorders>
              <w:top w:val="nil"/>
              <w:left w:val="nil"/>
              <w:bottom w:val="single" w:sz="4" w:space="0" w:color="auto"/>
              <w:right w:val="single" w:sz="4" w:space="0" w:color="auto"/>
            </w:tcBorders>
            <w:shd w:val="clear" w:color="auto" w:fill="auto"/>
            <w:vAlign w:val="bottom"/>
          </w:tcPr>
          <w:p w14:paraId="291764F1" w14:textId="77777777" w:rsidR="008551A2" w:rsidRPr="004A7638" w:rsidRDefault="008551A2" w:rsidP="00862816">
            <w:pPr>
              <w:spacing w:line="480" w:lineRule="auto"/>
              <w:rPr>
                <w:rFonts w:ascii="Calibri" w:hAnsi="Calibri"/>
                <w:b/>
                <w:bCs/>
                <w:color w:val="000000"/>
                <w:sz w:val="20"/>
                <w:szCs w:val="20"/>
                <w:lang w:eastAsia="en-GB"/>
              </w:rPr>
            </w:pPr>
          </w:p>
        </w:tc>
        <w:tc>
          <w:tcPr>
            <w:tcW w:w="741" w:type="pct"/>
            <w:tcBorders>
              <w:top w:val="nil"/>
              <w:left w:val="nil"/>
              <w:bottom w:val="single" w:sz="4" w:space="0" w:color="auto"/>
              <w:right w:val="single" w:sz="4" w:space="0" w:color="auto"/>
            </w:tcBorders>
            <w:shd w:val="clear" w:color="auto" w:fill="auto"/>
            <w:vAlign w:val="bottom"/>
            <w:hideMark/>
          </w:tcPr>
          <w:p w14:paraId="01882A80" w14:textId="7CE6FF2A" w:rsidR="008551A2" w:rsidRPr="004A7638" w:rsidRDefault="0098722C" w:rsidP="00862816">
            <w:pPr>
              <w:spacing w:line="480" w:lineRule="auto"/>
              <w:rPr>
                <w:rFonts w:ascii="Calibri" w:hAnsi="Calibri"/>
                <w:b/>
                <w:bCs/>
                <w:color w:val="000000"/>
                <w:sz w:val="20"/>
                <w:szCs w:val="20"/>
                <w:lang w:eastAsia="en-GB"/>
              </w:rPr>
            </w:pPr>
            <w:r>
              <w:rPr>
                <w:rFonts w:ascii="Calibri" w:hAnsi="Calibri"/>
                <w:b/>
                <w:bCs/>
                <w:color w:val="000000"/>
                <w:sz w:val="20"/>
                <w:szCs w:val="20"/>
                <w:lang w:eastAsia="en-GB"/>
              </w:rPr>
              <w:t>Treatment- Responsive</w:t>
            </w:r>
            <w:r w:rsidR="008551A2" w:rsidRPr="004A7638">
              <w:rPr>
                <w:rFonts w:ascii="Calibri" w:hAnsi="Calibri"/>
                <w:b/>
                <w:bCs/>
                <w:color w:val="000000"/>
                <w:sz w:val="20"/>
                <w:szCs w:val="20"/>
                <w:vertAlign w:val="superscript"/>
                <w:lang w:eastAsia="en-GB"/>
              </w:rPr>
              <w:t>b</w:t>
            </w:r>
          </w:p>
        </w:tc>
        <w:tc>
          <w:tcPr>
            <w:tcW w:w="786" w:type="pct"/>
            <w:tcBorders>
              <w:top w:val="nil"/>
              <w:left w:val="nil"/>
              <w:bottom w:val="single" w:sz="4" w:space="0" w:color="auto"/>
              <w:right w:val="single" w:sz="4" w:space="0" w:color="auto"/>
            </w:tcBorders>
            <w:shd w:val="clear" w:color="auto" w:fill="auto"/>
            <w:vAlign w:val="bottom"/>
            <w:hideMark/>
          </w:tcPr>
          <w:p w14:paraId="5FD325C6" w14:textId="2C340ABD" w:rsidR="008551A2" w:rsidRPr="004A7638" w:rsidRDefault="0098722C" w:rsidP="00862816">
            <w:pPr>
              <w:spacing w:line="480" w:lineRule="auto"/>
              <w:rPr>
                <w:rFonts w:ascii="Calibri" w:hAnsi="Calibri"/>
                <w:b/>
                <w:bCs/>
                <w:color w:val="000000"/>
                <w:sz w:val="20"/>
                <w:szCs w:val="20"/>
                <w:lang w:eastAsia="en-GB"/>
              </w:rPr>
            </w:pPr>
            <w:r>
              <w:rPr>
                <w:rFonts w:ascii="Calibri" w:hAnsi="Calibri"/>
                <w:b/>
                <w:bCs/>
                <w:color w:val="000000"/>
                <w:sz w:val="20"/>
                <w:szCs w:val="20"/>
                <w:lang w:eastAsia="en-GB"/>
              </w:rPr>
              <w:t>Treatment Resistant</w:t>
            </w:r>
            <w:r w:rsidR="008551A2" w:rsidRPr="004A7638">
              <w:rPr>
                <w:rFonts w:ascii="Calibri" w:hAnsi="Calibri"/>
                <w:b/>
                <w:bCs/>
                <w:color w:val="000000"/>
                <w:sz w:val="20"/>
                <w:szCs w:val="20"/>
                <w:vertAlign w:val="superscript"/>
                <w:lang w:eastAsia="en-GB"/>
              </w:rPr>
              <w:t>c</w:t>
            </w:r>
          </w:p>
        </w:tc>
        <w:tc>
          <w:tcPr>
            <w:tcW w:w="797" w:type="pct"/>
            <w:tcBorders>
              <w:top w:val="nil"/>
              <w:left w:val="nil"/>
              <w:bottom w:val="single" w:sz="4" w:space="0" w:color="auto"/>
              <w:right w:val="single" w:sz="4" w:space="0" w:color="auto"/>
            </w:tcBorders>
            <w:shd w:val="clear" w:color="auto" w:fill="auto"/>
            <w:vAlign w:val="bottom"/>
            <w:hideMark/>
          </w:tcPr>
          <w:p w14:paraId="425CFC64" w14:textId="58BEE628" w:rsidR="008551A2" w:rsidRPr="004A7638" w:rsidRDefault="0098722C" w:rsidP="00862816">
            <w:pPr>
              <w:spacing w:line="480" w:lineRule="auto"/>
              <w:rPr>
                <w:rFonts w:ascii="Calibri" w:hAnsi="Calibri"/>
                <w:b/>
                <w:bCs/>
                <w:color w:val="000000"/>
                <w:sz w:val="20"/>
                <w:szCs w:val="20"/>
                <w:lang w:eastAsia="en-GB"/>
              </w:rPr>
            </w:pPr>
            <w:r>
              <w:rPr>
                <w:rFonts w:ascii="Calibri" w:hAnsi="Calibri"/>
                <w:b/>
                <w:bCs/>
                <w:color w:val="000000"/>
                <w:sz w:val="20"/>
                <w:szCs w:val="20"/>
                <w:lang w:eastAsia="en-GB"/>
              </w:rPr>
              <w:t>Untreated</w:t>
            </w:r>
            <w:r w:rsidR="008551A2" w:rsidRPr="004A7638">
              <w:rPr>
                <w:rFonts w:ascii="Calibri" w:hAnsi="Calibri"/>
                <w:b/>
                <w:bCs/>
                <w:color w:val="000000"/>
                <w:sz w:val="20"/>
                <w:szCs w:val="20"/>
                <w:vertAlign w:val="superscript"/>
                <w:lang w:eastAsia="en-GB"/>
              </w:rPr>
              <w:t>d</w:t>
            </w:r>
          </w:p>
        </w:tc>
        <w:tc>
          <w:tcPr>
            <w:tcW w:w="517" w:type="pct"/>
            <w:tcBorders>
              <w:top w:val="nil"/>
              <w:left w:val="nil"/>
              <w:bottom w:val="single" w:sz="4" w:space="0" w:color="auto"/>
              <w:right w:val="single" w:sz="4" w:space="0" w:color="auto"/>
            </w:tcBorders>
            <w:shd w:val="clear" w:color="auto" w:fill="auto"/>
            <w:noWrap/>
            <w:vAlign w:val="bottom"/>
            <w:hideMark/>
          </w:tcPr>
          <w:p w14:paraId="044B5702" w14:textId="77777777" w:rsidR="008551A2" w:rsidRPr="004A7638" w:rsidRDefault="008551A2" w:rsidP="00862816">
            <w:pPr>
              <w:spacing w:line="480" w:lineRule="auto"/>
              <w:rPr>
                <w:rFonts w:ascii="Calibri" w:hAnsi="Calibri"/>
                <w:b/>
                <w:bCs/>
                <w:color w:val="000000"/>
                <w:sz w:val="20"/>
                <w:szCs w:val="20"/>
                <w:lang w:eastAsia="en-GB"/>
              </w:rPr>
            </w:pPr>
            <w:r w:rsidRPr="004A7638">
              <w:rPr>
                <w:rFonts w:ascii="Calibri" w:hAnsi="Calibri"/>
                <w:b/>
                <w:bCs/>
                <w:color w:val="000000"/>
                <w:sz w:val="20"/>
                <w:szCs w:val="20"/>
                <w:lang w:eastAsia="en-GB"/>
              </w:rPr>
              <w:t>L</w:t>
            </w:r>
          </w:p>
        </w:tc>
        <w:tc>
          <w:tcPr>
            <w:tcW w:w="466" w:type="pct"/>
            <w:tcBorders>
              <w:top w:val="nil"/>
              <w:left w:val="nil"/>
              <w:bottom w:val="single" w:sz="4" w:space="0" w:color="auto"/>
              <w:right w:val="single" w:sz="4" w:space="0" w:color="auto"/>
            </w:tcBorders>
            <w:shd w:val="clear" w:color="auto" w:fill="auto"/>
            <w:noWrap/>
            <w:vAlign w:val="bottom"/>
            <w:hideMark/>
          </w:tcPr>
          <w:p w14:paraId="59559090" w14:textId="77777777" w:rsidR="008551A2" w:rsidRPr="00C01EC4" w:rsidRDefault="008551A2" w:rsidP="00862816">
            <w:pPr>
              <w:spacing w:line="480" w:lineRule="auto"/>
              <w:rPr>
                <w:rFonts w:ascii="Calibri" w:hAnsi="Calibri"/>
                <w:b/>
                <w:bCs/>
                <w:color w:val="000000"/>
                <w:sz w:val="20"/>
                <w:szCs w:val="20"/>
                <w:lang w:eastAsia="en-GB"/>
              </w:rPr>
            </w:pPr>
            <w:r w:rsidRPr="004A7638">
              <w:rPr>
                <w:rFonts w:ascii="Calibri" w:hAnsi="Calibri"/>
                <w:b/>
                <w:bCs/>
                <w:color w:val="000000"/>
                <w:sz w:val="20"/>
                <w:szCs w:val="20"/>
                <w:lang w:eastAsia="en-GB"/>
              </w:rPr>
              <w:t>p</w:t>
            </w:r>
          </w:p>
        </w:tc>
      </w:tr>
      <w:tr w:rsidR="008551A2" w:rsidRPr="00C01EC4" w14:paraId="6A0368ED" w14:textId="77777777" w:rsidTr="00862816">
        <w:trPr>
          <w:trHeight w:val="345"/>
        </w:trPr>
        <w:tc>
          <w:tcPr>
            <w:tcW w:w="953" w:type="pct"/>
            <w:tcBorders>
              <w:top w:val="nil"/>
              <w:left w:val="single" w:sz="4" w:space="0" w:color="auto"/>
              <w:bottom w:val="single" w:sz="4" w:space="0" w:color="auto"/>
              <w:right w:val="single" w:sz="4" w:space="0" w:color="auto"/>
            </w:tcBorders>
            <w:shd w:val="clear" w:color="auto" w:fill="auto"/>
            <w:vAlign w:val="bottom"/>
            <w:hideMark/>
          </w:tcPr>
          <w:p w14:paraId="525E103A" w14:textId="77777777" w:rsidR="008551A2" w:rsidRPr="00AB4724" w:rsidRDefault="008551A2" w:rsidP="00862816">
            <w:pPr>
              <w:spacing w:line="480" w:lineRule="auto"/>
              <w:rPr>
                <w:rFonts w:ascii="Calibri" w:hAnsi="Calibri"/>
                <w:b/>
                <w:bCs/>
                <w:color w:val="000000"/>
                <w:sz w:val="20"/>
                <w:szCs w:val="20"/>
                <w:lang w:eastAsia="en-GB"/>
              </w:rPr>
            </w:pPr>
            <w:r w:rsidRPr="00AB4724">
              <w:rPr>
                <w:rFonts w:ascii="Calibri" w:hAnsi="Calibri"/>
                <w:b/>
                <w:bCs/>
                <w:color w:val="000000"/>
                <w:sz w:val="20"/>
                <w:szCs w:val="20"/>
                <w:lang w:eastAsia="en-GB"/>
              </w:rPr>
              <w:t>Panic Disorder</w:t>
            </w:r>
          </w:p>
        </w:tc>
        <w:tc>
          <w:tcPr>
            <w:tcW w:w="740" w:type="pct"/>
            <w:tcBorders>
              <w:top w:val="nil"/>
              <w:left w:val="nil"/>
              <w:bottom w:val="single" w:sz="4" w:space="0" w:color="auto"/>
              <w:right w:val="single" w:sz="4" w:space="0" w:color="auto"/>
            </w:tcBorders>
            <w:shd w:val="clear" w:color="auto" w:fill="auto"/>
            <w:vAlign w:val="bottom"/>
          </w:tcPr>
          <w:p w14:paraId="7DA166D2" w14:textId="77777777" w:rsidR="008551A2" w:rsidRPr="00AB4724" w:rsidRDefault="008551A2" w:rsidP="00862816">
            <w:pPr>
              <w:spacing w:line="480" w:lineRule="auto"/>
              <w:rPr>
                <w:rFonts w:ascii="Calibri" w:hAnsi="Calibri"/>
                <w:color w:val="000000"/>
                <w:sz w:val="20"/>
                <w:szCs w:val="20"/>
                <w:lang w:eastAsia="en-GB"/>
              </w:rPr>
            </w:pPr>
          </w:p>
        </w:tc>
        <w:tc>
          <w:tcPr>
            <w:tcW w:w="741" w:type="pct"/>
            <w:tcBorders>
              <w:top w:val="nil"/>
              <w:left w:val="nil"/>
              <w:bottom w:val="single" w:sz="4" w:space="0" w:color="auto"/>
              <w:right w:val="single" w:sz="4" w:space="0" w:color="auto"/>
            </w:tcBorders>
            <w:shd w:val="clear" w:color="auto" w:fill="auto"/>
            <w:vAlign w:val="bottom"/>
            <w:hideMark/>
          </w:tcPr>
          <w:p w14:paraId="33F279C1" w14:textId="77777777" w:rsidR="008551A2" w:rsidRPr="00AB4724" w:rsidRDefault="008551A2" w:rsidP="00862816">
            <w:pPr>
              <w:spacing w:line="480" w:lineRule="auto"/>
              <w:rPr>
                <w:rFonts w:ascii="Calibri" w:hAnsi="Calibri"/>
                <w:color w:val="000000"/>
                <w:sz w:val="20"/>
                <w:szCs w:val="20"/>
                <w:lang w:eastAsia="en-GB"/>
              </w:rPr>
            </w:pPr>
            <w:r w:rsidRPr="00AB4724">
              <w:rPr>
                <w:rFonts w:ascii="Calibri" w:hAnsi="Calibri"/>
                <w:color w:val="000000"/>
                <w:sz w:val="20"/>
                <w:szCs w:val="20"/>
                <w:lang w:eastAsia="en-GB"/>
              </w:rPr>
              <w:t>2 [4.2%]</w:t>
            </w:r>
          </w:p>
        </w:tc>
        <w:tc>
          <w:tcPr>
            <w:tcW w:w="786" w:type="pct"/>
            <w:tcBorders>
              <w:top w:val="nil"/>
              <w:left w:val="nil"/>
              <w:bottom w:val="single" w:sz="4" w:space="0" w:color="auto"/>
              <w:right w:val="single" w:sz="4" w:space="0" w:color="auto"/>
            </w:tcBorders>
            <w:shd w:val="clear" w:color="auto" w:fill="auto"/>
            <w:vAlign w:val="bottom"/>
            <w:hideMark/>
          </w:tcPr>
          <w:p w14:paraId="7835B781" w14:textId="77777777" w:rsidR="008551A2" w:rsidRPr="00AB4724" w:rsidRDefault="008551A2" w:rsidP="00862816">
            <w:pPr>
              <w:spacing w:line="480" w:lineRule="auto"/>
              <w:rPr>
                <w:rFonts w:ascii="Calibri" w:hAnsi="Calibri"/>
                <w:color w:val="000000"/>
                <w:lang w:eastAsia="en-GB"/>
              </w:rPr>
            </w:pPr>
            <w:r w:rsidRPr="00AB4724">
              <w:rPr>
                <w:rFonts w:ascii="Calibri" w:hAnsi="Calibri"/>
                <w:color w:val="000000"/>
                <w:lang w:eastAsia="en-GB"/>
              </w:rPr>
              <w:t>13 [13.1%]</w:t>
            </w:r>
          </w:p>
        </w:tc>
        <w:tc>
          <w:tcPr>
            <w:tcW w:w="797" w:type="pct"/>
            <w:tcBorders>
              <w:top w:val="nil"/>
              <w:left w:val="nil"/>
              <w:bottom w:val="single" w:sz="4" w:space="0" w:color="auto"/>
              <w:right w:val="single" w:sz="4" w:space="0" w:color="auto"/>
            </w:tcBorders>
            <w:shd w:val="clear" w:color="auto" w:fill="auto"/>
            <w:vAlign w:val="bottom"/>
            <w:hideMark/>
          </w:tcPr>
          <w:p w14:paraId="3FCDBA43" w14:textId="77777777" w:rsidR="008551A2" w:rsidRPr="00AB4724" w:rsidRDefault="008551A2" w:rsidP="00862816">
            <w:pPr>
              <w:spacing w:line="480" w:lineRule="auto"/>
              <w:rPr>
                <w:rFonts w:ascii="Calibri" w:hAnsi="Calibri"/>
                <w:color w:val="000000"/>
                <w:lang w:eastAsia="en-GB"/>
              </w:rPr>
            </w:pPr>
            <w:r w:rsidRPr="00AB4724">
              <w:rPr>
                <w:rFonts w:ascii="Calibri" w:hAnsi="Calibri"/>
                <w:color w:val="000000"/>
                <w:lang w:eastAsia="en-GB"/>
              </w:rPr>
              <w:t>3 [6.4%]</w:t>
            </w:r>
          </w:p>
        </w:tc>
        <w:tc>
          <w:tcPr>
            <w:tcW w:w="517" w:type="pct"/>
            <w:tcBorders>
              <w:top w:val="nil"/>
              <w:left w:val="nil"/>
              <w:bottom w:val="single" w:sz="4" w:space="0" w:color="auto"/>
              <w:right w:val="single" w:sz="4" w:space="0" w:color="auto"/>
            </w:tcBorders>
            <w:shd w:val="clear" w:color="auto" w:fill="auto"/>
            <w:noWrap/>
            <w:vAlign w:val="bottom"/>
          </w:tcPr>
          <w:p w14:paraId="526F737B" w14:textId="77777777" w:rsidR="008551A2" w:rsidRPr="00AB4724" w:rsidRDefault="008551A2" w:rsidP="00862816">
            <w:pPr>
              <w:spacing w:line="480" w:lineRule="auto"/>
              <w:rPr>
                <w:rFonts w:ascii="Calibri" w:hAnsi="Calibri"/>
                <w:bCs/>
                <w:color w:val="000000"/>
                <w:sz w:val="20"/>
                <w:szCs w:val="20"/>
                <w:lang w:eastAsia="en-GB"/>
              </w:rPr>
            </w:pPr>
            <w:r w:rsidRPr="00AB4724">
              <w:rPr>
                <w:rFonts w:ascii="Calibri" w:hAnsi="Calibri"/>
                <w:bCs/>
                <w:color w:val="000000"/>
                <w:sz w:val="20"/>
                <w:szCs w:val="20"/>
                <w:lang w:eastAsia="en-GB"/>
              </w:rPr>
              <w:t>3.927</w:t>
            </w:r>
          </w:p>
        </w:tc>
        <w:tc>
          <w:tcPr>
            <w:tcW w:w="466" w:type="pct"/>
            <w:tcBorders>
              <w:top w:val="nil"/>
              <w:left w:val="nil"/>
              <w:bottom w:val="single" w:sz="4" w:space="0" w:color="auto"/>
              <w:right w:val="single" w:sz="4" w:space="0" w:color="auto"/>
            </w:tcBorders>
            <w:shd w:val="clear" w:color="auto" w:fill="auto"/>
            <w:noWrap/>
            <w:vAlign w:val="bottom"/>
          </w:tcPr>
          <w:p w14:paraId="18AE190B" w14:textId="77777777" w:rsidR="008551A2" w:rsidRPr="00C01EC4" w:rsidRDefault="008551A2" w:rsidP="00862816">
            <w:pPr>
              <w:spacing w:line="480" w:lineRule="auto"/>
              <w:rPr>
                <w:rFonts w:ascii="Calibri" w:hAnsi="Calibri"/>
                <w:bCs/>
                <w:color w:val="000000"/>
                <w:sz w:val="20"/>
                <w:szCs w:val="20"/>
                <w:lang w:eastAsia="en-GB"/>
              </w:rPr>
            </w:pPr>
            <w:r w:rsidRPr="00AB4724">
              <w:rPr>
                <w:rFonts w:ascii="Calibri" w:hAnsi="Calibri"/>
                <w:bCs/>
                <w:color w:val="000000"/>
                <w:sz w:val="20"/>
                <w:szCs w:val="20"/>
                <w:lang w:eastAsia="en-GB"/>
              </w:rPr>
              <w:t>0.140</w:t>
            </w:r>
          </w:p>
        </w:tc>
      </w:tr>
      <w:tr w:rsidR="008551A2" w:rsidRPr="00C01EC4" w14:paraId="039FE97D" w14:textId="77777777" w:rsidTr="00862816">
        <w:trPr>
          <w:trHeight w:val="345"/>
        </w:trPr>
        <w:tc>
          <w:tcPr>
            <w:tcW w:w="953" w:type="pct"/>
            <w:tcBorders>
              <w:top w:val="nil"/>
              <w:left w:val="single" w:sz="4" w:space="0" w:color="auto"/>
              <w:bottom w:val="single" w:sz="4" w:space="0" w:color="auto"/>
              <w:right w:val="single" w:sz="4" w:space="0" w:color="auto"/>
            </w:tcBorders>
            <w:shd w:val="clear" w:color="auto" w:fill="auto"/>
            <w:vAlign w:val="bottom"/>
            <w:hideMark/>
          </w:tcPr>
          <w:p w14:paraId="1FDD3334" w14:textId="77777777" w:rsidR="008551A2" w:rsidRPr="00933E0D" w:rsidRDefault="008551A2" w:rsidP="00862816">
            <w:pPr>
              <w:spacing w:line="480" w:lineRule="auto"/>
              <w:rPr>
                <w:rFonts w:ascii="Calibri" w:hAnsi="Calibri"/>
                <w:b/>
                <w:bCs/>
                <w:color w:val="000000"/>
                <w:sz w:val="20"/>
                <w:szCs w:val="20"/>
                <w:lang w:eastAsia="en-GB"/>
              </w:rPr>
            </w:pPr>
            <w:r w:rsidRPr="00933E0D">
              <w:rPr>
                <w:rFonts w:ascii="Calibri" w:hAnsi="Calibri"/>
                <w:b/>
                <w:bCs/>
                <w:color w:val="000000"/>
                <w:sz w:val="20"/>
                <w:szCs w:val="20"/>
                <w:lang w:eastAsia="en-GB"/>
              </w:rPr>
              <w:t>Social phobia</w:t>
            </w:r>
          </w:p>
        </w:tc>
        <w:tc>
          <w:tcPr>
            <w:tcW w:w="740" w:type="pct"/>
            <w:tcBorders>
              <w:top w:val="nil"/>
              <w:left w:val="nil"/>
              <w:bottom w:val="single" w:sz="4" w:space="0" w:color="auto"/>
              <w:right w:val="single" w:sz="4" w:space="0" w:color="auto"/>
            </w:tcBorders>
            <w:shd w:val="clear" w:color="auto" w:fill="auto"/>
            <w:vAlign w:val="bottom"/>
          </w:tcPr>
          <w:p w14:paraId="040202F9" w14:textId="77777777" w:rsidR="008551A2" w:rsidRPr="00933E0D" w:rsidRDefault="008551A2" w:rsidP="00862816">
            <w:pPr>
              <w:spacing w:line="480" w:lineRule="auto"/>
              <w:rPr>
                <w:rFonts w:ascii="Calibri" w:hAnsi="Calibri"/>
                <w:color w:val="000000"/>
                <w:sz w:val="20"/>
                <w:szCs w:val="20"/>
                <w:lang w:eastAsia="en-GB"/>
              </w:rPr>
            </w:pPr>
          </w:p>
        </w:tc>
        <w:tc>
          <w:tcPr>
            <w:tcW w:w="741" w:type="pct"/>
            <w:tcBorders>
              <w:top w:val="nil"/>
              <w:left w:val="nil"/>
              <w:bottom w:val="single" w:sz="4" w:space="0" w:color="auto"/>
              <w:right w:val="single" w:sz="4" w:space="0" w:color="auto"/>
            </w:tcBorders>
            <w:shd w:val="clear" w:color="auto" w:fill="auto"/>
            <w:vAlign w:val="bottom"/>
            <w:hideMark/>
          </w:tcPr>
          <w:p w14:paraId="5C38BCF5" w14:textId="77777777" w:rsidR="008551A2" w:rsidRPr="00933E0D" w:rsidRDefault="008551A2" w:rsidP="00862816">
            <w:pPr>
              <w:spacing w:line="480" w:lineRule="auto"/>
              <w:rPr>
                <w:rFonts w:ascii="Calibri" w:hAnsi="Calibri"/>
                <w:color w:val="000000"/>
                <w:sz w:val="20"/>
                <w:szCs w:val="20"/>
                <w:lang w:eastAsia="en-GB"/>
              </w:rPr>
            </w:pPr>
            <w:r w:rsidRPr="00933E0D">
              <w:rPr>
                <w:rFonts w:ascii="Calibri" w:hAnsi="Calibri"/>
                <w:color w:val="000000"/>
                <w:sz w:val="20"/>
                <w:szCs w:val="20"/>
                <w:lang w:eastAsia="en-GB"/>
              </w:rPr>
              <w:t>1 [2.1%]</w:t>
            </w:r>
          </w:p>
        </w:tc>
        <w:tc>
          <w:tcPr>
            <w:tcW w:w="786" w:type="pct"/>
            <w:tcBorders>
              <w:top w:val="nil"/>
              <w:left w:val="nil"/>
              <w:bottom w:val="single" w:sz="4" w:space="0" w:color="auto"/>
              <w:right w:val="single" w:sz="4" w:space="0" w:color="auto"/>
            </w:tcBorders>
            <w:shd w:val="clear" w:color="auto" w:fill="auto"/>
            <w:vAlign w:val="bottom"/>
            <w:hideMark/>
          </w:tcPr>
          <w:p w14:paraId="07B5ED2E" w14:textId="77777777" w:rsidR="008551A2" w:rsidRPr="00933E0D" w:rsidRDefault="008551A2" w:rsidP="00862816">
            <w:pPr>
              <w:spacing w:line="480" w:lineRule="auto"/>
              <w:rPr>
                <w:rFonts w:ascii="Calibri" w:hAnsi="Calibri"/>
                <w:color w:val="000000"/>
                <w:lang w:eastAsia="en-GB"/>
              </w:rPr>
            </w:pPr>
            <w:r w:rsidRPr="00933E0D">
              <w:rPr>
                <w:rFonts w:ascii="Calibri" w:hAnsi="Calibri"/>
                <w:color w:val="000000"/>
                <w:lang w:eastAsia="en-GB"/>
              </w:rPr>
              <w:t>12 [12.1%]</w:t>
            </w:r>
          </w:p>
        </w:tc>
        <w:tc>
          <w:tcPr>
            <w:tcW w:w="797" w:type="pct"/>
            <w:tcBorders>
              <w:top w:val="nil"/>
              <w:left w:val="nil"/>
              <w:bottom w:val="single" w:sz="4" w:space="0" w:color="auto"/>
              <w:right w:val="single" w:sz="4" w:space="0" w:color="auto"/>
            </w:tcBorders>
            <w:shd w:val="clear" w:color="auto" w:fill="auto"/>
            <w:vAlign w:val="bottom"/>
            <w:hideMark/>
          </w:tcPr>
          <w:p w14:paraId="6958BFF2" w14:textId="77777777" w:rsidR="008551A2" w:rsidRPr="00933E0D" w:rsidRDefault="008551A2" w:rsidP="00862816">
            <w:pPr>
              <w:spacing w:line="480" w:lineRule="auto"/>
              <w:rPr>
                <w:rFonts w:ascii="Calibri" w:hAnsi="Calibri"/>
                <w:color w:val="000000"/>
                <w:lang w:eastAsia="en-GB"/>
              </w:rPr>
            </w:pPr>
            <w:r w:rsidRPr="00933E0D">
              <w:rPr>
                <w:rFonts w:ascii="Calibri" w:hAnsi="Calibri"/>
                <w:color w:val="000000"/>
                <w:lang w:eastAsia="en-GB"/>
              </w:rPr>
              <w:t>3 [6.5%]</w:t>
            </w:r>
          </w:p>
        </w:tc>
        <w:tc>
          <w:tcPr>
            <w:tcW w:w="517" w:type="pct"/>
            <w:tcBorders>
              <w:top w:val="nil"/>
              <w:left w:val="nil"/>
              <w:bottom w:val="single" w:sz="4" w:space="0" w:color="auto"/>
              <w:right w:val="single" w:sz="4" w:space="0" w:color="auto"/>
            </w:tcBorders>
            <w:shd w:val="clear" w:color="auto" w:fill="auto"/>
            <w:noWrap/>
            <w:vAlign w:val="bottom"/>
          </w:tcPr>
          <w:p w14:paraId="0CC896A3" w14:textId="77777777" w:rsidR="008551A2" w:rsidRPr="00933E0D" w:rsidRDefault="008551A2" w:rsidP="00862816">
            <w:pPr>
              <w:spacing w:line="480" w:lineRule="auto"/>
              <w:rPr>
                <w:rFonts w:ascii="Calibri" w:hAnsi="Calibri"/>
                <w:bCs/>
                <w:color w:val="000000"/>
                <w:sz w:val="20"/>
                <w:szCs w:val="20"/>
                <w:lang w:eastAsia="en-GB"/>
              </w:rPr>
            </w:pPr>
            <w:r w:rsidRPr="00933E0D">
              <w:rPr>
                <w:rFonts w:ascii="Calibri" w:hAnsi="Calibri"/>
                <w:bCs/>
                <w:color w:val="000000"/>
                <w:sz w:val="20"/>
                <w:szCs w:val="20"/>
                <w:lang w:eastAsia="en-GB"/>
              </w:rPr>
              <w:t>5.289</w:t>
            </w:r>
          </w:p>
        </w:tc>
        <w:tc>
          <w:tcPr>
            <w:tcW w:w="466" w:type="pct"/>
            <w:tcBorders>
              <w:top w:val="nil"/>
              <w:left w:val="nil"/>
              <w:bottom w:val="single" w:sz="4" w:space="0" w:color="auto"/>
              <w:right w:val="single" w:sz="4" w:space="0" w:color="auto"/>
            </w:tcBorders>
            <w:shd w:val="clear" w:color="auto" w:fill="auto"/>
            <w:noWrap/>
            <w:vAlign w:val="bottom"/>
          </w:tcPr>
          <w:p w14:paraId="06479807" w14:textId="77777777" w:rsidR="008551A2" w:rsidRPr="00C01EC4" w:rsidRDefault="008551A2" w:rsidP="00862816">
            <w:pPr>
              <w:spacing w:line="480" w:lineRule="auto"/>
              <w:rPr>
                <w:rFonts w:ascii="Calibri" w:hAnsi="Calibri"/>
                <w:bCs/>
                <w:color w:val="000000"/>
                <w:sz w:val="20"/>
                <w:szCs w:val="20"/>
                <w:lang w:eastAsia="en-GB"/>
              </w:rPr>
            </w:pPr>
            <w:r w:rsidRPr="00933E0D">
              <w:rPr>
                <w:rFonts w:ascii="Calibri" w:hAnsi="Calibri"/>
                <w:bCs/>
                <w:color w:val="000000"/>
                <w:sz w:val="20"/>
                <w:szCs w:val="20"/>
                <w:lang w:eastAsia="en-GB"/>
              </w:rPr>
              <w:t>0.071</w:t>
            </w:r>
          </w:p>
        </w:tc>
      </w:tr>
      <w:tr w:rsidR="008551A2" w:rsidRPr="00C01EC4" w14:paraId="0D40D2CB" w14:textId="77777777" w:rsidTr="00862816">
        <w:trPr>
          <w:trHeight w:val="345"/>
        </w:trPr>
        <w:tc>
          <w:tcPr>
            <w:tcW w:w="953" w:type="pct"/>
            <w:tcBorders>
              <w:top w:val="nil"/>
              <w:left w:val="single" w:sz="4" w:space="0" w:color="auto"/>
              <w:bottom w:val="single" w:sz="4" w:space="0" w:color="auto"/>
              <w:right w:val="single" w:sz="4" w:space="0" w:color="auto"/>
            </w:tcBorders>
            <w:shd w:val="clear" w:color="auto" w:fill="auto"/>
            <w:vAlign w:val="bottom"/>
          </w:tcPr>
          <w:p w14:paraId="28CD0294" w14:textId="77777777" w:rsidR="008551A2" w:rsidRPr="00C01EC4" w:rsidRDefault="008551A2" w:rsidP="00862816">
            <w:pPr>
              <w:spacing w:line="480" w:lineRule="auto"/>
              <w:rPr>
                <w:rFonts w:ascii="Calibri" w:hAnsi="Calibri"/>
                <w:b/>
                <w:bCs/>
                <w:color w:val="000000"/>
                <w:sz w:val="20"/>
                <w:szCs w:val="20"/>
                <w:lang w:eastAsia="en-GB"/>
              </w:rPr>
            </w:pPr>
            <w:r>
              <w:rPr>
                <w:rFonts w:ascii="Calibri" w:hAnsi="Calibri"/>
                <w:b/>
                <w:bCs/>
                <w:color w:val="000000"/>
                <w:sz w:val="20"/>
                <w:szCs w:val="20"/>
                <w:lang w:eastAsia="en-GB"/>
              </w:rPr>
              <w:t>Specific phobia</w:t>
            </w:r>
          </w:p>
        </w:tc>
        <w:tc>
          <w:tcPr>
            <w:tcW w:w="740" w:type="pct"/>
            <w:tcBorders>
              <w:top w:val="nil"/>
              <w:left w:val="nil"/>
              <w:bottom w:val="single" w:sz="4" w:space="0" w:color="auto"/>
              <w:right w:val="single" w:sz="4" w:space="0" w:color="auto"/>
            </w:tcBorders>
            <w:shd w:val="clear" w:color="auto" w:fill="auto"/>
            <w:vAlign w:val="bottom"/>
          </w:tcPr>
          <w:p w14:paraId="5BE8BB02" w14:textId="77777777" w:rsidR="008551A2" w:rsidRPr="00C01EC4" w:rsidRDefault="008551A2" w:rsidP="00862816">
            <w:pPr>
              <w:spacing w:line="480" w:lineRule="auto"/>
              <w:rPr>
                <w:rFonts w:ascii="Calibri" w:hAnsi="Calibri"/>
                <w:color w:val="000000"/>
                <w:sz w:val="20"/>
                <w:szCs w:val="20"/>
                <w:lang w:eastAsia="en-GB"/>
              </w:rPr>
            </w:pPr>
          </w:p>
        </w:tc>
        <w:tc>
          <w:tcPr>
            <w:tcW w:w="741" w:type="pct"/>
            <w:tcBorders>
              <w:top w:val="nil"/>
              <w:left w:val="nil"/>
              <w:bottom w:val="single" w:sz="4" w:space="0" w:color="auto"/>
              <w:right w:val="single" w:sz="4" w:space="0" w:color="auto"/>
            </w:tcBorders>
            <w:shd w:val="clear" w:color="auto" w:fill="auto"/>
            <w:vAlign w:val="bottom"/>
          </w:tcPr>
          <w:p w14:paraId="0A5B345D" w14:textId="77777777" w:rsidR="008551A2" w:rsidRPr="00C01EC4" w:rsidRDefault="008551A2" w:rsidP="00862816">
            <w:pPr>
              <w:spacing w:line="480" w:lineRule="auto"/>
              <w:rPr>
                <w:rFonts w:ascii="Calibri" w:hAnsi="Calibri"/>
                <w:color w:val="000000"/>
                <w:sz w:val="20"/>
                <w:szCs w:val="20"/>
                <w:lang w:eastAsia="en-GB"/>
              </w:rPr>
            </w:pPr>
            <w:r>
              <w:rPr>
                <w:rFonts w:ascii="Calibri" w:hAnsi="Calibri"/>
                <w:color w:val="000000"/>
                <w:sz w:val="20"/>
                <w:szCs w:val="20"/>
                <w:lang w:eastAsia="en-GB"/>
              </w:rPr>
              <w:t>0 [0%]</w:t>
            </w:r>
          </w:p>
        </w:tc>
        <w:tc>
          <w:tcPr>
            <w:tcW w:w="786" w:type="pct"/>
            <w:tcBorders>
              <w:top w:val="nil"/>
              <w:left w:val="nil"/>
              <w:bottom w:val="single" w:sz="4" w:space="0" w:color="auto"/>
              <w:right w:val="single" w:sz="4" w:space="0" w:color="auto"/>
            </w:tcBorders>
            <w:shd w:val="clear" w:color="auto" w:fill="auto"/>
            <w:vAlign w:val="bottom"/>
          </w:tcPr>
          <w:p w14:paraId="67F49831" w14:textId="77777777" w:rsidR="008551A2" w:rsidRDefault="008551A2" w:rsidP="00862816">
            <w:pPr>
              <w:spacing w:line="480" w:lineRule="auto"/>
              <w:rPr>
                <w:rFonts w:ascii="Calibri" w:hAnsi="Calibri"/>
                <w:color w:val="000000"/>
                <w:lang w:eastAsia="en-GB"/>
              </w:rPr>
            </w:pPr>
            <w:r>
              <w:rPr>
                <w:rFonts w:ascii="Calibri" w:hAnsi="Calibri"/>
                <w:color w:val="000000"/>
                <w:lang w:eastAsia="en-GB"/>
              </w:rPr>
              <w:t>2 [1%]</w:t>
            </w:r>
          </w:p>
        </w:tc>
        <w:tc>
          <w:tcPr>
            <w:tcW w:w="797" w:type="pct"/>
            <w:tcBorders>
              <w:top w:val="nil"/>
              <w:left w:val="nil"/>
              <w:bottom w:val="single" w:sz="4" w:space="0" w:color="auto"/>
              <w:right w:val="single" w:sz="4" w:space="0" w:color="auto"/>
            </w:tcBorders>
            <w:shd w:val="clear" w:color="auto" w:fill="auto"/>
            <w:vAlign w:val="bottom"/>
          </w:tcPr>
          <w:p w14:paraId="2D7F89C9" w14:textId="77777777" w:rsidR="008551A2" w:rsidRDefault="008551A2" w:rsidP="00862816">
            <w:pPr>
              <w:spacing w:line="480" w:lineRule="auto"/>
              <w:rPr>
                <w:rFonts w:ascii="Calibri" w:hAnsi="Calibri"/>
                <w:color w:val="000000"/>
                <w:lang w:eastAsia="en-GB"/>
              </w:rPr>
            </w:pPr>
            <w:r>
              <w:rPr>
                <w:rFonts w:ascii="Calibri" w:hAnsi="Calibri"/>
                <w:color w:val="000000"/>
                <w:lang w:eastAsia="en-GB"/>
              </w:rPr>
              <w:t>0 [0%]</w:t>
            </w:r>
          </w:p>
        </w:tc>
        <w:tc>
          <w:tcPr>
            <w:tcW w:w="517" w:type="pct"/>
            <w:tcBorders>
              <w:top w:val="nil"/>
              <w:left w:val="nil"/>
              <w:bottom w:val="single" w:sz="4" w:space="0" w:color="auto"/>
              <w:right w:val="single" w:sz="4" w:space="0" w:color="auto"/>
            </w:tcBorders>
            <w:shd w:val="clear" w:color="auto" w:fill="auto"/>
            <w:noWrap/>
            <w:vAlign w:val="bottom"/>
          </w:tcPr>
          <w:p w14:paraId="10D5B2C6" w14:textId="77777777" w:rsidR="008551A2" w:rsidRPr="00C01EC4" w:rsidRDefault="008551A2" w:rsidP="00862816">
            <w:pPr>
              <w:spacing w:line="480" w:lineRule="auto"/>
              <w:rPr>
                <w:rFonts w:ascii="Calibri" w:hAnsi="Calibri"/>
                <w:bCs/>
                <w:color w:val="000000"/>
                <w:sz w:val="20"/>
                <w:szCs w:val="20"/>
                <w:lang w:eastAsia="en-GB"/>
              </w:rPr>
            </w:pPr>
            <w:r>
              <w:rPr>
                <w:rFonts w:ascii="Calibri" w:hAnsi="Calibri"/>
                <w:bCs/>
                <w:color w:val="000000"/>
                <w:sz w:val="20"/>
                <w:szCs w:val="20"/>
                <w:lang w:eastAsia="en-GB"/>
              </w:rPr>
              <w:t>2.710</w:t>
            </w:r>
          </w:p>
        </w:tc>
        <w:tc>
          <w:tcPr>
            <w:tcW w:w="466" w:type="pct"/>
            <w:tcBorders>
              <w:top w:val="nil"/>
              <w:left w:val="nil"/>
              <w:bottom w:val="single" w:sz="4" w:space="0" w:color="auto"/>
              <w:right w:val="single" w:sz="4" w:space="0" w:color="auto"/>
            </w:tcBorders>
            <w:shd w:val="clear" w:color="auto" w:fill="auto"/>
            <w:noWrap/>
            <w:vAlign w:val="bottom"/>
          </w:tcPr>
          <w:p w14:paraId="713805BB" w14:textId="77777777" w:rsidR="008551A2" w:rsidRPr="00C01EC4" w:rsidRDefault="008551A2" w:rsidP="00862816">
            <w:pPr>
              <w:spacing w:line="480" w:lineRule="auto"/>
              <w:rPr>
                <w:rFonts w:ascii="Calibri" w:hAnsi="Calibri"/>
                <w:bCs/>
                <w:color w:val="000000"/>
                <w:sz w:val="20"/>
                <w:szCs w:val="20"/>
                <w:lang w:eastAsia="en-GB"/>
              </w:rPr>
            </w:pPr>
            <w:r>
              <w:rPr>
                <w:rFonts w:ascii="Calibri" w:hAnsi="Calibri"/>
                <w:bCs/>
                <w:color w:val="000000"/>
                <w:sz w:val="20"/>
                <w:szCs w:val="20"/>
                <w:lang w:eastAsia="en-GB"/>
              </w:rPr>
              <w:t>0.258</w:t>
            </w:r>
          </w:p>
        </w:tc>
      </w:tr>
      <w:tr w:rsidR="008551A2" w:rsidRPr="00C01EC4" w14:paraId="47863616" w14:textId="77777777" w:rsidTr="00862816">
        <w:trPr>
          <w:trHeight w:val="345"/>
        </w:trPr>
        <w:tc>
          <w:tcPr>
            <w:tcW w:w="953" w:type="pct"/>
            <w:tcBorders>
              <w:top w:val="nil"/>
              <w:left w:val="single" w:sz="4" w:space="0" w:color="auto"/>
              <w:bottom w:val="single" w:sz="4" w:space="0" w:color="auto"/>
              <w:right w:val="single" w:sz="4" w:space="0" w:color="auto"/>
            </w:tcBorders>
            <w:shd w:val="clear" w:color="auto" w:fill="auto"/>
            <w:vAlign w:val="bottom"/>
          </w:tcPr>
          <w:p w14:paraId="0AE372F7" w14:textId="77777777" w:rsidR="008551A2" w:rsidRPr="00C01EC4" w:rsidRDefault="008551A2" w:rsidP="00862816">
            <w:pPr>
              <w:spacing w:line="480" w:lineRule="auto"/>
              <w:rPr>
                <w:rFonts w:ascii="Calibri" w:hAnsi="Calibri"/>
                <w:b/>
                <w:bCs/>
                <w:color w:val="000000"/>
                <w:sz w:val="20"/>
                <w:szCs w:val="20"/>
                <w:lang w:eastAsia="en-GB"/>
              </w:rPr>
            </w:pPr>
            <w:r>
              <w:rPr>
                <w:rFonts w:ascii="Calibri" w:hAnsi="Calibri"/>
                <w:b/>
                <w:bCs/>
                <w:color w:val="000000"/>
                <w:sz w:val="20"/>
                <w:szCs w:val="20"/>
                <w:lang w:eastAsia="en-GB"/>
              </w:rPr>
              <w:t>Obsessive Compulsive Disorder</w:t>
            </w:r>
          </w:p>
        </w:tc>
        <w:tc>
          <w:tcPr>
            <w:tcW w:w="740" w:type="pct"/>
            <w:tcBorders>
              <w:top w:val="nil"/>
              <w:left w:val="nil"/>
              <w:bottom w:val="single" w:sz="4" w:space="0" w:color="auto"/>
              <w:right w:val="single" w:sz="4" w:space="0" w:color="auto"/>
            </w:tcBorders>
            <w:shd w:val="clear" w:color="auto" w:fill="auto"/>
            <w:vAlign w:val="bottom"/>
          </w:tcPr>
          <w:p w14:paraId="52BE3091" w14:textId="77777777" w:rsidR="008551A2" w:rsidRPr="00C01EC4" w:rsidRDefault="008551A2" w:rsidP="00862816">
            <w:pPr>
              <w:spacing w:line="480" w:lineRule="auto"/>
              <w:rPr>
                <w:rFonts w:ascii="Calibri" w:hAnsi="Calibri"/>
                <w:color w:val="000000"/>
                <w:sz w:val="20"/>
                <w:szCs w:val="20"/>
                <w:lang w:eastAsia="en-GB"/>
              </w:rPr>
            </w:pPr>
          </w:p>
        </w:tc>
        <w:tc>
          <w:tcPr>
            <w:tcW w:w="741" w:type="pct"/>
            <w:tcBorders>
              <w:top w:val="nil"/>
              <w:left w:val="nil"/>
              <w:bottom w:val="single" w:sz="4" w:space="0" w:color="auto"/>
              <w:right w:val="single" w:sz="4" w:space="0" w:color="auto"/>
            </w:tcBorders>
            <w:shd w:val="clear" w:color="auto" w:fill="auto"/>
            <w:vAlign w:val="bottom"/>
          </w:tcPr>
          <w:p w14:paraId="655A0569" w14:textId="77777777" w:rsidR="008551A2" w:rsidRPr="00C01EC4" w:rsidRDefault="008551A2" w:rsidP="00862816">
            <w:pPr>
              <w:spacing w:line="480" w:lineRule="auto"/>
              <w:rPr>
                <w:rFonts w:ascii="Calibri" w:hAnsi="Calibri"/>
                <w:color w:val="000000"/>
                <w:sz w:val="20"/>
                <w:szCs w:val="20"/>
                <w:lang w:eastAsia="en-GB"/>
              </w:rPr>
            </w:pPr>
            <w:r>
              <w:rPr>
                <w:rFonts w:ascii="Calibri" w:hAnsi="Calibri"/>
                <w:color w:val="000000"/>
                <w:sz w:val="20"/>
                <w:szCs w:val="20"/>
                <w:lang w:eastAsia="en-GB"/>
              </w:rPr>
              <w:t>1 [2.1%]</w:t>
            </w:r>
          </w:p>
        </w:tc>
        <w:tc>
          <w:tcPr>
            <w:tcW w:w="786" w:type="pct"/>
            <w:tcBorders>
              <w:top w:val="nil"/>
              <w:left w:val="nil"/>
              <w:bottom w:val="single" w:sz="4" w:space="0" w:color="auto"/>
              <w:right w:val="single" w:sz="4" w:space="0" w:color="auto"/>
            </w:tcBorders>
            <w:shd w:val="clear" w:color="auto" w:fill="auto"/>
            <w:vAlign w:val="bottom"/>
          </w:tcPr>
          <w:p w14:paraId="498E8C13" w14:textId="77777777" w:rsidR="008551A2" w:rsidRDefault="008551A2" w:rsidP="00862816">
            <w:pPr>
              <w:spacing w:line="480" w:lineRule="auto"/>
              <w:rPr>
                <w:rFonts w:ascii="Calibri" w:hAnsi="Calibri"/>
                <w:color w:val="000000"/>
                <w:lang w:eastAsia="en-GB"/>
              </w:rPr>
            </w:pPr>
            <w:r>
              <w:rPr>
                <w:rFonts w:ascii="Calibri" w:hAnsi="Calibri"/>
                <w:color w:val="000000"/>
                <w:lang w:eastAsia="en-GB"/>
              </w:rPr>
              <w:t>10 [10.2%]</w:t>
            </w:r>
          </w:p>
        </w:tc>
        <w:tc>
          <w:tcPr>
            <w:tcW w:w="797" w:type="pct"/>
            <w:tcBorders>
              <w:top w:val="nil"/>
              <w:left w:val="nil"/>
              <w:bottom w:val="single" w:sz="4" w:space="0" w:color="auto"/>
              <w:right w:val="single" w:sz="4" w:space="0" w:color="auto"/>
            </w:tcBorders>
            <w:shd w:val="clear" w:color="auto" w:fill="auto"/>
            <w:vAlign w:val="bottom"/>
          </w:tcPr>
          <w:p w14:paraId="7CA08333" w14:textId="77777777" w:rsidR="008551A2" w:rsidRDefault="008551A2" w:rsidP="00862816">
            <w:pPr>
              <w:spacing w:line="480" w:lineRule="auto"/>
              <w:rPr>
                <w:rFonts w:ascii="Calibri" w:hAnsi="Calibri"/>
                <w:color w:val="000000"/>
                <w:lang w:eastAsia="en-GB"/>
              </w:rPr>
            </w:pPr>
            <w:r>
              <w:rPr>
                <w:rFonts w:ascii="Calibri" w:hAnsi="Calibri"/>
                <w:color w:val="000000"/>
                <w:lang w:eastAsia="en-GB"/>
              </w:rPr>
              <w:t>2 [4.3%]</w:t>
            </w:r>
          </w:p>
        </w:tc>
        <w:tc>
          <w:tcPr>
            <w:tcW w:w="517" w:type="pct"/>
            <w:tcBorders>
              <w:top w:val="nil"/>
              <w:left w:val="nil"/>
              <w:bottom w:val="single" w:sz="4" w:space="0" w:color="auto"/>
              <w:right w:val="single" w:sz="4" w:space="0" w:color="auto"/>
            </w:tcBorders>
            <w:shd w:val="clear" w:color="auto" w:fill="auto"/>
            <w:noWrap/>
            <w:vAlign w:val="bottom"/>
          </w:tcPr>
          <w:p w14:paraId="34D6349D" w14:textId="77777777" w:rsidR="008551A2" w:rsidRPr="00C01EC4" w:rsidRDefault="008551A2" w:rsidP="00862816">
            <w:pPr>
              <w:spacing w:line="480" w:lineRule="auto"/>
              <w:rPr>
                <w:rFonts w:ascii="Calibri" w:hAnsi="Calibri"/>
                <w:bCs/>
                <w:color w:val="000000"/>
                <w:sz w:val="20"/>
                <w:szCs w:val="20"/>
                <w:lang w:eastAsia="en-GB"/>
              </w:rPr>
            </w:pPr>
            <w:r>
              <w:rPr>
                <w:rFonts w:ascii="Calibri" w:hAnsi="Calibri"/>
                <w:bCs/>
                <w:color w:val="000000"/>
                <w:sz w:val="20"/>
                <w:szCs w:val="20"/>
                <w:lang w:eastAsia="en-GB"/>
              </w:rPr>
              <w:t>4.340</w:t>
            </w:r>
          </w:p>
        </w:tc>
        <w:tc>
          <w:tcPr>
            <w:tcW w:w="466" w:type="pct"/>
            <w:tcBorders>
              <w:top w:val="nil"/>
              <w:left w:val="nil"/>
              <w:bottom w:val="single" w:sz="4" w:space="0" w:color="auto"/>
              <w:right w:val="single" w:sz="4" w:space="0" w:color="auto"/>
            </w:tcBorders>
            <w:shd w:val="clear" w:color="auto" w:fill="auto"/>
            <w:noWrap/>
            <w:vAlign w:val="bottom"/>
          </w:tcPr>
          <w:p w14:paraId="18AD32E5" w14:textId="77777777" w:rsidR="008551A2" w:rsidRPr="00C01EC4" w:rsidRDefault="008551A2" w:rsidP="00862816">
            <w:pPr>
              <w:spacing w:line="480" w:lineRule="auto"/>
              <w:rPr>
                <w:rFonts w:ascii="Calibri" w:hAnsi="Calibri"/>
                <w:bCs/>
                <w:color w:val="000000"/>
                <w:sz w:val="20"/>
                <w:szCs w:val="20"/>
                <w:lang w:eastAsia="en-GB"/>
              </w:rPr>
            </w:pPr>
            <w:r>
              <w:rPr>
                <w:rFonts w:ascii="Calibri" w:hAnsi="Calibri"/>
                <w:bCs/>
                <w:color w:val="000000"/>
                <w:sz w:val="20"/>
                <w:szCs w:val="20"/>
                <w:lang w:eastAsia="en-GB"/>
              </w:rPr>
              <w:t>0.114</w:t>
            </w:r>
          </w:p>
        </w:tc>
      </w:tr>
      <w:tr w:rsidR="008551A2" w:rsidRPr="00C01EC4" w14:paraId="6E108A3B" w14:textId="77777777" w:rsidTr="00862816">
        <w:trPr>
          <w:trHeight w:val="345"/>
        </w:trPr>
        <w:tc>
          <w:tcPr>
            <w:tcW w:w="953" w:type="pct"/>
            <w:tcBorders>
              <w:top w:val="nil"/>
              <w:left w:val="single" w:sz="4" w:space="0" w:color="auto"/>
              <w:bottom w:val="single" w:sz="4" w:space="0" w:color="auto"/>
              <w:right w:val="single" w:sz="4" w:space="0" w:color="auto"/>
            </w:tcBorders>
            <w:shd w:val="clear" w:color="auto" w:fill="auto"/>
            <w:vAlign w:val="bottom"/>
            <w:hideMark/>
          </w:tcPr>
          <w:p w14:paraId="02D5BAFE" w14:textId="77777777" w:rsidR="008551A2" w:rsidRPr="004A7638" w:rsidRDefault="008551A2" w:rsidP="00862816">
            <w:pPr>
              <w:spacing w:line="480" w:lineRule="auto"/>
              <w:rPr>
                <w:rFonts w:ascii="Calibri" w:hAnsi="Calibri"/>
                <w:b/>
                <w:bCs/>
                <w:color w:val="000000"/>
                <w:sz w:val="20"/>
                <w:szCs w:val="20"/>
                <w:lang w:eastAsia="en-GB"/>
              </w:rPr>
            </w:pPr>
            <w:r w:rsidRPr="004A7638">
              <w:rPr>
                <w:rFonts w:ascii="Calibri" w:hAnsi="Calibri"/>
                <w:b/>
                <w:bCs/>
                <w:color w:val="000000"/>
                <w:sz w:val="20"/>
                <w:szCs w:val="20"/>
                <w:lang w:eastAsia="en-GB"/>
              </w:rPr>
              <w:t>Post-traumatic stress disorder</w:t>
            </w:r>
          </w:p>
        </w:tc>
        <w:tc>
          <w:tcPr>
            <w:tcW w:w="740" w:type="pct"/>
            <w:tcBorders>
              <w:top w:val="nil"/>
              <w:left w:val="nil"/>
              <w:bottom w:val="single" w:sz="4" w:space="0" w:color="auto"/>
              <w:right w:val="single" w:sz="4" w:space="0" w:color="auto"/>
            </w:tcBorders>
            <w:shd w:val="clear" w:color="auto" w:fill="auto"/>
            <w:vAlign w:val="bottom"/>
          </w:tcPr>
          <w:p w14:paraId="5C73634F" w14:textId="77777777" w:rsidR="008551A2" w:rsidRPr="004A7638" w:rsidRDefault="008551A2" w:rsidP="00862816">
            <w:pPr>
              <w:spacing w:line="480" w:lineRule="auto"/>
              <w:rPr>
                <w:rFonts w:ascii="Calibri" w:hAnsi="Calibri"/>
                <w:color w:val="000000"/>
                <w:sz w:val="20"/>
                <w:szCs w:val="20"/>
                <w:lang w:eastAsia="en-GB"/>
              </w:rPr>
            </w:pPr>
          </w:p>
        </w:tc>
        <w:tc>
          <w:tcPr>
            <w:tcW w:w="741" w:type="pct"/>
            <w:tcBorders>
              <w:top w:val="nil"/>
              <w:left w:val="nil"/>
              <w:bottom w:val="single" w:sz="4" w:space="0" w:color="auto"/>
              <w:right w:val="single" w:sz="4" w:space="0" w:color="auto"/>
            </w:tcBorders>
            <w:shd w:val="clear" w:color="auto" w:fill="auto"/>
            <w:vAlign w:val="bottom"/>
            <w:hideMark/>
          </w:tcPr>
          <w:p w14:paraId="51B5C104" w14:textId="77777777" w:rsidR="008551A2" w:rsidRPr="004A7638" w:rsidRDefault="008551A2" w:rsidP="00862816">
            <w:pPr>
              <w:spacing w:line="480" w:lineRule="auto"/>
              <w:rPr>
                <w:rFonts w:ascii="Calibri" w:hAnsi="Calibri"/>
                <w:color w:val="000000"/>
                <w:sz w:val="20"/>
                <w:szCs w:val="20"/>
                <w:lang w:eastAsia="en-GB"/>
              </w:rPr>
            </w:pPr>
            <w:r w:rsidRPr="004A7638">
              <w:rPr>
                <w:rFonts w:ascii="Calibri" w:hAnsi="Calibri"/>
                <w:color w:val="000000"/>
                <w:sz w:val="20"/>
                <w:szCs w:val="20"/>
                <w:lang w:eastAsia="en-GB"/>
              </w:rPr>
              <w:t>2 [4.2%]</w:t>
            </w:r>
          </w:p>
        </w:tc>
        <w:tc>
          <w:tcPr>
            <w:tcW w:w="786" w:type="pct"/>
            <w:tcBorders>
              <w:top w:val="nil"/>
              <w:left w:val="nil"/>
              <w:bottom w:val="single" w:sz="4" w:space="0" w:color="auto"/>
              <w:right w:val="single" w:sz="4" w:space="0" w:color="auto"/>
            </w:tcBorders>
            <w:shd w:val="clear" w:color="auto" w:fill="auto"/>
            <w:vAlign w:val="bottom"/>
            <w:hideMark/>
          </w:tcPr>
          <w:p w14:paraId="44BA95D6" w14:textId="77777777" w:rsidR="008551A2" w:rsidRPr="004A7638" w:rsidRDefault="008551A2" w:rsidP="00862816">
            <w:pPr>
              <w:spacing w:line="480" w:lineRule="auto"/>
              <w:rPr>
                <w:rFonts w:ascii="Calibri" w:hAnsi="Calibri"/>
                <w:color w:val="000000"/>
                <w:lang w:eastAsia="en-GB"/>
              </w:rPr>
            </w:pPr>
            <w:r w:rsidRPr="004A7638">
              <w:rPr>
                <w:rFonts w:ascii="Calibri" w:hAnsi="Calibri"/>
                <w:color w:val="000000"/>
                <w:lang w:eastAsia="en-GB"/>
              </w:rPr>
              <w:t>12 [12.4%]</w:t>
            </w:r>
            <w:r w:rsidRPr="004A7638">
              <w:rPr>
                <w:rFonts w:ascii="Calibri" w:hAnsi="Calibri"/>
                <w:bCs/>
                <w:color w:val="000000"/>
                <w:sz w:val="20"/>
                <w:szCs w:val="20"/>
                <w:vertAlign w:val="superscript"/>
                <w:lang w:eastAsia="en-GB"/>
              </w:rPr>
              <w:t>d</w:t>
            </w:r>
          </w:p>
        </w:tc>
        <w:tc>
          <w:tcPr>
            <w:tcW w:w="797" w:type="pct"/>
            <w:tcBorders>
              <w:top w:val="nil"/>
              <w:left w:val="nil"/>
              <w:bottom w:val="single" w:sz="4" w:space="0" w:color="auto"/>
              <w:right w:val="single" w:sz="4" w:space="0" w:color="auto"/>
            </w:tcBorders>
            <w:shd w:val="clear" w:color="auto" w:fill="auto"/>
            <w:vAlign w:val="bottom"/>
            <w:hideMark/>
          </w:tcPr>
          <w:p w14:paraId="45131559" w14:textId="77777777" w:rsidR="008551A2" w:rsidRPr="004A7638" w:rsidRDefault="008551A2" w:rsidP="00862816">
            <w:pPr>
              <w:spacing w:line="480" w:lineRule="auto"/>
              <w:rPr>
                <w:rFonts w:ascii="Calibri" w:hAnsi="Calibri"/>
                <w:color w:val="000000"/>
                <w:lang w:eastAsia="en-GB"/>
              </w:rPr>
            </w:pPr>
            <w:r w:rsidRPr="004A7638">
              <w:rPr>
                <w:rFonts w:ascii="Calibri" w:hAnsi="Calibri"/>
                <w:color w:val="000000"/>
                <w:lang w:eastAsia="en-GB"/>
              </w:rPr>
              <w:t>1 [5.7%]</w:t>
            </w:r>
            <w:r w:rsidRPr="004A7638">
              <w:rPr>
                <w:rFonts w:ascii="Calibri" w:hAnsi="Calibri"/>
                <w:bCs/>
                <w:color w:val="000000"/>
                <w:sz w:val="20"/>
                <w:szCs w:val="20"/>
                <w:vertAlign w:val="superscript"/>
                <w:lang w:eastAsia="en-GB"/>
              </w:rPr>
              <w:t>c</w:t>
            </w:r>
          </w:p>
        </w:tc>
        <w:tc>
          <w:tcPr>
            <w:tcW w:w="517" w:type="pct"/>
            <w:tcBorders>
              <w:top w:val="nil"/>
              <w:left w:val="nil"/>
              <w:bottom w:val="single" w:sz="4" w:space="0" w:color="auto"/>
              <w:right w:val="single" w:sz="4" w:space="0" w:color="auto"/>
            </w:tcBorders>
            <w:shd w:val="clear" w:color="auto" w:fill="auto"/>
            <w:noWrap/>
            <w:vAlign w:val="bottom"/>
          </w:tcPr>
          <w:p w14:paraId="0826D2AC" w14:textId="77777777" w:rsidR="008551A2" w:rsidRPr="004A7638" w:rsidRDefault="008551A2" w:rsidP="00862816">
            <w:pPr>
              <w:spacing w:line="480" w:lineRule="auto"/>
              <w:rPr>
                <w:rFonts w:ascii="Calibri" w:hAnsi="Calibri"/>
                <w:bCs/>
                <w:color w:val="000000"/>
                <w:sz w:val="20"/>
                <w:szCs w:val="20"/>
                <w:lang w:eastAsia="en-GB"/>
              </w:rPr>
            </w:pPr>
            <w:r w:rsidRPr="004A7638">
              <w:rPr>
                <w:rFonts w:ascii="Calibri" w:hAnsi="Calibri"/>
                <w:bCs/>
                <w:color w:val="000000"/>
                <w:sz w:val="20"/>
                <w:szCs w:val="20"/>
                <w:lang w:eastAsia="en-GB"/>
              </w:rPr>
              <w:t>6.248</w:t>
            </w:r>
          </w:p>
        </w:tc>
        <w:tc>
          <w:tcPr>
            <w:tcW w:w="466" w:type="pct"/>
            <w:tcBorders>
              <w:top w:val="nil"/>
              <w:left w:val="nil"/>
              <w:bottom w:val="single" w:sz="4" w:space="0" w:color="auto"/>
              <w:right w:val="single" w:sz="4" w:space="0" w:color="auto"/>
            </w:tcBorders>
            <w:shd w:val="clear" w:color="auto" w:fill="auto"/>
            <w:noWrap/>
            <w:vAlign w:val="bottom"/>
          </w:tcPr>
          <w:p w14:paraId="546CD412" w14:textId="77777777" w:rsidR="008551A2" w:rsidRPr="00C01EC4" w:rsidRDefault="008551A2" w:rsidP="00862816">
            <w:pPr>
              <w:spacing w:line="480" w:lineRule="auto"/>
              <w:rPr>
                <w:rFonts w:ascii="Calibri" w:hAnsi="Calibri"/>
                <w:bCs/>
                <w:color w:val="000000"/>
                <w:sz w:val="20"/>
                <w:szCs w:val="20"/>
                <w:lang w:eastAsia="en-GB"/>
              </w:rPr>
            </w:pPr>
            <w:r w:rsidRPr="004A7638">
              <w:rPr>
                <w:rFonts w:ascii="Calibri" w:hAnsi="Calibri"/>
                <w:bCs/>
                <w:color w:val="000000"/>
                <w:sz w:val="20"/>
                <w:szCs w:val="20"/>
                <w:lang w:eastAsia="en-GB"/>
              </w:rPr>
              <w:t>0.044</w:t>
            </w:r>
          </w:p>
        </w:tc>
      </w:tr>
      <w:tr w:rsidR="008551A2" w:rsidRPr="00C01EC4" w14:paraId="468B1E35" w14:textId="77777777" w:rsidTr="00862816">
        <w:trPr>
          <w:trHeight w:val="345"/>
        </w:trPr>
        <w:tc>
          <w:tcPr>
            <w:tcW w:w="953" w:type="pct"/>
            <w:tcBorders>
              <w:top w:val="nil"/>
              <w:left w:val="single" w:sz="4" w:space="0" w:color="auto"/>
              <w:bottom w:val="single" w:sz="4" w:space="0" w:color="auto"/>
              <w:right w:val="single" w:sz="4" w:space="0" w:color="auto"/>
            </w:tcBorders>
            <w:shd w:val="clear" w:color="auto" w:fill="auto"/>
            <w:vAlign w:val="bottom"/>
            <w:hideMark/>
          </w:tcPr>
          <w:p w14:paraId="0B93F585" w14:textId="77777777" w:rsidR="008551A2" w:rsidRPr="004A7638" w:rsidRDefault="008551A2" w:rsidP="00862816">
            <w:pPr>
              <w:spacing w:line="480" w:lineRule="auto"/>
              <w:rPr>
                <w:rFonts w:ascii="Calibri" w:hAnsi="Calibri"/>
                <w:b/>
                <w:bCs/>
                <w:color w:val="000000"/>
                <w:sz w:val="20"/>
                <w:szCs w:val="20"/>
                <w:lang w:eastAsia="en-GB"/>
              </w:rPr>
            </w:pPr>
            <w:r w:rsidRPr="004A7638">
              <w:rPr>
                <w:rFonts w:ascii="Calibri" w:hAnsi="Calibri"/>
                <w:b/>
                <w:bCs/>
                <w:color w:val="000000"/>
                <w:sz w:val="20"/>
                <w:szCs w:val="20"/>
                <w:lang w:eastAsia="en-GB"/>
              </w:rPr>
              <w:t>Generalized Anxiety Disorder</w:t>
            </w:r>
          </w:p>
        </w:tc>
        <w:tc>
          <w:tcPr>
            <w:tcW w:w="740" w:type="pct"/>
            <w:tcBorders>
              <w:top w:val="nil"/>
              <w:left w:val="nil"/>
              <w:bottom w:val="single" w:sz="4" w:space="0" w:color="auto"/>
              <w:right w:val="single" w:sz="4" w:space="0" w:color="auto"/>
            </w:tcBorders>
            <w:shd w:val="clear" w:color="auto" w:fill="auto"/>
            <w:vAlign w:val="bottom"/>
          </w:tcPr>
          <w:p w14:paraId="463E9B00" w14:textId="77777777" w:rsidR="008551A2" w:rsidRPr="004A7638" w:rsidRDefault="008551A2" w:rsidP="00862816">
            <w:pPr>
              <w:spacing w:line="480" w:lineRule="auto"/>
              <w:rPr>
                <w:rFonts w:ascii="Calibri" w:hAnsi="Calibri"/>
                <w:color w:val="000000"/>
                <w:sz w:val="20"/>
                <w:szCs w:val="20"/>
                <w:lang w:eastAsia="en-GB"/>
              </w:rPr>
            </w:pPr>
          </w:p>
        </w:tc>
        <w:tc>
          <w:tcPr>
            <w:tcW w:w="741" w:type="pct"/>
            <w:tcBorders>
              <w:top w:val="nil"/>
              <w:left w:val="nil"/>
              <w:bottom w:val="single" w:sz="4" w:space="0" w:color="auto"/>
              <w:right w:val="single" w:sz="4" w:space="0" w:color="auto"/>
            </w:tcBorders>
            <w:shd w:val="clear" w:color="auto" w:fill="auto"/>
            <w:vAlign w:val="bottom"/>
            <w:hideMark/>
          </w:tcPr>
          <w:p w14:paraId="6ACD24DE" w14:textId="77777777" w:rsidR="008551A2" w:rsidRPr="004A7638" w:rsidRDefault="008551A2" w:rsidP="00862816">
            <w:pPr>
              <w:spacing w:line="480" w:lineRule="auto"/>
              <w:rPr>
                <w:rFonts w:ascii="Calibri" w:hAnsi="Calibri"/>
                <w:color w:val="000000"/>
                <w:sz w:val="20"/>
                <w:szCs w:val="20"/>
                <w:lang w:eastAsia="en-GB"/>
              </w:rPr>
            </w:pPr>
            <w:r w:rsidRPr="004A7638">
              <w:rPr>
                <w:rFonts w:ascii="Calibri" w:hAnsi="Calibri"/>
                <w:color w:val="000000"/>
                <w:sz w:val="20"/>
                <w:szCs w:val="20"/>
                <w:lang w:eastAsia="en-GB"/>
              </w:rPr>
              <w:t>3 [6.3%]</w:t>
            </w:r>
            <w:r w:rsidRPr="004A7638">
              <w:rPr>
                <w:rFonts w:ascii="Calibri" w:hAnsi="Calibri"/>
                <w:bCs/>
                <w:color w:val="000000"/>
                <w:sz w:val="20"/>
                <w:szCs w:val="20"/>
                <w:vertAlign w:val="superscript"/>
                <w:lang w:eastAsia="en-GB"/>
              </w:rPr>
              <w:t>c,d</w:t>
            </w:r>
          </w:p>
        </w:tc>
        <w:tc>
          <w:tcPr>
            <w:tcW w:w="786" w:type="pct"/>
            <w:tcBorders>
              <w:top w:val="nil"/>
              <w:left w:val="nil"/>
              <w:bottom w:val="single" w:sz="4" w:space="0" w:color="auto"/>
              <w:right w:val="single" w:sz="4" w:space="0" w:color="auto"/>
            </w:tcBorders>
            <w:shd w:val="clear" w:color="auto" w:fill="auto"/>
            <w:vAlign w:val="bottom"/>
            <w:hideMark/>
          </w:tcPr>
          <w:p w14:paraId="5B0C38A1" w14:textId="77777777" w:rsidR="008551A2" w:rsidRPr="004A7638" w:rsidRDefault="008551A2" w:rsidP="00862816">
            <w:pPr>
              <w:spacing w:line="480" w:lineRule="auto"/>
              <w:rPr>
                <w:rFonts w:ascii="Calibri" w:hAnsi="Calibri"/>
                <w:color w:val="000000"/>
                <w:lang w:eastAsia="en-GB"/>
              </w:rPr>
            </w:pPr>
            <w:r w:rsidRPr="004A7638">
              <w:rPr>
                <w:rFonts w:ascii="Calibri" w:hAnsi="Calibri"/>
                <w:color w:val="000000"/>
                <w:lang w:eastAsia="en-GB"/>
              </w:rPr>
              <w:t>26 [26.3%]</w:t>
            </w:r>
            <w:r w:rsidRPr="004A7638">
              <w:rPr>
                <w:rFonts w:ascii="Calibri" w:hAnsi="Calibri"/>
                <w:bCs/>
                <w:color w:val="000000"/>
                <w:sz w:val="20"/>
                <w:szCs w:val="20"/>
                <w:vertAlign w:val="superscript"/>
                <w:lang w:eastAsia="en-GB"/>
              </w:rPr>
              <w:t>b</w:t>
            </w:r>
          </w:p>
        </w:tc>
        <w:tc>
          <w:tcPr>
            <w:tcW w:w="797" w:type="pct"/>
            <w:tcBorders>
              <w:top w:val="nil"/>
              <w:left w:val="nil"/>
              <w:bottom w:val="single" w:sz="4" w:space="0" w:color="auto"/>
              <w:right w:val="single" w:sz="4" w:space="0" w:color="auto"/>
            </w:tcBorders>
            <w:shd w:val="clear" w:color="auto" w:fill="auto"/>
            <w:vAlign w:val="bottom"/>
            <w:hideMark/>
          </w:tcPr>
          <w:p w14:paraId="7EE56C8C" w14:textId="77777777" w:rsidR="008551A2" w:rsidRPr="004A7638" w:rsidRDefault="008551A2" w:rsidP="00862816">
            <w:pPr>
              <w:spacing w:line="480" w:lineRule="auto"/>
              <w:rPr>
                <w:rFonts w:ascii="Calibri" w:hAnsi="Calibri"/>
                <w:color w:val="000000"/>
                <w:lang w:eastAsia="en-GB"/>
              </w:rPr>
            </w:pPr>
            <w:r w:rsidRPr="004A7638">
              <w:rPr>
                <w:rFonts w:ascii="Calibri" w:hAnsi="Calibri"/>
                <w:color w:val="000000"/>
                <w:lang w:eastAsia="en-GB"/>
              </w:rPr>
              <w:t>17 [37.0%]</w:t>
            </w:r>
            <w:r w:rsidRPr="004A7638">
              <w:rPr>
                <w:rFonts w:ascii="Calibri" w:hAnsi="Calibri"/>
                <w:bCs/>
                <w:color w:val="000000"/>
                <w:sz w:val="20"/>
                <w:szCs w:val="20"/>
                <w:vertAlign w:val="superscript"/>
                <w:lang w:eastAsia="en-GB"/>
              </w:rPr>
              <w:t>b</w:t>
            </w:r>
          </w:p>
        </w:tc>
        <w:tc>
          <w:tcPr>
            <w:tcW w:w="517" w:type="pct"/>
            <w:tcBorders>
              <w:top w:val="nil"/>
              <w:left w:val="nil"/>
              <w:bottom w:val="single" w:sz="4" w:space="0" w:color="auto"/>
              <w:right w:val="single" w:sz="4" w:space="0" w:color="auto"/>
            </w:tcBorders>
            <w:shd w:val="clear" w:color="auto" w:fill="auto"/>
            <w:noWrap/>
            <w:vAlign w:val="bottom"/>
          </w:tcPr>
          <w:p w14:paraId="428244EC" w14:textId="77777777" w:rsidR="008551A2" w:rsidRPr="004A7638" w:rsidRDefault="008551A2" w:rsidP="00862816">
            <w:pPr>
              <w:spacing w:line="480" w:lineRule="auto"/>
              <w:rPr>
                <w:rFonts w:ascii="Calibri" w:hAnsi="Calibri"/>
                <w:bCs/>
                <w:color w:val="000000"/>
                <w:sz w:val="20"/>
                <w:szCs w:val="20"/>
                <w:lang w:eastAsia="en-GB"/>
              </w:rPr>
            </w:pPr>
            <w:r w:rsidRPr="004A7638">
              <w:rPr>
                <w:rFonts w:ascii="Calibri" w:hAnsi="Calibri"/>
                <w:bCs/>
                <w:color w:val="000000"/>
                <w:sz w:val="20"/>
                <w:szCs w:val="20"/>
                <w:lang w:eastAsia="en-GB"/>
              </w:rPr>
              <w:t>14.924</w:t>
            </w:r>
          </w:p>
        </w:tc>
        <w:tc>
          <w:tcPr>
            <w:tcW w:w="466" w:type="pct"/>
            <w:tcBorders>
              <w:top w:val="nil"/>
              <w:left w:val="nil"/>
              <w:bottom w:val="single" w:sz="4" w:space="0" w:color="auto"/>
              <w:right w:val="single" w:sz="4" w:space="0" w:color="auto"/>
            </w:tcBorders>
            <w:shd w:val="clear" w:color="auto" w:fill="auto"/>
            <w:noWrap/>
            <w:vAlign w:val="bottom"/>
          </w:tcPr>
          <w:p w14:paraId="1A9AFA90" w14:textId="77777777" w:rsidR="008551A2" w:rsidRPr="00C01EC4" w:rsidRDefault="008551A2" w:rsidP="00862816">
            <w:pPr>
              <w:spacing w:line="480" w:lineRule="auto"/>
              <w:rPr>
                <w:rFonts w:ascii="Calibri" w:hAnsi="Calibri"/>
                <w:bCs/>
                <w:color w:val="000000"/>
                <w:sz w:val="20"/>
                <w:szCs w:val="20"/>
                <w:lang w:eastAsia="en-GB"/>
              </w:rPr>
            </w:pPr>
            <w:r w:rsidRPr="004A7638">
              <w:rPr>
                <w:rFonts w:ascii="Calibri" w:hAnsi="Calibri"/>
                <w:bCs/>
                <w:color w:val="000000"/>
                <w:sz w:val="20"/>
                <w:szCs w:val="20"/>
                <w:lang w:eastAsia="en-GB"/>
              </w:rPr>
              <w:t>0.001</w:t>
            </w:r>
          </w:p>
        </w:tc>
      </w:tr>
      <w:tr w:rsidR="008551A2" w:rsidRPr="00FB6924" w14:paraId="33EB6289" w14:textId="77777777" w:rsidTr="00862816">
        <w:trPr>
          <w:trHeight w:val="345"/>
        </w:trPr>
        <w:tc>
          <w:tcPr>
            <w:tcW w:w="953" w:type="pct"/>
            <w:tcBorders>
              <w:top w:val="nil"/>
              <w:left w:val="single" w:sz="4" w:space="0" w:color="auto"/>
              <w:bottom w:val="single" w:sz="4" w:space="0" w:color="auto"/>
              <w:right w:val="single" w:sz="4" w:space="0" w:color="auto"/>
            </w:tcBorders>
            <w:shd w:val="clear" w:color="auto" w:fill="auto"/>
            <w:vAlign w:val="bottom"/>
          </w:tcPr>
          <w:p w14:paraId="6212C46C" w14:textId="77777777" w:rsidR="008551A2" w:rsidRPr="004A7638" w:rsidRDefault="008551A2" w:rsidP="00862816">
            <w:pPr>
              <w:spacing w:line="480" w:lineRule="auto"/>
              <w:rPr>
                <w:rFonts w:ascii="Calibri" w:hAnsi="Calibri"/>
                <w:b/>
                <w:bCs/>
                <w:color w:val="000000"/>
                <w:sz w:val="20"/>
                <w:szCs w:val="20"/>
                <w:lang w:eastAsia="en-GB"/>
              </w:rPr>
            </w:pPr>
            <w:r w:rsidRPr="004A7638">
              <w:rPr>
                <w:rFonts w:ascii="Calibri" w:hAnsi="Calibri"/>
                <w:b/>
                <w:bCs/>
                <w:color w:val="000000"/>
                <w:sz w:val="20"/>
                <w:szCs w:val="20"/>
                <w:lang w:eastAsia="en-GB"/>
              </w:rPr>
              <w:t>Eating Disorder</w:t>
            </w:r>
          </w:p>
        </w:tc>
        <w:tc>
          <w:tcPr>
            <w:tcW w:w="740" w:type="pct"/>
            <w:tcBorders>
              <w:top w:val="nil"/>
              <w:left w:val="nil"/>
              <w:bottom w:val="single" w:sz="4" w:space="0" w:color="auto"/>
              <w:right w:val="single" w:sz="4" w:space="0" w:color="auto"/>
            </w:tcBorders>
            <w:shd w:val="clear" w:color="auto" w:fill="auto"/>
            <w:vAlign w:val="bottom"/>
          </w:tcPr>
          <w:p w14:paraId="05065607" w14:textId="77777777" w:rsidR="008551A2" w:rsidRPr="004A7638" w:rsidRDefault="008551A2" w:rsidP="00862816">
            <w:pPr>
              <w:spacing w:line="480" w:lineRule="auto"/>
              <w:rPr>
                <w:rFonts w:ascii="Calibri" w:hAnsi="Calibri"/>
                <w:color w:val="000000"/>
                <w:sz w:val="20"/>
                <w:szCs w:val="20"/>
                <w:lang w:eastAsia="en-GB"/>
              </w:rPr>
            </w:pPr>
          </w:p>
        </w:tc>
        <w:tc>
          <w:tcPr>
            <w:tcW w:w="741" w:type="pct"/>
            <w:tcBorders>
              <w:top w:val="nil"/>
              <w:left w:val="nil"/>
              <w:bottom w:val="single" w:sz="4" w:space="0" w:color="auto"/>
              <w:right w:val="single" w:sz="4" w:space="0" w:color="auto"/>
            </w:tcBorders>
            <w:shd w:val="clear" w:color="auto" w:fill="auto"/>
            <w:vAlign w:val="bottom"/>
          </w:tcPr>
          <w:p w14:paraId="5F1F0882" w14:textId="77777777" w:rsidR="008551A2" w:rsidRPr="004A7638" w:rsidRDefault="008551A2" w:rsidP="00862816">
            <w:pPr>
              <w:spacing w:line="480" w:lineRule="auto"/>
              <w:rPr>
                <w:rFonts w:ascii="Calibri" w:hAnsi="Calibri"/>
                <w:color w:val="000000"/>
                <w:sz w:val="20"/>
                <w:szCs w:val="20"/>
                <w:lang w:eastAsia="en-GB"/>
              </w:rPr>
            </w:pPr>
            <w:r w:rsidRPr="004A7638">
              <w:rPr>
                <w:rFonts w:ascii="Calibri" w:hAnsi="Calibri"/>
                <w:color w:val="000000"/>
                <w:sz w:val="20"/>
                <w:szCs w:val="20"/>
                <w:lang w:eastAsia="en-GB"/>
              </w:rPr>
              <w:t>0 [0.0%]</w:t>
            </w:r>
            <w:r w:rsidRPr="004A7638">
              <w:rPr>
                <w:rFonts w:ascii="Calibri" w:hAnsi="Calibri"/>
                <w:bCs/>
                <w:color w:val="000000"/>
                <w:sz w:val="20"/>
                <w:szCs w:val="20"/>
                <w:vertAlign w:val="superscript"/>
                <w:lang w:eastAsia="en-GB"/>
              </w:rPr>
              <w:t>d</w:t>
            </w:r>
          </w:p>
        </w:tc>
        <w:tc>
          <w:tcPr>
            <w:tcW w:w="786" w:type="pct"/>
            <w:tcBorders>
              <w:top w:val="nil"/>
              <w:left w:val="nil"/>
              <w:bottom w:val="single" w:sz="4" w:space="0" w:color="auto"/>
              <w:right w:val="single" w:sz="4" w:space="0" w:color="auto"/>
            </w:tcBorders>
            <w:shd w:val="clear" w:color="auto" w:fill="auto"/>
            <w:vAlign w:val="bottom"/>
          </w:tcPr>
          <w:p w14:paraId="44964562" w14:textId="77777777" w:rsidR="008551A2" w:rsidRPr="004A7638" w:rsidRDefault="008551A2" w:rsidP="00862816">
            <w:pPr>
              <w:spacing w:line="480" w:lineRule="auto"/>
              <w:rPr>
                <w:rFonts w:ascii="Calibri" w:hAnsi="Calibri"/>
                <w:color w:val="000000"/>
                <w:lang w:eastAsia="en-GB"/>
              </w:rPr>
            </w:pPr>
            <w:r w:rsidRPr="004A7638">
              <w:rPr>
                <w:rFonts w:ascii="Calibri" w:hAnsi="Calibri"/>
                <w:color w:val="000000"/>
                <w:lang w:eastAsia="en-GB"/>
              </w:rPr>
              <w:t>6 [6.1%]</w:t>
            </w:r>
          </w:p>
        </w:tc>
        <w:tc>
          <w:tcPr>
            <w:tcW w:w="797" w:type="pct"/>
            <w:tcBorders>
              <w:top w:val="nil"/>
              <w:left w:val="nil"/>
              <w:bottom w:val="single" w:sz="4" w:space="0" w:color="auto"/>
              <w:right w:val="single" w:sz="4" w:space="0" w:color="auto"/>
            </w:tcBorders>
            <w:shd w:val="clear" w:color="auto" w:fill="auto"/>
            <w:vAlign w:val="bottom"/>
          </w:tcPr>
          <w:p w14:paraId="53F0987E" w14:textId="77777777" w:rsidR="008551A2" w:rsidRPr="004A7638" w:rsidRDefault="008551A2" w:rsidP="00862816">
            <w:pPr>
              <w:spacing w:line="480" w:lineRule="auto"/>
              <w:rPr>
                <w:rFonts w:ascii="Calibri" w:hAnsi="Calibri"/>
                <w:color w:val="000000"/>
                <w:lang w:eastAsia="en-GB"/>
              </w:rPr>
            </w:pPr>
            <w:r w:rsidRPr="004A7638">
              <w:rPr>
                <w:rFonts w:ascii="Calibri" w:hAnsi="Calibri"/>
                <w:color w:val="000000"/>
                <w:lang w:eastAsia="en-GB"/>
              </w:rPr>
              <w:t>4 [8.5%]</w:t>
            </w:r>
            <w:r w:rsidRPr="004A7638">
              <w:rPr>
                <w:rFonts w:ascii="Calibri" w:hAnsi="Calibri"/>
                <w:bCs/>
                <w:color w:val="000000"/>
                <w:sz w:val="20"/>
                <w:szCs w:val="20"/>
                <w:vertAlign w:val="superscript"/>
                <w:lang w:eastAsia="en-GB"/>
              </w:rPr>
              <w:t>b</w:t>
            </w:r>
          </w:p>
        </w:tc>
        <w:tc>
          <w:tcPr>
            <w:tcW w:w="517" w:type="pct"/>
            <w:tcBorders>
              <w:top w:val="nil"/>
              <w:left w:val="nil"/>
              <w:bottom w:val="single" w:sz="4" w:space="0" w:color="auto"/>
              <w:right w:val="single" w:sz="4" w:space="0" w:color="auto"/>
            </w:tcBorders>
            <w:shd w:val="clear" w:color="auto" w:fill="auto"/>
            <w:noWrap/>
            <w:vAlign w:val="bottom"/>
          </w:tcPr>
          <w:p w14:paraId="5016F616" w14:textId="77777777" w:rsidR="008551A2" w:rsidRPr="004A7638" w:rsidRDefault="008551A2" w:rsidP="00862816">
            <w:pPr>
              <w:spacing w:line="480" w:lineRule="auto"/>
              <w:rPr>
                <w:rFonts w:ascii="Calibri" w:hAnsi="Calibri"/>
                <w:bCs/>
                <w:color w:val="000000"/>
                <w:sz w:val="20"/>
                <w:szCs w:val="20"/>
                <w:lang w:eastAsia="en-GB"/>
              </w:rPr>
            </w:pPr>
            <w:r w:rsidRPr="004A7638">
              <w:rPr>
                <w:rFonts w:ascii="Calibri" w:hAnsi="Calibri"/>
                <w:bCs/>
                <w:color w:val="000000"/>
                <w:sz w:val="20"/>
                <w:szCs w:val="20"/>
                <w:lang w:eastAsia="en-GB"/>
              </w:rPr>
              <w:t>6.151</w:t>
            </w:r>
          </w:p>
        </w:tc>
        <w:tc>
          <w:tcPr>
            <w:tcW w:w="466" w:type="pct"/>
            <w:tcBorders>
              <w:top w:val="nil"/>
              <w:left w:val="nil"/>
              <w:bottom w:val="single" w:sz="4" w:space="0" w:color="auto"/>
              <w:right w:val="single" w:sz="4" w:space="0" w:color="auto"/>
            </w:tcBorders>
            <w:shd w:val="clear" w:color="auto" w:fill="auto"/>
            <w:noWrap/>
            <w:vAlign w:val="bottom"/>
          </w:tcPr>
          <w:p w14:paraId="1BEB7B71" w14:textId="77777777" w:rsidR="008551A2" w:rsidRPr="00C01EC4" w:rsidRDefault="008551A2" w:rsidP="00862816">
            <w:pPr>
              <w:spacing w:line="480" w:lineRule="auto"/>
              <w:rPr>
                <w:rFonts w:ascii="Calibri" w:hAnsi="Calibri"/>
                <w:bCs/>
                <w:color w:val="000000"/>
                <w:sz w:val="20"/>
                <w:szCs w:val="20"/>
                <w:lang w:eastAsia="en-GB"/>
              </w:rPr>
            </w:pPr>
            <w:r w:rsidRPr="004A7638">
              <w:rPr>
                <w:rFonts w:ascii="Calibri" w:hAnsi="Calibri"/>
                <w:bCs/>
                <w:color w:val="000000"/>
                <w:sz w:val="20"/>
                <w:szCs w:val="20"/>
                <w:lang w:eastAsia="en-GB"/>
              </w:rPr>
              <w:t>0.046</w:t>
            </w:r>
          </w:p>
        </w:tc>
      </w:tr>
      <w:tr w:rsidR="008551A2" w:rsidRPr="00FB6924" w14:paraId="6D21B66F" w14:textId="77777777" w:rsidTr="00862816">
        <w:trPr>
          <w:trHeight w:val="345"/>
        </w:trPr>
        <w:tc>
          <w:tcPr>
            <w:tcW w:w="953" w:type="pct"/>
            <w:tcBorders>
              <w:top w:val="nil"/>
              <w:left w:val="single" w:sz="4" w:space="0" w:color="auto"/>
              <w:bottom w:val="single" w:sz="4" w:space="0" w:color="auto"/>
              <w:right w:val="single" w:sz="4" w:space="0" w:color="auto"/>
            </w:tcBorders>
            <w:shd w:val="clear" w:color="auto" w:fill="auto"/>
            <w:vAlign w:val="bottom"/>
          </w:tcPr>
          <w:p w14:paraId="682FFC5B" w14:textId="77777777" w:rsidR="008551A2" w:rsidRPr="00C01EC4" w:rsidRDefault="008551A2" w:rsidP="00862816">
            <w:pPr>
              <w:spacing w:line="480" w:lineRule="auto"/>
              <w:rPr>
                <w:rFonts w:ascii="Calibri" w:hAnsi="Calibri"/>
                <w:b/>
                <w:bCs/>
                <w:color w:val="000000"/>
                <w:sz w:val="20"/>
                <w:szCs w:val="20"/>
                <w:lang w:eastAsia="en-GB"/>
              </w:rPr>
            </w:pPr>
            <w:r>
              <w:rPr>
                <w:rFonts w:ascii="Calibri" w:hAnsi="Calibri"/>
                <w:b/>
                <w:bCs/>
                <w:color w:val="000000"/>
                <w:sz w:val="20"/>
                <w:szCs w:val="20"/>
                <w:lang w:eastAsia="en-GB"/>
              </w:rPr>
              <w:t>Affective psychosis</w:t>
            </w:r>
          </w:p>
        </w:tc>
        <w:tc>
          <w:tcPr>
            <w:tcW w:w="740" w:type="pct"/>
            <w:tcBorders>
              <w:top w:val="nil"/>
              <w:left w:val="nil"/>
              <w:bottom w:val="single" w:sz="4" w:space="0" w:color="auto"/>
              <w:right w:val="single" w:sz="4" w:space="0" w:color="auto"/>
            </w:tcBorders>
            <w:shd w:val="clear" w:color="auto" w:fill="auto"/>
            <w:vAlign w:val="bottom"/>
          </w:tcPr>
          <w:p w14:paraId="13F1200E" w14:textId="77777777" w:rsidR="008551A2" w:rsidRPr="00C01EC4" w:rsidRDefault="008551A2" w:rsidP="00862816">
            <w:pPr>
              <w:spacing w:line="480" w:lineRule="auto"/>
              <w:rPr>
                <w:rFonts w:ascii="Calibri" w:hAnsi="Calibri"/>
                <w:color w:val="000000"/>
                <w:sz w:val="20"/>
                <w:szCs w:val="20"/>
                <w:lang w:eastAsia="en-GB"/>
              </w:rPr>
            </w:pPr>
          </w:p>
        </w:tc>
        <w:tc>
          <w:tcPr>
            <w:tcW w:w="741" w:type="pct"/>
            <w:tcBorders>
              <w:top w:val="nil"/>
              <w:left w:val="nil"/>
              <w:bottom w:val="single" w:sz="4" w:space="0" w:color="auto"/>
              <w:right w:val="single" w:sz="4" w:space="0" w:color="auto"/>
            </w:tcBorders>
            <w:shd w:val="clear" w:color="auto" w:fill="auto"/>
            <w:vAlign w:val="bottom"/>
          </w:tcPr>
          <w:p w14:paraId="24676944" w14:textId="77777777" w:rsidR="008551A2" w:rsidRPr="00C01EC4" w:rsidRDefault="008551A2" w:rsidP="00862816">
            <w:pPr>
              <w:spacing w:line="480" w:lineRule="auto"/>
              <w:rPr>
                <w:rFonts w:ascii="Calibri" w:hAnsi="Calibri"/>
                <w:color w:val="000000"/>
                <w:sz w:val="20"/>
                <w:szCs w:val="20"/>
                <w:lang w:eastAsia="en-GB"/>
              </w:rPr>
            </w:pPr>
            <w:r>
              <w:rPr>
                <w:rFonts w:ascii="Calibri" w:hAnsi="Calibri"/>
                <w:color w:val="000000"/>
                <w:sz w:val="20"/>
                <w:szCs w:val="20"/>
                <w:lang w:eastAsia="en-GB"/>
              </w:rPr>
              <w:t>1 [2.1%]</w:t>
            </w:r>
          </w:p>
        </w:tc>
        <w:tc>
          <w:tcPr>
            <w:tcW w:w="786" w:type="pct"/>
            <w:tcBorders>
              <w:top w:val="nil"/>
              <w:left w:val="nil"/>
              <w:bottom w:val="single" w:sz="4" w:space="0" w:color="auto"/>
              <w:right w:val="single" w:sz="4" w:space="0" w:color="auto"/>
            </w:tcBorders>
            <w:shd w:val="clear" w:color="auto" w:fill="auto"/>
            <w:vAlign w:val="bottom"/>
          </w:tcPr>
          <w:p w14:paraId="2E3E27AD" w14:textId="77777777" w:rsidR="008551A2" w:rsidRPr="00C01EC4" w:rsidRDefault="008551A2" w:rsidP="00862816">
            <w:pPr>
              <w:spacing w:line="480" w:lineRule="auto"/>
              <w:rPr>
                <w:rFonts w:ascii="Calibri" w:hAnsi="Calibri"/>
                <w:color w:val="000000"/>
                <w:lang w:eastAsia="en-GB"/>
              </w:rPr>
            </w:pPr>
            <w:r>
              <w:rPr>
                <w:rFonts w:ascii="Calibri" w:hAnsi="Calibri"/>
                <w:color w:val="000000"/>
                <w:lang w:eastAsia="en-GB"/>
              </w:rPr>
              <w:t>5 [5.2%]</w:t>
            </w:r>
          </w:p>
        </w:tc>
        <w:tc>
          <w:tcPr>
            <w:tcW w:w="797" w:type="pct"/>
            <w:tcBorders>
              <w:top w:val="nil"/>
              <w:left w:val="nil"/>
              <w:bottom w:val="single" w:sz="4" w:space="0" w:color="auto"/>
              <w:right w:val="single" w:sz="4" w:space="0" w:color="auto"/>
            </w:tcBorders>
            <w:shd w:val="clear" w:color="auto" w:fill="auto"/>
            <w:vAlign w:val="bottom"/>
          </w:tcPr>
          <w:p w14:paraId="2184E6C0" w14:textId="77777777" w:rsidR="008551A2" w:rsidRPr="00C01EC4" w:rsidRDefault="008551A2" w:rsidP="00862816">
            <w:pPr>
              <w:spacing w:line="480" w:lineRule="auto"/>
              <w:rPr>
                <w:rFonts w:ascii="Calibri" w:hAnsi="Calibri"/>
                <w:color w:val="000000"/>
                <w:lang w:eastAsia="en-GB"/>
              </w:rPr>
            </w:pPr>
            <w:r>
              <w:rPr>
                <w:rFonts w:ascii="Calibri" w:hAnsi="Calibri"/>
                <w:color w:val="000000"/>
                <w:lang w:eastAsia="en-GB"/>
              </w:rPr>
              <w:t>1 [2.1%]</w:t>
            </w:r>
          </w:p>
        </w:tc>
        <w:tc>
          <w:tcPr>
            <w:tcW w:w="517" w:type="pct"/>
            <w:tcBorders>
              <w:top w:val="nil"/>
              <w:left w:val="nil"/>
              <w:bottom w:val="single" w:sz="4" w:space="0" w:color="auto"/>
              <w:right w:val="single" w:sz="4" w:space="0" w:color="auto"/>
            </w:tcBorders>
            <w:shd w:val="clear" w:color="auto" w:fill="auto"/>
            <w:noWrap/>
            <w:vAlign w:val="bottom"/>
          </w:tcPr>
          <w:p w14:paraId="0295117F" w14:textId="77777777" w:rsidR="008551A2" w:rsidRPr="00C01EC4" w:rsidRDefault="008551A2" w:rsidP="00862816">
            <w:pPr>
              <w:spacing w:line="480" w:lineRule="auto"/>
              <w:rPr>
                <w:rFonts w:ascii="Calibri" w:hAnsi="Calibri"/>
                <w:bCs/>
                <w:color w:val="000000"/>
                <w:sz w:val="20"/>
                <w:szCs w:val="20"/>
                <w:lang w:eastAsia="en-GB"/>
              </w:rPr>
            </w:pPr>
            <w:r>
              <w:rPr>
                <w:rFonts w:ascii="Calibri" w:hAnsi="Calibri"/>
                <w:bCs/>
                <w:color w:val="000000"/>
                <w:sz w:val="20"/>
                <w:szCs w:val="20"/>
                <w:lang w:eastAsia="en-GB"/>
              </w:rPr>
              <w:t>1.313</w:t>
            </w:r>
          </w:p>
        </w:tc>
        <w:tc>
          <w:tcPr>
            <w:tcW w:w="466" w:type="pct"/>
            <w:tcBorders>
              <w:top w:val="nil"/>
              <w:left w:val="nil"/>
              <w:bottom w:val="single" w:sz="4" w:space="0" w:color="auto"/>
              <w:right w:val="single" w:sz="4" w:space="0" w:color="auto"/>
            </w:tcBorders>
            <w:shd w:val="clear" w:color="auto" w:fill="auto"/>
            <w:noWrap/>
            <w:vAlign w:val="bottom"/>
          </w:tcPr>
          <w:p w14:paraId="2BCCDC07" w14:textId="77777777" w:rsidR="008551A2" w:rsidRPr="00C01EC4" w:rsidRDefault="008551A2" w:rsidP="00862816">
            <w:pPr>
              <w:spacing w:line="480" w:lineRule="auto"/>
              <w:rPr>
                <w:rFonts w:ascii="Calibri" w:hAnsi="Calibri"/>
                <w:bCs/>
                <w:color w:val="000000"/>
                <w:sz w:val="20"/>
                <w:szCs w:val="20"/>
                <w:lang w:eastAsia="en-GB"/>
              </w:rPr>
            </w:pPr>
            <w:r>
              <w:rPr>
                <w:rFonts w:ascii="Calibri" w:hAnsi="Calibri"/>
                <w:bCs/>
                <w:color w:val="000000"/>
                <w:sz w:val="20"/>
                <w:szCs w:val="20"/>
                <w:lang w:eastAsia="en-GB"/>
              </w:rPr>
              <w:t>0.519</w:t>
            </w:r>
          </w:p>
        </w:tc>
      </w:tr>
    </w:tbl>
    <w:p w14:paraId="4160B284" w14:textId="3F9F3935" w:rsidR="008551A2" w:rsidRDefault="008551A2" w:rsidP="008551A2">
      <w:pPr>
        <w:spacing w:line="480" w:lineRule="auto"/>
        <w:rPr>
          <w:rFonts w:ascii="Calibri" w:hAnsi="Calibri"/>
          <w:color w:val="000000"/>
          <w:sz w:val="20"/>
          <w:szCs w:val="20"/>
          <w:lang w:eastAsia="en-GB"/>
        </w:rPr>
      </w:pPr>
      <w:r w:rsidRPr="007671DE">
        <w:rPr>
          <w:rFonts w:ascii="Calibri" w:hAnsi="Calibri"/>
          <w:color w:val="000000"/>
          <w:sz w:val="20"/>
          <w:szCs w:val="20"/>
          <w:lang w:eastAsia="en-GB"/>
        </w:rPr>
        <w:t>Superscr</w:t>
      </w:r>
      <w:r>
        <w:rPr>
          <w:rFonts w:ascii="Calibri" w:hAnsi="Calibri"/>
          <w:color w:val="000000"/>
          <w:sz w:val="20"/>
          <w:szCs w:val="20"/>
          <w:lang w:eastAsia="en-GB"/>
        </w:rPr>
        <w:t>ipt letters indicate that the group</w:t>
      </w:r>
      <w:r w:rsidRPr="007671DE">
        <w:rPr>
          <w:rFonts w:ascii="Calibri" w:hAnsi="Calibri"/>
          <w:color w:val="000000"/>
          <w:sz w:val="20"/>
          <w:szCs w:val="20"/>
          <w:lang w:eastAsia="en-GB"/>
        </w:rPr>
        <w:t xml:space="preserve"> differs significantly from the other group by post hoc </w:t>
      </w:r>
      <w:r>
        <w:rPr>
          <w:rFonts w:ascii="Calibri" w:hAnsi="Calibri"/>
          <w:color w:val="000000"/>
          <w:sz w:val="20"/>
          <w:szCs w:val="20"/>
          <w:lang w:eastAsia="en-GB"/>
        </w:rPr>
        <w:t xml:space="preserve">likelihood ratio </w:t>
      </w:r>
      <w:r w:rsidR="0098722C">
        <w:rPr>
          <w:rFonts w:ascii="Calibri" w:hAnsi="Calibri"/>
          <w:color w:val="000000"/>
          <w:sz w:val="20"/>
          <w:szCs w:val="20"/>
          <w:lang w:eastAsia="en-GB"/>
        </w:rPr>
        <w:t xml:space="preserve">tests at </w:t>
      </w:r>
      <w:r w:rsidR="0098722C" w:rsidRPr="0098722C">
        <w:rPr>
          <w:rFonts w:ascii="Calibri" w:hAnsi="Calibri"/>
          <w:i/>
          <w:color w:val="000000"/>
          <w:sz w:val="20"/>
          <w:szCs w:val="20"/>
          <w:lang w:eastAsia="en-GB"/>
        </w:rPr>
        <w:t>P</w:t>
      </w:r>
      <w:r w:rsidRPr="007671DE">
        <w:rPr>
          <w:rFonts w:ascii="Calibri" w:hAnsi="Calibri"/>
          <w:color w:val="000000"/>
          <w:sz w:val="20"/>
          <w:szCs w:val="20"/>
          <w:lang w:eastAsia="en-GB"/>
        </w:rPr>
        <w:t>&lt;0.05.</w:t>
      </w:r>
      <w:r>
        <w:rPr>
          <w:rFonts w:ascii="Calibri" w:hAnsi="Calibri"/>
          <w:color w:val="000000"/>
          <w:sz w:val="20"/>
          <w:szCs w:val="20"/>
          <w:lang w:eastAsia="en-GB"/>
        </w:rPr>
        <w:t xml:space="preserve"> Other MINI mental disorders are not listed, as their prevalence did not differ s</w:t>
      </w:r>
      <w:r w:rsidR="0098722C">
        <w:rPr>
          <w:rFonts w:ascii="Calibri" w:hAnsi="Calibri"/>
          <w:color w:val="000000"/>
          <w:sz w:val="20"/>
          <w:szCs w:val="20"/>
          <w:lang w:eastAsia="en-GB"/>
        </w:rPr>
        <w:t xml:space="preserve">ignificantly between groups at </w:t>
      </w:r>
      <w:r w:rsidR="0098722C" w:rsidRPr="0098722C">
        <w:rPr>
          <w:rFonts w:ascii="Calibri" w:hAnsi="Calibri"/>
          <w:i/>
          <w:color w:val="000000"/>
          <w:sz w:val="20"/>
          <w:szCs w:val="20"/>
          <w:lang w:eastAsia="en-GB"/>
        </w:rPr>
        <w:t>P</w:t>
      </w:r>
      <w:r>
        <w:rPr>
          <w:rFonts w:ascii="Calibri" w:hAnsi="Calibri"/>
          <w:color w:val="000000"/>
          <w:sz w:val="20"/>
          <w:szCs w:val="20"/>
          <w:lang w:eastAsia="en-GB"/>
        </w:rPr>
        <w:t xml:space="preserve">&gt;0.1. </w:t>
      </w:r>
    </w:p>
    <w:p w14:paraId="35AD44E6" w14:textId="77777777" w:rsidR="008551A2" w:rsidRDefault="008551A2">
      <w:pPr>
        <w:rPr>
          <w:b/>
        </w:rPr>
      </w:pPr>
    </w:p>
    <w:p w14:paraId="53390851" w14:textId="77777777" w:rsidR="008551A2" w:rsidRPr="00ED3CCC" w:rsidRDefault="008551A2">
      <w:pPr>
        <w:rPr>
          <w:b/>
        </w:rPr>
      </w:pPr>
    </w:p>
    <w:p w14:paraId="4E00E052" w14:textId="77777777" w:rsidR="00ED3CCC" w:rsidRDefault="00ED3CCC"/>
    <w:p w14:paraId="12AA7BEA" w14:textId="77777777" w:rsidR="008551A2" w:rsidRDefault="008551A2">
      <w:pPr>
        <w:rPr>
          <w:u w:val="single"/>
        </w:rPr>
      </w:pPr>
    </w:p>
    <w:p w14:paraId="3160767B" w14:textId="77777777" w:rsidR="008551A2" w:rsidRDefault="008551A2">
      <w:pPr>
        <w:rPr>
          <w:u w:val="single"/>
        </w:rPr>
      </w:pPr>
    </w:p>
    <w:p w14:paraId="5CAE288B" w14:textId="77777777" w:rsidR="008551A2" w:rsidRDefault="008551A2">
      <w:pPr>
        <w:rPr>
          <w:u w:val="single"/>
        </w:rPr>
      </w:pPr>
    </w:p>
    <w:p w14:paraId="205650DD" w14:textId="1210B0D2" w:rsidR="008551A2" w:rsidRPr="0050772E" w:rsidRDefault="008551A2" w:rsidP="008551A2">
      <w:pPr>
        <w:spacing w:line="480" w:lineRule="auto"/>
        <w:rPr>
          <w:b/>
        </w:rPr>
      </w:pPr>
      <w:r w:rsidRPr="0050772E">
        <w:rPr>
          <w:b/>
        </w:rPr>
        <w:t>Figure S</w:t>
      </w:r>
      <w:r>
        <w:rPr>
          <w:b/>
        </w:rPr>
        <w:t>1</w:t>
      </w:r>
      <w:r w:rsidR="0098722C">
        <w:rPr>
          <w:b/>
        </w:rPr>
        <w:t>. Root m</w:t>
      </w:r>
      <w:r w:rsidRPr="0050772E">
        <w:rPr>
          <w:b/>
        </w:rPr>
        <w:t xml:space="preserve">ean PRESS plot for </w:t>
      </w:r>
      <w:r>
        <w:rPr>
          <w:b/>
        </w:rPr>
        <w:t xml:space="preserve">the initial PLS model, showing that the optimal fit in terms of minimizing PRESS was a two-factor solution. </w:t>
      </w:r>
      <w:r w:rsidR="004445A3" w:rsidRPr="004445A3">
        <w:rPr>
          <w:b/>
        </w:rPr>
        <w:t>These components maximally account for the covariation between the X and Y variables of interest. PLS is ideal for use in situations in which the X variables are correlated with each other; and when the number of variables is large relative to the number of observations</w:t>
      </w:r>
      <w:r w:rsidR="004445A3">
        <w:rPr>
          <w:b/>
        </w:rPr>
        <w:t xml:space="preserve">. </w:t>
      </w:r>
    </w:p>
    <w:p w14:paraId="2A68E522" w14:textId="77777777" w:rsidR="008551A2" w:rsidRDefault="008551A2" w:rsidP="008551A2">
      <w:pPr>
        <w:spacing w:line="480" w:lineRule="auto"/>
      </w:pPr>
      <w:r>
        <w:t xml:space="preserve"> </w:t>
      </w:r>
      <w:r w:rsidRPr="00E3366E">
        <w:rPr>
          <w:noProof/>
          <w:lang w:eastAsia="en-GB"/>
        </w:rPr>
        <w:drawing>
          <wp:inline distT="0" distB="0" distL="0" distR="0" wp14:anchorId="2B5EA711" wp14:editId="693C033A">
            <wp:extent cx="3021496" cy="3399184"/>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041225" cy="3421379"/>
                    </a:xfrm>
                    <a:prstGeom prst="rect">
                      <a:avLst/>
                    </a:prstGeom>
                  </pic:spPr>
                </pic:pic>
              </a:graphicData>
            </a:graphic>
          </wp:inline>
        </w:drawing>
      </w:r>
    </w:p>
    <w:p w14:paraId="152B21B2" w14:textId="77777777" w:rsidR="009777BB" w:rsidRDefault="009777BB">
      <w:pPr>
        <w:rPr>
          <w:b/>
        </w:rPr>
      </w:pPr>
      <w:r>
        <w:rPr>
          <w:b/>
        </w:rPr>
        <w:br w:type="page"/>
      </w:r>
    </w:p>
    <w:p w14:paraId="32B8630F" w14:textId="62DCD687" w:rsidR="008551A2" w:rsidRPr="0050772E" w:rsidRDefault="008551A2" w:rsidP="008551A2">
      <w:pPr>
        <w:spacing w:line="480" w:lineRule="auto"/>
        <w:rPr>
          <w:b/>
        </w:rPr>
      </w:pPr>
      <w:r>
        <w:rPr>
          <w:b/>
        </w:rPr>
        <w:lastRenderedPageBreak/>
        <w:t>Figure S2</w:t>
      </w:r>
      <w:r w:rsidR="00055E36">
        <w:rPr>
          <w:b/>
        </w:rPr>
        <w:t>. Root m</w:t>
      </w:r>
      <w:r w:rsidRPr="0050772E">
        <w:rPr>
          <w:b/>
        </w:rPr>
        <w:t xml:space="preserve">ean PRESS plot for </w:t>
      </w:r>
      <w:r>
        <w:rPr>
          <w:b/>
        </w:rPr>
        <w:t xml:space="preserve">the final PLS model, confirming that the optimal fit in terms of minimizing PRESS was a two-factor solution. </w:t>
      </w:r>
    </w:p>
    <w:p w14:paraId="66BD1588" w14:textId="77777777" w:rsidR="008551A2" w:rsidRDefault="008551A2" w:rsidP="004673A5">
      <w:pPr>
        <w:spacing w:line="480" w:lineRule="auto"/>
      </w:pPr>
      <w:r w:rsidRPr="00814E78">
        <w:rPr>
          <w:noProof/>
          <w:lang w:eastAsia="en-GB"/>
        </w:rPr>
        <w:drawing>
          <wp:inline distT="0" distB="0" distL="0" distR="0" wp14:anchorId="3E54AFEC" wp14:editId="51EDC122">
            <wp:extent cx="3115110" cy="3429479"/>
            <wp:effectExtent l="0" t="0" r="9525" b="0"/>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115110" cy="3429479"/>
                    </a:xfrm>
                    <a:prstGeom prst="rect">
                      <a:avLst/>
                    </a:prstGeom>
                  </pic:spPr>
                </pic:pic>
              </a:graphicData>
            </a:graphic>
          </wp:inline>
        </w:drawing>
      </w:r>
      <w:r>
        <w:br w:type="page"/>
      </w:r>
    </w:p>
    <w:p w14:paraId="7EEFEF80" w14:textId="77777777" w:rsidR="00372D60" w:rsidRDefault="00372D60" w:rsidP="00115A72">
      <w:pPr>
        <w:rPr>
          <w:b/>
        </w:rPr>
      </w:pPr>
    </w:p>
    <w:p w14:paraId="55C3ED52" w14:textId="77777777" w:rsidR="00115A72" w:rsidRDefault="00115A72"/>
    <w:p w14:paraId="58744B50" w14:textId="2B0AB440" w:rsidR="00115A72" w:rsidRPr="00FF6705" w:rsidRDefault="00A31C6B" w:rsidP="00FF6705">
      <w:pPr>
        <w:rPr>
          <w:b/>
        </w:rPr>
      </w:pPr>
      <w:r>
        <w:rPr>
          <w:b/>
        </w:rPr>
        <w:t>Figure S3</w:t>
      </w:r>
      <w:r w:rsidR="00115A72" w:rsidRPr="008551A2">
        <w:rPr>
          <w:b/>
        </w:rPr>
        <w:t>. Violin plots fo</w:t>
      </w:r>
      <w:r w:rsidR="00055E36">
        <w:rPr>
          <w:b/>
        </w:rPr>
        <w:t xml:space="preserve">r distribution of PLS2 </w:t>
      </w:r>
      <w:r w:rsidR="00115A72" w:rsidRPr="008551A2">
        <w:rPr>
          <w:b/>
        </w:rPr>
        <w:t>X scores in each grou</w:t>
      </w:r>
      <w:r w:rsidR="008551A2">
        <w:rPr>
          <w:b/>
        </w:rPr>
        <w:t xml:space="preserve">p. </w:t>
      </w:r>
      <w:r w:rsidR="00115A72" w:rsidRPr="008551A2">
        <w:rPr>
          <w:b/>
        </w:rPr>
        <w:t>The overall effect of group was statistically significant (F=19.881,df 3,248, P&lt;0.001).</w:t>
      </w:r>
      <w:r w:rsidR="00047CC9">
        <w:rPr>
          <w:b/>
        </w:rPr>
        <w:t xml:space="preserve"> For po</w:t>
      </w:r>
      <w:r w:rsidR="00055E36">
        <w:rPr>
          <w:b/>
        </w:rPr>
        <w:t>st hoc tests see main text</w:t>
      </w:r>
      <w:r w:rsidR="00047CC9">
        <w:rPr>
          <w:b/>
        </w:rPr>
        <w:t xml:space="preserve">. </w:t>
      </w:r>
      <w:r w:rsidR="00FF6705" w:rsidRPr="00B16F5A">
        <w:rPr>
          <w:b/>
          <w:highlight w:val="yellow"/>
        </w:rPr>
        <w:t>The minor component (PLS2) in the model explained 9.4% of variation in CRP, and was characterized by moderate elevation of BMI, feeling loved in childhood (high score on CTQ item 7), feeling calm (high score on STAI item 1), not wanting to change one’s family in childhood (high scores on CTQ Q10), and low scores on vegetative symptoms of depression (HAM-D items 5, 8; BDI item 15).</w:t>
      </w:r>
      <w:r w:rsidR="00FF6705">
        <w:rPr>
          <w:b/>
        </w:rPr>
        <w:t xml:space="preserve"> </w:t>
      </w:r>
    </w:p>
    <w:p w14:paraId="007A24D1" w14:textId="39BC3F17" w:rsidR="00D653ED" w:rsidRDefault="0058385F">
      <w:r w:rsidRPr="0058385F">
        <w:rPr>
          <w:noProof/>
          <w:lang w:eastAsia="en-GB"/>
        </w:rPr>
        <w:drawing>
          <wp:inline distT="0" distB="0" distL="0" distR="0" wp14:anchorId="05CD1712" wp14:editId="3D68D625">
            <wp:extent cx="4295775" cy="3314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3719" r="25050" b="3843"/>
                    <a:stretch/>
                  </pic:blipFill>
                  <pic:spPr bwMode="auto">
                    <a:xfrm>
                      <a:off x="0" y="0"/>
                      <a:ext cx="4295775" cy="33147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68E316DA" w14:textId="77777777" w:rsidR="00D653ED" w:rsidRDefault="00D653ED"/>
    <w:p w14:paraId="3B7B3034" w14:textId="77777777" w:rsidR="00E113FA" w:rsidRDefault="00E113FA">
      <w:r>
        <w:br w:type="page"/>
      </w:r>
    </w:p>
    <w:p w14:paraId="693DF0F4" w14:textId="0E473769" w:rsidR="00E113FA" w:rsidRPr="00ED0F11" w:rsidRDefault="00ED0F11">
      <w:pPr>
        <w:rPr>
          <w:b/>
        </w:rPr>
      </w:pPr>
      <w:r w:rsidRPr="00ED0F11">
        <w:rPr>
          <w:b/>
        </w:rPr>
        <w:lastRenderedPageBreak/>
        <w:t xml:space="preserve">Table S3. Sample size estimations </w:t>
      </w:r>
      <w:r>
        <w:rPr>
          <w:b/>
        </w:rPr>
        <w:t xml:space="preserve">to detect elevated BMI-corrected CRP, </w:t>
      </w:r>
      <w:r w:rsidRPr="00ED0F11">
        <w:rPr>
          <w:b/>
        </w:rPr>
        <w:t xml:space="preserve">based on </w:t>
      </w:r>
      <w:r>
        <w:rPr>
          <w:b/>
        </w:rPr>
        <w:t>observed</w:t>
      </w:r>
      <w:r w:rsidRPr="00ED0F11">
        <w:rPr>
          <w:b/>
        </w:rPr>
        <w:t xml:space="preserve"> effect sizes. </w:t>
      </w:r>
      <w:r w:rsidR="00E113FA" w:rsidRPr="00ED0F11">
        <w:t xml:space="preserve">The following table provides indications of sample sizes needed to detect a significant difference between a given MDD stratum and healthy volunteers on BMI-corrected CRP. </w:t>
      </w:r>
      <w:r w:rsidR="00C70C77" w:rsidRPr="00ED0F11">
        <w:t>Sample sizes were calculated using G*Power Software version 3.1.9.2, assuming alpha=0.05 two-tailed. For simplicity, 1:1 group allocation was assumed.</w:t>
      </w:r>
      <w:r w:rsidR="00C70C77" w:rsidRPr="00ED0F11">
        <w:rPr>
          <w:b/>
        </w:rPr>
        <w:t xml:space="preserve"> </w:t>
      </w:r>
    </w:p>
    <w:tbl>
      <w:tblPr>
        <w:tblStyle w:val="TableGrid"/>
        <w:tblW w:w="0" w:type="auto"/>
        <w:tblLook w:val="04A0" w:firstRow="1" w:lastRow="0" w:firstColumn="1" w:lastColumn="0" w:noHBand="0" w:noVBand="1"/>
      </w:tblPr>
      <w:tblGrid>
        <w:gridCol w:w="2254"/>
        <w:gridCol w:w="2254"/>
        <w:gridCol w:w="2254"/>
        <w:gridCol w:w="2254"/>
      </w:tblGrid>
      <w:tr w:rsidR="00E113FA" w14:paraId="1245C8D1" w14:textId="77777777" w:rsidTr="004160E7">
        <w:tc>
          <w:tcPr>
            <w:tcW w:w="2254" w:type="dxa"/>
            <w:vMerge w:val="restart"/>
          </w:tcPr>
          <w:p w14:paraId="71ACB4FE" w14:textId="534E7C84" w:rsidR="00E113FA" w:rsidRDefault="00E113FA">
            <w:r>
              <w:t>Depressive Stratum</w:t>
            </w:r>
          </w:p>
        </w:tc>
        <w:tc>
          <w:tcPr>
            <w:tcW w:w="2254" w:type="dxa"/>
            <w:vMerge w:val="restart"/>
          </w:tcPr>
          <w:p w14:paraId="09A86D70" w14:textId="229635CD" w:rsidR="00E113FA" w:rsidRDefault="00E113FA">
            <w:r>
              <w:t>Observed effect size (Cohen’s d) versus healthy volunteers</w:t>
            </w:r>
          </w:p>
        </w:tc>
        <w:tc>
          <w:tcPr>
            <w:tcW w:w="4508" w:type="dxa"/>
            <w:gridSpan w:val="2"/>
          </w:tcPr>
          <w:p w14:paraId="144410D0" w14:textId="5686A2BB" w:rsidR="00E113FA" w:rsidRDefault="00E113FA" w:rsidP="00C70C77">
            <w:r>
              <w:t>Sample size needed to detect significant CRP difference</w:t>
            </w:r>
          </w:p>
        </w:tc>
      </w:tr>
      <w:tr w:rsidR="00E113FA" w14:paraId="40A04114" w14:textId="77777777" w:rsidTr="00E113FA">
        <w:tc>
          <w:tcPr>
            <w:tcW w:w="2254" w:type="dxa"/>
            <w:vMerge/>
          </w:tcPr>
          <w:p w14:paraId="1A35B7D2" w14:textId="77777777" w:rsidR="00E113FA" w:rsidRDefault="00E113FA"/>
        </w:tc>
        <w:tc>
          <w:tcPr>
            <w:tcW w:w="2254" w:type="dxa"/>
            <w:vMerge/>
          </w:tcPr>
          <w:p w14:paraId="19D9A81E" w14:textId="77777777" w:rsidR="00E113FA" w:rsidRDefault="00E113FA"/>
        </w:tc>
        <w:tc>
          <w:tcPr>
            <w:tcW w:w="2254" w:type="dxa"/>
          </w:tcPr>
          <w:p w14:paraId="4E133C8C" w14:textId="7FFB5B88" w:rsidR="00E113FA" w:rsidRDefault="00E113FA">
            <w:r>
              <w:t>80% power</w:t>
            </w:r>
          </w:p>
        </w:tc>
        <w:tc>
          <w:tcPr>
            <w:tcW w:w="2254" w:type="dxa"/>
          </w:tcPr>
          <w:p w14:paraId="5306A2CC" w14:textId="2BCCE7F9" w:rsidR="00E113FA" w:rsidRDefault="00E113FA">
            <w:r>
              <w:t>90% power</w:t>
            </w:r>
          </w:p>
        </w:tc>
      </w:tr>
      <w:tr w:rsidR="00E113FA" w14:paraId="414E2E0D" w14:textId="77777777" w:rsidTr="00E113FA">
        <w:tc>
          <w:tcPr>
            <w:tcW w:w="2254" w:type="dxa"/>
          </w:tcPr>
          <w:p w14:paraId="5EED755B" w14:textId="3017937B" w:rsidR="00E113FA" w:rsidRDefault="00055E36">
            <w:r>
              <w:t>Treatment-responsive</w:t>
            </w:r>
          </w:p>
        </w:tc>
        <w:tc>
          <w:tcPr>
            <w:tcW w:w="2254" w:type="dxa"/>
          </w:tcPr>
          <w:p w14:paraId="56BBFCC6" w14:textId="3095AC8A" w:rsidR="00E113FA" w:rsidRDefault="00E113FA">
            <w:r>
              <w:t>0.29</w:t>
            </w:r>
          </w:p>
        </w:tc>
        <w:tc>
          <w:tcPr>
            <w:tcW w:w="2254" w:type="dxa"/>
          </w:tcPr>
          <w:p w14:paraId="04DD142C" w14:textId="7BC630DF" w:rsidR="00E113FA" w:rsidRDefault="00E113FA" w:rsidP="00C06056">
            <w:r>
              <w:t xml:space="preserve">188 patients, 188 </w:t>
            </w:r>
            <w:r w:rsidR="00C06056">
              <w:t>healthy volunteers</w:t>
            </w:r>
          </w:p>
        </w:tc>
        <w:tc>
          <w:tcPr>
            <w:tcW w:w="2254" w:type="dxa"/>
          </w:tcPr>
          <w:p w14:paraId="305B801A" w14:textId="7D4DC27C" w:rsidR="00E113FA" w:rsidRDefault="00E113FA" w:rsidP="00C06056">
            <w:r>
              <w:t xml:space="preserve">251 patients, 251 </w:t>
            </w:r>
            <w:r w:rsidR="00C06056">
              <w:t>healthy volunteers</w:t>
            </w:r>
          </w:p>
        </w:tc>
      </w:tr>
      <w:tr w:rsidR="00E113FA" w14:paraId="384D54DE" w14:textId="77777777" w:rsidTr="00E113FA">
        <w:tc>
          <w:tcPr>
            <w:tcW w:w="2254" w:type="dxa"/>
          </w:tcPr>
          <w:p w14:paraId="6F4982EF" w14:textId="13819706" w:rsidR="00E113FA" w:rsidRDefault="00E113FA" w:rsidP="00055E36">
            <w:r>
              <w:t xml:space="preserve">Treatment resistant </w:t>
            </w:r>
          </w:p>
        </w:tc>
        <w:tc>
          <w:tcPr>
            <w:tcW w:w="2254" w:type="dxa"/>
          </w:tcPr>
          <w:p w14:paraId="7230FF56" w14:textId="66F4AB5E" w:rsidR="00E113FA" w:rsidRDefault="00E113FA">
            <w:r>
              <w:t>0.47</w:t>
            </w:r>
          </w:p>
        </w:tc>
        <w:tc>
          <w:tcPr>
            <w:tcW w:w="2254" w:type="dxa"/>
          </w:tcPr>
          <w:p w14:paraId="5CC07177" w14:textId="2B2B0968" w:rsidR="00E113FA" w:rsidRDefault="00E113FA" w:rsidP="00C06056">
            <w:r>
              <w:t xml:space="preserve">73 patients, 73 </w:t>
            </w:r>
            <w:r w:rsidR="00C06056">
              <w:t>healthy volunteers</w:t>
            </w:r>
          </w:p>
        </w:tc>
        <w:tc>
          <w:tcPr>
            <w:tcW w:w="2254" w:type="dxa"/>
          </w:tcPr>
          <w:p w14:paraId="5DCDB95F" w14:textId="2D14A616" w:rsidR="00E113FA" w:rsidRDefault="00E113FA" w:rsidP="00C06056">
            <w:r>
              <w:t xml:space="preserve">97 patients, 97 </w:t>
            </w:r>
            <w:r w:rsidR="00C06056">
              <w:t>healthy volunteers</w:t>
            </w:r>
          </w:p>
        </w:tc>
      </w:tr>
      <w:tr w:rsidR="00E113FA" w14:paraId="3C280072" w14:textId="77777777" w:rsidTr="00E113FA">
        <w:tc>
          <w:tcPr>
            <w:tcW w:w="2254" w:type="dxa"/>
          </w:tcPr>
          <w:p w14:paraId="09BD9CF2" w14:textId="6D8B83A3" w:rsidR="00E113FA" w:rsidRDefault="00E113FA" w:rsidP="00055E36">
            <w:r>
              <w:t xml:space="preserve">Untreated </w:t>
            </w:r>
          </w:p>
        </w:tc>
        <w:tc>
          <w:tcPr>
            <w:tcW w:w="2254" w:type="dxa"/>
          </w:tcPr>
          <w:p w14:paraId="4A3AB0A7" w14:textId="3D60FD5D" w:rsidR="00E113FA" w:rsidRDefault="00E113FA">
            <w:r>
              <w:t>0.18</w:t>
            </w:r>
          </w:p>
        </w:tc>
        <w:tc>
          <w:tcPr>
            <w:tcW w:w="2254" w:type="dxa"/>
          </w:tcPr>
          <w:p w14:paraId="4897CE1C" w14:textId="0C346287" w:rsidR="00E113FA" w:rsidRDefault="00E113FA" w:rsidP="00C06056">
            <w:r>
              <w:t xml:space="preserve">486 patients, 486 </w:t>
            </w:r>
            <w:r w:rsidR="00C06056">
              <w:t>healthy volunteers</w:t>
            </w:r>
          </w:p>
        </w:tc>
        <w:tc>
          <w:tcPr>
            <w:tcW w:w="2254" w:type="dxa"/>
          </w:tcPr>
          <w:p w14:paraId="02CAE10A" w14:textId="50B481ED" w:rsidR="00E113FA" w:rsidRDefault="00E113FA" w:rsidP="00C06056">
            <w:r>
              <w:t xml:space="preserve">650 patients, 650 </w:t>
            </w:r>
            <w:r w:rsidR="00C06056">
              <w:t>healthy volunteers</w:t>
            </w:r>
          </w:p>
        </w:tc>
      </w:tr>
    </w:tbl>
    <w:p w14:paraId="3AB1A6E8" w14:textId="370D9068" w:rsidR="00E113FA" w:rsidRDefault="00E113FA"/>
    <w:p w14:paraId="4E58BF6E" w14:textId="03B975BD" w:rsidR="00FF6705" w:rsidRDefault="004160E7">
      <w:r>
        <w:br w:type="page"/>
      </w:r>
      <w:r w:rsidR="00FF6705">
        <w:lastRenderedPageBreak/>
        <w:br w:type="page"/>
      </w:r>
    </w:p>
    <w:p w14:paraId="7CE69033" w14:textId="77777777" w:rsidR="004160E7" w:rsidRDefault="004160E7"/>
    <w:p w14:paraId="4DFC5193" w14:textId="77777777" w:rsidR="00E95E01" w:rsidRPr="00E95E01" w:rsidRDefault="00D653ED" w:rsidP="00E95E01">
      <w:pPr>
        <w:pStyle w:val="EndNoteBibliographyTitle"/>
        <w:rPr>
          <w:rFonts w:ascii="Times New Roman CE" w:hAnsi="Times New Roman CE" w:cs="Times New Roman CE"/>
          <w:i/>
        </w:rPr>
      </w:pPr>
      <w:r>
        <w:fldChar w:fldCharType="begin"/>
      </w:r>
      <w:r>
        <w:instrText xml:space="preserve"> ADDIN EN.REFLIST </w:instrText>
      </w:r>
      <w:r>
        <w:fldChar w:fldCharType="separate"/>
      </w:r>
      <w:r w:rsidR="00E95E01" w:rsidRPr="00E95E01">
        <w:rPr>
          <w:rFonts w:ascii="Times New Roman CE" w:hAnsi="Times New Roman CE" w:cs="Times New Roman CE"/>
          <w:i/>
        </w:rPr>
        <w:t>References</w:t>
      </w:r>
    </w:p>
    <w:p w14:paraId="142D87ED" w14:textId="77777777" w:rsidR="00E95E01" w:rsidRPr="00E95E01" w:rsidRDefault="00E95E01" w:rsidP="00E95E01">
      <w:pPr>
        <w:pStyle w:val="EndNoteBibliographyTitle"/>
        <w:rPr>
          <w:rFonts w:ascii="Times New Roman CE" w:hAnsi="Times New Roman CE" w:cs="Times New Roman CE"/>
          <w:i/>
        </w:rPr>
      </w:pPr>
    </w:p>
    <w:p w14:paraId="7B47D33B" w14:textId="77777777" w:rsidR="00E95E01" w:rsidRPr="00E95E01" w:rsidRDefault="00E95E01" w:rsidP="00E95E01">
      <w:pPr>
        <w:pStyle w:val="EndNoteBibliography"/>
      </w:pPr>
      <w:bookmarkStart w:id="1" w:name="_ENREF_1"/>
      <w:r w:rsidRPr="00E95E01">
        <w:t xml:space="preserve">Beck AT, Beamesderfer A (1974). Assessment of depression: the depression inventory. </w:t>
      </w:r>
      <w:r w:rsidRPr="00E95E01">
        <w:rPr>
          <w:i/>
        </w:rPr>
        <w:t>Mod Probl Pharmacopsychiatry</w:t>
      </w:r>
      <w:r w:rsidRPr="00E95E01">
        <w:t xml:space="preserve"> </w:t>
      </w:r>
      <w:r w:rsidRPr="00E95E01">
        <w:rPr>
          <w:b/>
        </w:rPr>
        <w:t>7</w:t>
      </w:r>
      <w:r w:rsidRPr="00E95E01">
        <w:t>(0): 151-169.</w:t>
      </w:r>
    </w:p>
    <w:bookmarkEnd w:id="1"/>
    <w:p w14:paraId="6F38643D" w14:textId="77777777" w:rsidR="00E95E01" w:rsidRPr="00E95E01" w:rsidRDefault="00E95E01" w:rsidP="00E95E01">
      <w:pPr>
        <w:pStyle w:val="EndNoteBibliography"/>
        <w:spacing w:after="0"/>
      </w:pPr>
    </w:p>
    <w:p w14:paraId="00683B5D" w14:textId="77777777" w:rsidR="00E95E01" w:rsidRPr="00E95E01" w:rsidRDefault="00E95E01" w:rsidP="00E95E01">
      <w:pPr>
        <w:pStyle w:val="EndNoteBibliography"/>
      </w:pPr>
      <w:bookmarkStart w:id="2" w:name="_ENREF_2"/>
      <w:r w:rsidRPr="00E95E01">
        <w:t>Bernstein DP, Fink L, Handelsman L, Foote J, Lovejoy M, Wenzel K</w:t>
      </w:r>
      <w:r w:rsidRPr="00E95E01">
        <w:rPr>
          <w:i/>
        </w:rPr>
        <w:t>, et al</w:t>
      </w:r>
      <w:r w:rsidRPr="00E95E01">
        <w:t xml:space="preserve"> (1994). Initial reliability and validity of a new retrospective measure of child abuse and neglect. </w:t>
      </w:r>
      <w:r w:rsidRPr="00E95E01">
        <w:rPr>
          <w:i/>
        </w:rPr>
        <w:t>Am J Psychiatry</w:t>
      </w:r>
      <w:r w:rsidRPr="00E95E01">
        <w:t xml:space="preserve"> </w:t>
      </w:r>
      <w:r w:rsidRPr="00E95E01">
        <w:rPr>
          <w:b/>
        </w:rPr>
        <w:t>151</w:t>
      </w:r>
      <w:r w:rsidRPr="00E95E01">
        <w:t>(8): 1132-1136.</w:t>
      </w:r>
    </w:p>
    <w:bookmarkEnd w:id="2"/>
    <w:p w14:paraId="30DA3758" w14:textId="77777777" w:rsidR="00E95E01" w:rsidRPr="00E95E01" w:rsidRDefault="00E95E01" w:rsidP="00E95E01">
      <w:pPr>
        <w:pStyle w:val="EndNoteBibliography"/>
        <w:spacing w:after="0"/>
      </w:pPr>
    </w:p>
    <w:p w14:paraId="4E82DAE8" w14:textId="77777777" w:rsidR="00E95E01" w:rsidRPr="00E95E01" w:rsidRDefault="00E95E01" w:rsidP="00E95E01">
      <w:pPr>
        <w:pStyle w:val="EndNoteBibliography"/>
      </w:pPr>
      <w:bookmarkStart w:id="3" w:name="_ENREF_3"/>
      <w:r w:rsidRPr="00E95E01">
        <w:t>Chalder T, Berelowitz G, Pawlikowska T, Watts L, Wessely S, Wright D</w:t>
      </w:r>
      <w:r w:rsidRPr="00E95E01">
        <w:rPr>
          <w:i/>
        </w:rPr>
        <w:t>, et al</w:t>
      </w:r>
      <w:r w:rsidRPr="00E95E01">
        <w:t xml:space="preserve"> (1993). Development of a fatigue scale. </w:t>
      </w:r>
      <w:r w:rsidRPr="00E95E01">
        <w:rPr>
          <w:i/>
        </w:rPr>
        <w:t>J Psychosom Res</w:t>
      </w:r>
      <w:r w:rsidRPr="00E95E01">
        <w:t xml:space="preserve"> </w:t>
      </w:r>
      <w:r w:rsidRPr="00E95E01">
        <w:rPr>
          <w:b/>
        </w:rPr>
        <w:t>37</w:t>
      </w:r>
      <w:r w:rsidRPr="00E95E01">
        <w:t>(2): 147-153.</w:t>
      </w:r>
    </w:p>
    <w:bookmarkEnd w:id="3"/>
    <w:p w14:paraId="7447327F" w14:textId="77777777" w:rsidR="00E95E01" w:rsidRPr="00E95E01" w:rsidRDefault="00E95E01" w:rsidP="00E95E01">
      <w:pPr>
        <w:pStyle w:val="EndNoteBibliography"/>
        <w:spacing w:after="0"/>
      </w:pPr>
    </w:p>
    <w:p w14:paraId="40B67D2E" w14:textId="77777777" w:rsidR="00E95E01" w:rsidRPr="00E95E01" w:rsidRDefault="00E95E01" w:rsidP="00E95E01">
      <w:pPr>
        <w:pStyle w:val="EndNoteBibliography"/>
      </w:pPr>
      <w:bookmarkStart w:id="4" w:name="_ENREF_4"/>
      <w:r w:rsidRPr="00E95E01">
        <w:t>Desseilles M, Witte J, Chang TE, Iovieno N, Dording CM, Ashih H</w:t>
      </w:r>
      <w:r w:rsidRPr="00E95E01">
        <w:rPr>
          <w:i/>
        </w:rPr>
        <w:t>, et al</w:t>
      </w:r>
      <w:r w:rsidRPr="00E95E01">
        <w:t xml:space="preserve"> (2011). Assessing the adequacy of past antidepressant trials: a clinician's guide to the antidepressant treatment response questionnaire. </w:t>
      </w:r>
      <w:r w:rsidRPr="00E95E01">
        <w:rPr>
          <w:i/>
        </w:rPr>
        <w:t>J Clin Psychiatry</w:t>
      </w:r>
      <w:r w:rsidRPr="00E95E01">
        <w:t xml:space="preserve"> </w:t>
      </w:r>
      <w:r w:rsidRPr="00E95E01">
        <w:rPr>
          <w:b/>
        </w:rPr>
        <w:t>72</w:t>
      </w:r>
      <w:r w:rsidRPr="00E95E01">
        <w:t>(8): 1152-1154.</w:t>
      </w:r>
    </w:p>
    <w:bookmarkEnd w:id="4"/>
    <w:p w14:paraId="2A2A73E2" w14:textId="77777777" w:rsidR="00E95E01" w:rsidRPr="00E95E01" w:rsidRDefault="00E95E01" w:rsidP="00E95E01">
      <w:pPr>
        <w:pStyle w:val="EndNoteBibliography"/>
        <w:spacing w:after="0"/>
      </w:pPr>
    </w:p>
    <w:p w14:paraId="792C4F14" w14:textId="77777777" w:rsidR="00E95E01" w:rsidRPr="00E95E01" w:rsidRDefault="00E95E01" w:rsidP="00E95E01">
      <w:pPr>
        <w:pStyle w:val="EndNoteBibliography"/>
      </w:pPr>
      <w:bookmarkStart w:id="5" w:name="_ENREF_5"/>
      <w:r w:rsidRPr="00E95E01">
        <w:t xml:space="preserve">Hamilton M (1960). A rating scale for depression. </w:t>
      </w:r>
      <w:r w:rsidRPr="00E95E01">
        <w:rPr>
          <w:i/>
        </w:rPr>
        <w:t>J Neurol Neurosurg Psychiatry</w:t>
      </w:r>
      <w:r w:rsidRPr="00E95E01">
        <w:t xml:space="preserve"> </w:t>
      </w:r>
      <w:r w:rsidRPr="00E95E01">
        <w:rPr>
          <w:b/>
        </w:rPr>
        <w:t>23</w:t>
      </w:r>
      <w:r w:rsidRPr="00E95E01">
        <w:t>: 56-62.</w:t>
      </w:r>
    </w:p>
    <w:bookmarkEnd w:id="5"/>
    <w:p w14:paraId="1A97DAC3" w14:textId="77777777" w:rsidR="00E95E01" w:rsidRPr="00E95E01" w:rsidRDefault="00E95E01" w:rsidP="00E95E01">
      <w:pPr>
        <w:pStyle w:val="EndNoteBibliography"/>
        <w:spacing w:after="0"/>
      </w:pPr>
    </w:p>
    <w:p w14:paraId="54E40278" w14:textId="77777777" w:rsidR="00E95E01" w:rsidRPr="00E95E01" w:rsidRDefault="00E95E01" w:rsidP="00E95E01">
      <w:pPr>
        <w:pStyle w:val="EndNoteBibliography"/>
      </w:pPr>
      <w:bookmarkStart w:id="6" w:name="_ENREF_6"/>
      <w:r w:rsidRPr="00E95E01">
        <w:t xml:space="preserve">Knesevich JW, Biggs JT, Clayton PJ, Ziegler VE (1977). Validity of the Hamilton Rating Scale for depression. </w:t>
      </w:r>
      <w:r w:rsidRPr="00E95E01">
        <w:rPr>
          <w:i/>
        </w:rPr>
        <w:t>Br J Psychiatry</w:t>
      </w:r>
      <w:r w:rsidRPr="00E95E01">
        <w:t xml:space="preserve"> </w:t>
      </w:r>
      <w:r w:rsidRPr="00E95E01">
        <w:rPr>
          <w:b/>
        </w:rPr>
        <w:t>131</w:t>
      </w:r>
      <w:r w:rsidRPr="00E95E01">
        <w:t>: 49-52.</w:t>
      </w:r>
    </w:p>
    <w:bookmarkEnd w:id="6"/>
    <w:p w14:paraId="04123FA1" w14:textId="77777777" w:rsidR="00E95E01" w:rsidRPr="00E95E01" w:rsidRDefault="00E95E01" w:rsidP="00E95E01">
      <w:pPr>
        <w:pStyle w:val="EndNoteBibliography"/>
        <w:spacing w:after="0"/>
      </w:pPr>
    </w:p>
    <w:p w14:paraId="581E055A" w14:textId="77777777" w:rsidR="00E95E01" w:rsidRPr="00E95E01" w:rsidRDefault="00E95E01" w:rsidP="00E95E01">
      <w:pPr>
        <w:pStyle w:val="EndNoteBibliography"/>
      </w:pPr>
      <w:bookmarkStart w:id="7" w:name="_ENREF_7"/>
      <w:r w:rsidRPr="00E95E01">
        <w:t xml:space="preserve">Snaith RP, Hamilton M, Morley S, Humayan A, Hargreaves D, Trigwell P (1995). A scale for the assessment of hedonic tone the Snaith-Hamilton Pleasure Scale. </w:t>
      </w:r>
      <w:r w:rsidRPr="00E95E01">
        <w:rPr>
          <w:i/>
        </w:rPr>
        <w:t>Br J Psychiatry</w:t>
      </w:r>
      <w:r w:rsidRPr="00E95E01">
        <w:t xml:space="preserve"> </w:t>
      </w:r>
      <w:r w:rsidRPr="00E95E01">
        <w:rPr>
          <w:b/>
        </w:rPr>
        <w:t>167</w:t>
      </w:r>
      <w:r w:rsidRPr="00E95E01">
        <w:t>(1): 99-103.</w:t>
      </w:r>
    </w:p>
    <w:bookmarkEnd w:id="7"/>
    <w:p w14:paraId="70DC02E3" w14:textId="77777777" w:rsidR="00E95E01" w:rsidRPr="00E95E01" w:rsidRDefault="00E95E01" w:rsidP="00E95E01">
      <w:pPr>
        <w:pStyle w:val="EndNoteBibliography"/>
        <w:spacing w:after="0"/>
      </w:pPr>
    </w:p>
    <w:p w14:paraId="1C49ACD9" w14:textId="77777777" w:rsidR="00E95E01" w:rsidRPr="00E95E01" w:rsidRDefault="00E95E01" w:rsidP="00E95E01">
      <w:pPr>
        <w:pStyle w:val="EndNoteBibliography"/>
      </w:pPr>
      <w:bookmarkStart w:id="8" w:name="_ENREF_8"/>
      <w:r w:rsidRPr="00E95E01">
        <w:t xml:space="preserve">Spielberger CD, Gorsuch RL, Lushene R, Vagg PR, Jacobs GA (1983). </w:t>
      </w:r>
      <w:r w:rsidRPr="00E95E01">
        <w:rPr>
          <w:i/>
        </w:rPr>
        <w:t xml:space="preserve">Manual for the State-Trait Anxiety Inventory. </w:t>
      </w:r>
      <w:r w:rsidRPr="00E95E01">
        <w:t>Palo Alto, CA: Consulting Psychologists Press.</w:t>
      </w:r>
    </w:p>
    <w:bookmarkEnd w:id="8"/>
    <w:p w14:paraId="1F2886AF" w14:textId="77777777" w:rsidR="00E95E01" w:rsidRPr="00E95E01" w:rsidRDefault="00E95E01" w:rsidP="00E95E01">
      <w:pPr>
        <w:pStyle w:val="EndNoteBibliography"/>
        <w:spacing w:after="0"/>
      </w:pPr>
    </w:p>
    <w:p w14:paraId="1CA14211" w14:textId="77777777" w:rsidR="00E95E01" w:rsidRPr="00E95E01" w:rsidRDefault="00E95E01" w:rsidP="00E95E01">
      <w:pPr>
        <w:pStyle w:val="EndNoteBibliography"/>
      </w:pPr>
      <w:bookmarkStart w:id="9" w:name="_ENREF_9"/>
      <w:r w:rsidRPr="00E95E01">
        <w:t xml:space="preserve">Spitzer MB, Miriam G, Williams JB (1996). </w:t>
      </w:r>
      <w:r w:rsidRPr="00E95E01">
        <w:rPr>
          <w:i/>
        </w:rPr>
        <w:t>Structured Clinical Interview for DSM-IV Axis I disorders, clinician version (SCID)</w:t>
      </w:r>
      <w:r w:rsidRPr="00E95E01">
        <w:t xml:space="preserve"> Washington, D.C. : American Psychiatric Press, Inc.</w:t>
      </w:r>
    </w:p>
    <w:bookmarkEnd w:id="9"/>
    <w:p w14:paraId="7CCA6605" w14:textId="77777777" w:rsidR="00E95E01" w:rsidRPr="00E95E01" w:rsidRDefault="00E95E01" w:rsidP="00E95E01">
      <w:pPr>
        <w:pStyle w:val="EndNoteBibliography"/>
      </w:pPr>
    </w:p>
    <w:p w14:paraId="1D24E47F" w14:textId="7170506D" w:rsidR="00115A72" w:rsidRDefault="00D653ED">
      <w:r>
        <w:fldChar w:fldCharType="end"/>
      </w:r>
    </w:p>
    <w:sectPr w:rsidR="00115A72">
      <w:headerReference w:type="default" r:id="rId9"/>
      <w:footerReference w:type="even"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A5FFEA" w14:textId="77777777" w:rsidR="004633C0" w:rsidRDefault="004633C0" w:rsidP="00202AC2">
      <w:pPr>
        <w:spacing w:after="0" w:line="240" w:lineRule="auto"/>
      </w:pPr>
      <w:r>
        <w:separator/>
      </w:r>
    </w:p>
  </w:endnote>
  <w:endnote w:type="continuationSeparator" w:id="0">
    <w:p w14:paraId="2C510ADA" w14:textId="77777777" w:rsidR="004633C0" w:rsidRDefault="004633C0" w:rsidP="00202A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New Roman CE">
    <w:altName w:val="Times New Roman"/>
    <w:charset w:val="00"/>
    <w:family w:val="roman"/>
    <w:pitch w:val="variable"/>
    <w:sig w:usb0="E0002AFF" w:usb1="C0007841"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58423" w14:textId="77777777" w:rsidR="0098722C" w:rsidRDefault="0098722C" w:rsidP="0086281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8BAF4CE" w14:textId="77777777" w:rsidR="0098722C" w:rsidRDefault="0098722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71F06" w14:textId="667C1AD2" w:rsidR="0098722C" w:rsidRDefault="0098722C" w:rsidP="0086281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F089E">
      <w:rPr>
        <w:rStyle w:val="PageNumber"/>
        <w:noProof/>
      </w:rPr>
      <w:t>5</w:t>
    </w:r>
    <w:r>
      <w:rPr>
        <w:rStyle w:val="PageNumber"/>
      </w:rPr>
      <w:fldChar w:fldCharType="end"/>
    </w:r>
  </w:p>
  <w:p w14:paraId="5F2E1A18" w14:textId="77777777" w:rsidR="0098722C" w:rsidRDefault="0098722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9BF6B" w14:textId="77777777" w:rsidR="004633C0" w:rsidRDefault="004633C0" w:rsidP="00202AC2">
      <w:pPr>
        <w:spacing w:after="0" w:line="240" w:lineRule="auto"/>
      </w:pPr>
      <w:r>
        <w:separator/>
      </w:r>
    </w:p>
  </w:footnote>
  <w:footnote w:type="continuationSeparator" w:id="0">
    <w:p w14:paraId="34F3957B" w14:textId="77777777" w:rsidR="004633C0" w:rsidRDefault="004633C0" w:rsidP="00202A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5679F" w14:textId="77777777" w:rsidR="0098722C" w:rsidRDefault="0098722C">
    <w:pPr>
      <w:pStyle w:val="Header"/>
    </w:pPr>
    <w:r>
      <w:t>SUPPLEMENTAL MATERIAL</w:t>
    </w:r>
  </w:p>
  <w:p w14:paraId="46B51DD8" w14:textId="216B30ED" w:rsidR="0098722C" w:rsidRDefault="00497EDA">
    <w:pPr>
      <w:pStyle w:val="Header"/>
    </w:pPr>
    <w:r>
      <w:t>Chamberlain et al (2018</w:t>
    </w:r>
    <w:r w:rsidR="00265E52">
      <w:t>) CRP-related clinical phenotypes of depression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Neuropsychopharmacology-1 Copy&lt;/Style&gt;&lt;LeftDelim&gt;{&lt;/LeftDelim&gt;&lt;RightDelim&gt;}&lt;/RightDelim&gt;&lt;FontName&gt;Calibri&lt;/FontName&gt;&lt;FontSize&gt;11&lt;/FontSize&gt;&lt;ReflistTitle&gt;&lt;style face=&quot;italic&quot; font=&quot;Times New Roman CE&quot; charset=&quot;238&quot;&gt;References&lt;/sty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dxz20p0svpptdve29075rrsuzwa9dzp9w9we&quot;&gt;endnote library 19.2.2017 - Copy&lt;record-ids&gt;&lt;item&gt;196&lt;/item&gt;&lt;item&gt;779&lt;/item&gt;&lt;item&gt;1221&lt;/item&gt;&lt;item&gt;7813&lt;/item&gt;&lt;item&gt;7814&lt;/item&gt;&lt;item&gt;7818&lt;/item&gt;&lt;item&gt;7821&lt;/item&gt;&lt;item&gt;7822&lt;/item&gt;&lt;item&gt;7831&lt;/item&gt;&lt;/record-ids&gt;&lt;/item&gt;&lt;/Libraries&gt;"/>
  </w:docVars>
  <w:rsids>
    <w:rsidRoot w:val="00A87CC0"/>
    <w:rsid w:val="0000798D"/>
    <w:rsid w:val="00047CC9"/>
    <w:rsid w:val="00055E36"/>
    <w:rsid w:val="0007009F"/>
    <w:rsid w:val="000F1C81"/>
    <w:rsid w:val="00115A72"/>
    <w:rsid w:val="001E5736"/>
    <w:rsid w:val="001F054B"/>
    <w:rsid w:val="001F4A17"/>
    <w:rsid w:val="00202AC2"/>
    <w:rsid w:val="002042C3"/>
    <w:rsid w:val="00265E52"/>
    <w:rsid w:val="00291AB2"/>
    <w:rsid w:val="00307084"/>
    <w:rsid w:val="00372D60"/>
    <w:rsid w:val="003D16BE"/>
    <w:rsid w:val="004031F5"/>
    <w:rsid w:val="004160E7"/>
    <w:rsid w:val="004217BF"/>
    <w:rsid w:val="004445A3"/>
    <w:rsid w:val="004633C0"/>
    <w:rsid w:val="004673A5"/>
    <w:rsid w:val="00497EDA"/>
    <w:rsid w:val="004E458C"/>
    <w:rsid w:val="004F7C67"/>
    <w:rsid w:val="00507993"/>
    <w:rsid w:val="0058385F"/>
    <w:rsid w:val="006701B1"/>
    <w:rsid w:val="00712F04"/>
    <w:rsid w:val="00713628"/>
    <w:rsid w:val="00770C68"/>
    <w:rsid w:val="007D6457"/>
    <w:rsid w:val="007F6D8E"/>
    <w:rsid w:val="008551A2"/>
    <w:rsid w:val="00862816"/>
    <w:rsid w:val="008809D8"/>
    <w:rsid w:val="0093417D"/>
    <w:rsid w:val="009777BB"/>
    <w:rsid w:val="00985903"/>
    <w:rsid w:val="0098722C"/>
    <w:rsid w:val="009A5ED8"/>
    <w:rsid w:val="009B43BD"/>
    <w:rsid w:val="00A31C6B"/>
    <w:rsid w:val="00A70AB8"/>
    <w:rsid w:val="00A87CC0"/>
    <w:rsid w:val="00AA6A90"/>
    <w:rsid w:val="00B153D9"/>
    <w:rsid w:val="00B16F5A"/>
    <w:rsid w:val="00B45B04"/>
    <w:rsid w:val="00B47326"/>
    <w:rsid w:val="00B66ECF"/>
    <w:rsid w:val="00BC5291"/>
    <w:rsid w:val="00C06056"/>
    <w:rsid w:val="00C10693"/>
    <w:rsid w:val="00C70C77"/>
    <w:rsid w:val="00CC3F71"/>
    <w:rsid w:val="00CF089E"/>
    <w:rsid w:val="00D00AA7"/>
    <w:rsid w:val="00D32F60"/>
    <w:rsid w:val="00D564B0"/>
    <w:rsid w:val="00D653ED"/>
    <w:rsid w:val="00D935D0"/>
    <w:rsid w:val="00DC60C0"/>
    <w:rsid w:val="00E113FA"/>
    <w:rsid w:val="00E37091"/>
    <w:rsid w:val="00E7241F"/>
    <w:rsid w:val="00E95E01"/>
    <w:rsid w:val="00EB7702"/>
    <w:rsid w:val="00ED0F11"/>
    <w:rsid w:val="00ED3CCC"/>
    <w:rsid w:val="00F31262"/>
    <w:rsid w:val="00FF670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B36A2"/>
  <w15:docId w15:val="{74DD607F-C0B6-4C83-8E00-12FA3C7A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73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73A5"/>
    <w:rPr>
      <w:rFonts w:ascii="Tahoma" w:hAnsi="Tahoma" w:cs="Tahoma"/>
      <w:sz w:val="16"/>
      <w:szCs w:val="16"/>
    </w:rPr>
  </w:style>
  <w:style w:type="character" w:styleId="Hyperlink">
    <w:name w:val="Hyperlink"/>
    <w:basedOn w:val="DefaultParagraphFont"/>
    <w:uiPriority w:val="99"/>
    <w:unhideWhenUsed/>
    <w:rsid w:val="00D653ED"/>
    <w:rPr>
      <w:color w:val="0563C1" w:themeColor="hyperlink"/>
      <w:u w:val="single"/>
    </w:rPr>
  </w:style>
  <w:style w:type="paragraph" w:styleId="Header">
    <w:name w:val="header"/>
    <w:basedOn w:val="Normal"/>
    <w:link w:val="HeaderChar"/>
    <w:uiPriority w:val="99"/>
    <w:unhideWhenUsed/>
    <w:rsid w:val="00202AC2"/>
    <w:pPr>
      <w:tabs>
        <w:tab w:val="center" w:pos="4320"/>
        <w:tab w:val="right" w:pos="8640"/>
      </w:tabs>
      <w:spacing w:after="0" w:line="240" w:lineRule="auto"/>
    </w:pPr>
  </w:style>
  <w:style w:type="character" w:customStyle="1" w:styleId="HeaderChar">
    <w:name w:val="Header Char"/>
    <w:basedOn w:val="DefaultParagraphFont"/>
    <w:link w:val="Header"/>
    <w:uiPriority w:val="99"/>
    <w:rsid w:val="00202AC2"/>
  </w:style>
  <w:style w:type="paragraph" w:styleId="Footer">
    <w:name w:val="footer"/>
    <w:basedOn w:val="Normal"/>
    <w:link w:val="FooterChar"/>
    <w:uiPriority w:val="99"/>
    <w:unhideWhenUsed/>
    <w:rsid w:val="00202AC2"/>
    <w:pPr>
      <w:tabs>
        <w:tab w:val="center" w:pos="4320"/>
        <w:tab w:val="right" w:pos="8640"/>
      </w:tabs>
      <w:spacing w:after="0" w:line="240" w:lineRule="auto"/>
    </w:pPr>
  </w:style>
  <w:style w:type="character" w:customStyle="1" w:styleId="FooterChar">
    <w:name w:val="Footer Char"/>
    <w:basedOn w:val="DefaultParagraphFont"/>
    <w:link w:val="Footer"/>
    <w:uiPriority w:val="99"/>
    <w:rsid w:val="00202AC2"/>
  </w:style>
  <w:style w:type="character" w:styleId="PageNumber">
    <w:name w:val="page number"/>
    <w:basedOn w:val="DefaultParagraphFont"/>
    <w:uiPriority w:val="99"/>
    <w:semiHidden/>
    <w:unhideWhenUsed/>
    <w:rsid w:val="00862816"/>
  </w:style>
  <w:style w:type="table" w:styleId="TableGrid">
    <w:name w:val="Table Grid"/>
    <w:basedOn w:val="TableNormal"/>
    <w:uiPriority w:val="39"/>
    <w:rsid w:val="00E113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13628"/>
    <w:rPr>
      <w:sz w:val="18"/>
      <w:szCs w:val="18"/>
    </w:rPr>
  </w:style>
  <w:style w:type="paragraph" w:styleId="CommentText">
    <w:name w:val="annotation text"/>
    <w:basedOn w:val="Normal"/>
    <w:link w:val="CommentTextChar"/>
    <w:uiPriority w:val="99"/>
    <w:semiHidden/>
    <w:unhideWhenUsed/>
    <w:rsid w:val="00713628"/>
    <w:pPr>
      <w:spacing w:line="240" w:lineRule="auto"/>
    </w:pPr>
    <w:rPr>
      <w:sz w:val="24"/>
      <w:szCs w:val="24"/>
    </w:rPr>
  </w:style>
  <w:style w:type="character" w:customStyle="1" w:styleId="CommentTextChar">
    <w:name w:val="Comment Text Char"/>
    <w:basedOn w:val="DefaultParagraphFont"/>
    <w:link w:val="CommentText"/>
    <w:uiPriority w:val="99"/>
    <w:semiHidden/>
    <w:rsid w:val="00713628"/>
    <w:rPr>
      <w:sz w:val="24"/>
      <w:szCs w:val="24"/>
    </w:rPr>
  </w:style>
  <w:style w:type="paragraph" w:styleId="CommentSubject">
    <w:name w:val="annotation subject"/>
    <w:basedOn w:val="CommentText"/>
    <w:next w:val="CommentText"/>
    <w:link w:val="CommentSubjectChar"/>
    <w:uiPriority w:val="99"/>
    <w:semiHidden/>
    <w:unhideWhenUsed/>
    <w:rsid w:val="00713628"/>
    <w:rPr>
      <w:b/>
      <w:bCs/>
      <w:sz w:val="20"/>
      <w:szCs w:val="20"/>
    </w:rPr>
  </w:style>
  <w:style w:type="character" w:customStyle="1" w:styleId="CommentSubjectChar">
    <w:name w:val="Comment Subject Char"/>
    <w:basedOn w:val="CommentTextChar"/>
    <w:link w:val="CommentSubject"/>
    <w:uiPriority w:val="99"/>
    <w:semiHidden/>
    <w:rsid w:val="00713628"/>
    <w:rPr>
      <w:b/>
      <w:bCs/>
      <w:sz w:val="20"/>
      <w:szCs w:val="20"/>
    </w:rPr>
  </w:style>
  <w:style w:type="paragraph" w:customStyle="1" w:styleId="EndNoteBibliographyTitle">
    <w:name w:val="EndNote Bibliography Title"/>
    <w:basedOn w:val="Normal"/>
    <w:link w:val="EndNoteBibliographyTitleChar"/>
    <w:rsid w:val="00E95E01"/>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E95E01"/>
    <w:rPr>
      <w:rFonts w:ascii="Calibri" w:hAnsi="Calibri"/>
      <w:noProof/>
      <w:lang w:val="en-US"/>
    </w:rPr>
  </w:style>
  <w:style w:type="paragraph" w:customStyle="1" w:styleId="EndNoteBibliography">
    <w:name w:val="EndNote Bibliography"/>
    <w:basedOn w:val="Normal"/>
    <w:link w:val="EndNoteBibliographyChar"/>
    <w:rsid w:val="00E95E01"/>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E95E01"/>
    <w:rPr>
      <w:rFonts w:ascii="Calibri" w:hAnsi="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90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4454</Words>
  <Characters>25389</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Clinical School Computing Service</Company>
  <LinksUpToDate>false</LinksUpToDate>
  <CharactersWithSpaces>29784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Robin Chamberlain</dc:creator>
  <cp:lastModifiedBy>SRC</cp:lastModifiedBy>
  <cp:revision>3</cp:revision>
  <dcterms:created xsi:type="dcterms:W3CDTF">2018-01-15T15:10:00Z</dcterms:created>
  <dcterms:modified xsi:type="dcterms:W3CDTF">2018-01-16T13:39:00Z</dcterms:modified>
</cp:coreProperties>
</file>