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9D" w:rsidRDefault="005C019D" w:rsidP="005C019D">
      <w:pPr>
        <w:pStyle w:val="Heading1"/>
      </w:pPr>
      <w:r>
        <w:t>Supplementary Appendix 1</w:t>
      </w:r>
    </w:p>
    <w:p w:rsidR="005C019D" w:rsidRPr="00A876DE" w:rsidRDefault="005C019D" w:rsidP="005C019D">
      <w:pPr>
        <w:pStyle w:val="Heading2"/>
      </w:pPr>
      <w:r w:rsidRPr="00A876DE">
        <w:t>Coauthors who are members of the Psychosis Endophenotypes International Consortium (PEIC)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</w:rPr>
        <w:t>Maria J. Arranz</w:t>
      </w:r>
      <w:r w:rsidRPr="009B22BB">
        <w:rPr>
          <w:sz w:val="20"/>
          <w:vertAlign w:val="superscript"/>
        </w:rPr>
        <w:t>1,2</w:t>
      </w:r>
      <w:r w:rsidRPr="009B22BB">
        <w:rPr>
          <w:sz w:val="20"/>
        </w:rPr>
        <w:t>, Steven Bakker</w:t>
      </w:r>
      <w:r w:rsidRPr="009B22BB">
        <w:rPr>
          <w:sz w:val="20"/>
          <w:vertAlign w:val="superscript"/>
        </w:rPr>
        <w:t>3</w:t>
      </w:r>
      <w:r w:rsidRPr="009B22BB">
        <w:rPr>
          <w:sz w:val="20"/>
        </w:rPr>
        <w:t>, Stephan Bender</w:t>
      </w:r>
      <w:r w:rsidRPr="009B22BB">
        <w:rPr>
          <w:sz w:val="20"/>
          <w:vertAlign w:val="superscript"/>
        </w:rPr>
        <w:t>4,5</w:t>
      </w:r>
      <w:r w:rsidRPr="009B22BB">
        <w:rPr>
          <w:sz w:val="20"/>
        </w:rPr>
        <w:t>, Elvira Bramon</w:t>
      </w:r>
      <w:r w:rsidRPr="009B22BB">
        <w:rPr>
          <w:sz w:val="20"/>
          <w:vertAlign w:val="superscript"/>
        </w:rPr>
        <w:t>6,2</w:t>
      </w:r>
      <w:r w:rsidRPr="009B22BB">
        <w:rPr>
          <w:sz w:val="20"/>
        </w:rPr>
        <w:t xml:space="preserve">, </w:t>
      </w:r>
      <w:proofErr w:type="spellStart"/>
      <w:r w:rsidRPr="009B22BB">
        <w:rPr>
          <w:sz w:val="20"/>
        </w:rPr>
        <w:t>Wiepke</w:t>
      </w:r>
      <w:proofErr w:type="spellEnd"/>
      <w:r w:rsidRPr="009B22BB">
        <w:rPr>
          <w:sz w:val="20"/>
        </w:rPr>
        <w:t xml:space="preserve"> Cahn</w:t>
      </w:r>
      <w:r w:rsidRPr="009B22BB">
        <w:rPr>
          <w:sz w:val="20"/>
          <w:vertAlign w:val="superscript"/>
        </w:rPr>
        <w:t>3,</w:t>
      </w:r>
      <w:r w:rsidRPr="009B22BB">
        <w:rPr>
          <w:sz w:val="20"/>
        </w:rPr>
        <w:t xml:space="preserve"> David Collier</w:t>
      </w:r>
      <w:r w:rsidRPr="009B22BB">
        <w:rPr>
          <w:sz w:val="20"/>
          <w:vertAlign w:val="superscript"/>
        </w:rPr>
        <w:t>7,2</w:t>
      </w:r>
      <w:r w:rsidRPr="009B22BB">
        <w:rPr>
          <w:sz w:val="20"/>
        </w:rPr>
        <w:t xml:space="preserve">, </w:t>
      </w:r>
      <w:proofErr w:type="spellStart"/>
      <w:r w:rsidRPr="009B22BB">
        <w:rPr>
          <w:sz w:val="20"/>
        </w:rPr>
        <w:t>Benedicto</w:t>
      </w:r>
      <w:proofErr w:type="spellEnd"/>
      <w:r w:rsidRPr="009B22BB">
        <w:rPr>
          <w:sz w:val="20"/>
        </w:rPr>
        <w:t xml:space="preserve"> Crespo-Facorro</w:t>
      </w:r>
      <w:r w:rsidRPr="009B22BB">
        <w:rPr>
          <w:sz w:val="20"/>
          <w:vertAlign w:val="superscript"/>
        </w:rPr>
        <w:t>8,9</w:t>
      </w:r>
      <w:r w:rsidRPr="009B22BB">
        <w:rPr>
          <w:sz w:val="20"/>
        </w:rPr>
        <w:t>, Marta Di Forti</w:t>
      </w:r>
      <w:r w:rsidRPr="009B22BB">
        <w:rPr>
          <w:sz w:val="20"/>
          <w:vertAlign w:val="superscript"/>
        </w:rPr>
        <w:t>2</w:t>
      </w:r>
      <w:r w:rsidRPr="009B22BB">
        <w:rPr>
          <w:sz w:val="20"/>
        </w:rPr>
        <w:t>, Jeremy Hall</w:t>
      </w:r>
      <w:r w:rsidRPr="009B22BB">
        <w:rPr>
          <w:sz w:val="20"/>
          <w:vertAlign w:val="superscript"/>
        </w:rPr>
        <w:t>10</w:t>
      </w:r>
      <w:r w:rsidRPr="009B22BB">
        <w:rPr>
          <w:sz w:val="20"/>
        </w:rPr>
        <w:t xml:space="preserve">, </w:t>
      </w:r>
      <w:r w:rsidRPr="009B22BB">
        <w:rPr>
          <w:rFonts w:eastAsia="Times New Roman"/>
          <w:sz w:val="20"/>
        </w:rPr>
        <w:t>Mei-Hua Hall</w:t>
      </w:r>
      <w:r w:rsidRPr="009B22BB">
        <w:rPr>
          <w:sz w:val="20"/>
          <w:vertAlign w:val="superscript"/>
        </w:rPr>
        <w:t>11</w:t>
      </w:r>
      <w:r w:rsidRPr="009B22BB">
        <w:rPr>
          <w:sz w:val="20"/>
        </w:rPr>
        <w:t>, Conrad Iyegbe</w:t>
      </w:r>
      <w:r w:rsidRPr="009B22BB">
        <w:rPr>
          <w:sz w:val="20"/>
          <w:vertAlign w:val="superscript"/>
        </w:rPr>
        <w:t>2</w:t>
      </w:r>
      <w:r w:rsidRPr="009B22BB">
        <w:rPr>
          <w:sz w:val="20"/>
        </w:rPr>
        <w:t>, Assen Jablensky</w:t>
      </w:r>
      <w:r w:rsidRPr="009B22BB">
        <w:rPr>
          <w:sz w:val="20"/>
          <w:vertAlign w:val="superscript"/>
        </w:rPr>
        <w:t>12</w:t>
      </w:r>
      <w:r w:rsidRPr="009B22BB">
        <w:rPr>
          <w:sz w:val="20"/>
        </w:rPr>
        <w:t>, René S. Kahn</w:t>
      </w:r>
      <w:r w:rsidRPr="009B22BB">
        <w:rPr>
          <w:sz w:val="20"/>
          <w:vertAlign w:val="superscript"/>
        </w:rPr>
        <w:t>3</w:t>
      </w:r>
      <w:r w:rsidRPr="009B22BB">
        <w:rPr>
          <w:sz w:val="20"/>
        </w:rPr>
        <w:t>, Luba Kalaydjieva</w:t>
      </w:r>
      <w:r w:rsidRPr="009B22BB">
        <w:rPr>
          <w:sz w:val="20"/>
          <w:vertAlign w:val="superscript"/>
        </w:rPr>
        <w:t>13</w:t>
      </w:r>
      <w:r w:rsidRPr="009B22BB">
        <w:rPr>
          <w:sz w:val="20"/>
        </w:rPr>
        <w:t xml:space="preserve">, </w:t>
      </w:r>
      <w:r w:rsidRPr="009B22BB">
        <w:rPr>
          <w:rFonts w:eastAsia="Times New Roman"/>
          <w:sz w:val="20"/>
        </w:rPr>
        <w:t>Eugenia Kravariti</w:t>
      </w:r>
      <w:r w:rsidRPr="009B22BB">
        <w:rPr>
          <w:rFonts w:eastAsia="Times New Roman"/>
          <w:sz w:val="20"/>
          <w:vertAlign w:val="superscript"/>
        </w:rPr>
        <w:t>2</w:t>
      </w:r>
      <w:r w:rsidRPr="009B22BB">
        <w:rPr>
          <w:rFonts w:eastAsia="Times New Roman"/>
          <w:sz w:val="20"/>
        </w:rPr>
        <w:t xml:space="preserve">, </w:t>
      </w:r>
      <w:r w:rsidRPr="009B22BB">
        <w:rPr>
          <w:sz w:val="20"/>
        </w:rPr>
        <w:t>Stephen M Lawrie</w:t>
      </w:r>
      <w:r w:rsidRPr="009B22BB">
        <w:rPr>
          <w:sz w:val="20"/>
          <w:vertAlign w:val="superscript"/>
        </w:rPr>
        <w:t>10</w:t>
      </w:r>
      <w:r w:rsidRPr="009B22BB">
        <w:rPr>
          <w:sz w:val="20"/>
        </w:rPr>
        <w:t>, Cathryn M. Lewis</w:t>
      </w:r>
      <w:r w:rsidRPr="009B22BB">
        <w:rPr>
          <w:sz w:val="20"/>
          <w:vertAlign w:val="superscript"/>
        </w:rPr>
        <w:t>2</w:t>
      </w:r>
      <w:r w:rsidRPr="009B22BB">
        <w:rPr>
          <w:sz w:val="20"/>
        </w:rPr>
        <w:t xml:space="preserve">, </w:t>
      </w:r>
      <w:proofErr w:type="spellStart"/>
      <w:r w:rsidRPr="009B22BB">
        <w:rPr>
          <w:sz w:val="20"/>
        </w:rPr>
        <w:t>Kuang</w:t>
      </w:r>
      <w:proofErr w:type="spellEnd"/>
      <w:r w:rsidRPr="009B22BB">
        <w:rPr>
          <w:sz w:val="20"/>
        </w:rPr>
        <w:t xml:space="preserve"> Lin</w:t>
      </w:r>
      <w:r w:rsidRPr="009B22BB">
        <w:rPr>
          <w:sz w:val="20"/>
          <w:vertAlign w:val="superscript"/>
        </w:rPr>
        <w:t>2,14</w:t>
      </w:r>
      <w:r w:rsidRPr="009B22BB">
        <w:rPr>
          <w:sz w:val="20"/>
        </w:rPr>
        <w:t>, Don H. Linszen</w:t>
      </w:r>
      <w:r w:rsidRPr="009B22BB">
        <w:rPr>
          <w:sz w:val="20"/>
          <w:vertAlign w:val="superscript"/>
        </w:rPr>
        <w:t>15</w:t>
      </w:r>
      <w:r w:rsidRPr="009B22BB">
        <w:rPr>
          <w:sz w:val="20"/>
        </w:rPr>
        <w:t>, Ignacio Mata</w:t>
      </w:r>
      <w:r w:rsidRPr="009B22BB">
        <w:rPr>
          <w:sz w:val="20"/>
          <w:vertAlign w:val="superscript"/>
        </w:rPr>
        <w:t>16,9</w:t>
      </w:r>
      <w:r w:rsidRPr="009B22BB">
        <w:rPr>
          <w:sz w:val="20"/>
        </w:rPr>
        <w:t xml:space="preserve">, </w:t>
      </w:r>
      <w:r w:rsidRPr="009B22BB">
        <w:rPr>
          <w:rFonts w:eastAsia="Times New Roman"/>
          <w:sz w:val="20"/>
        </w:rPr>
        <w:t>Colm McDonald</w:t>
      </w:r>
      <w:r w:rsidRPr="009B22BB">
        <w:rPr>
          <w:sz w:val="20"/>
          <w:vertAlign w:val="superscript"/>
        </w:rPr>
        <w:t>17</w:t>
      </w:r>
      <w:r w:rsidRPr="009B22BB">
        <w:rPr>
          <w:rFonts w:eastAsia="Times New Roman"/>
          <w:sz w:val="20"/>
        </w:rPr>
        <w:t xml:space="preserve">, </w:t>
      </w:r>
      <w:r w:rsidRPr="009B22BB">
        <w:rPr>
          <w:sz w:val="20"/>
        </w:rPr>
        <w:t>Andrew M McIntosh</w:t>
      </w:r>
      <w:r w:rsidRPr="009B22BB">
        <w:rPr>
          <w:sz w:val="20"/>
          <w:vertAlign w:val="superscript"/>
        </w:rPr>
        <w:t>10,18</w:t>
      </w:r>
      <w:r w:rsidRPr="009B22BB">
        <w:rPr>
          <w:sz w:val="20"/>
        </w:rPr>
        <w:t>, Robin M. Murray</w:t>
      </w:r>
      <w:r w:rsidRPr="009B22BB">
        <w:rPr>
          <w:sz w:val="20"/>
          <w:vertAlign w:val="superscript"/>
        </w:rPr>
        <w:t>2</w:t>
      </w:r>
      <w:r w:rsidRPr="009B22BB">
        <w:rPr>
          <w:sz w:val="20"/>
        </w:rPr>
        <w:t>, Roel A. Ophoff</w:t>
      </w:r>
      <w:r w:rsidRPr="009B22BB">
        <w:rPr>
          <w:sz w:val="20"/>
          <w:vertAlign w:val="superscript"/>
        </w:rPr>
        <w:t>19</w:t>
      </w:r>
      <w:r w:rsidRPr="009B22BB">
        <w:rPr>
          <w:sz w:val="20"/>
        </w:rPr>
        <w:t xml:space="preserve">, </w:t>
      </w:r>
      <w:r w:rsidRPr="009B22BB">
        <w:rPr>
          <w:rFonts w:eastAsia="Times New Roman"/>
          <w:sz w:val="20"/>
        </w:rPr>
        <w:t>Marco Picchioni</w:t>
      </w:r>
      <w:r w:rsidRPr="009B22BB">
        <w:rPr>
          <w:rFonts w:eastAsia="Times New Roman"/>
          <w:sz w:val="20"/>
          <w:vertAlign w:val="superscript"/>
        </w:rPr>
        <w:t>2</w:t>
      </w:r>
      <w:r w:rsidRPr="009B22BB">
        <w:rPr>
          <w:rFonts w:eastAsia="Times New Roman"/>
          <w:sz w:val="20"/>
        </w:rPr>
        <w:t xml:space="preserve">, </w:t>
      </w:r>
      <w:r w:rsidRPr="009B22BB">
        <w:rPr>
          <w:sz w:val="20"/>
        </w:rPr>
        <w:t>John Powell</w:t>
      </w:r>
      <w:r w:rsidRPr="009B22BB">
        <w:rPr>
          <w:sz w:val="20"/>
          <w:vertAlign w:val="superscript"/>
        </w:rPr>
        <w:t>2</w:t>
      </w:r>
      <w:r w:rsidRPr="009B22BB">
        <w:rPr>
          <w:sz w:val="20"/>
        </w:rPr>
        <w:t>, Dan Rujescu</w:t>
      </w:r>
      <w:r w:rsidRPr="009B22BB">
        <w:rPr>
          <w:sz w:val="20"/>
          <w:vertAlign w:val="superscript"/>
        </w:rPr>
        <w:t>20,21</w:t>
      </w:r>
      <w:r w:rsidRPr="009B22BB">
        <w:rPr>
          <w:sz w:val="20"/>
        </w:rPr>
        <w:t xml:space="preserve">, </w:t>
      </w:r>
      <w:proofErr w:type="spellStart"/>
      <w:r w:rsidRPr="009B22BB">
        <w:rPr>
          <w:rFonts w:eastAsia="Times New Roman"/>
          <w:sz w:val="20"/>
        </w:rPr>
        <w:t>Timothea</w:t>
      </w:r>
      <w:proofErr w:type="spellEnd"/>
      <w:r w:rsidRPr="009B22BB">
        <w:rPr>
          <w:rFonts w:eastAsia="Times New Roman"/>
          <w:sz w:val="20"/>
        </w:rPr>
        <w:t xml:space="preserve"> Toulopoulou</w:t>
      </w:r>
      <w:r w:rsidRPr="009B22BB">
        <w:rPr>
          <w:sz w:val="20"/>
          <w:vertAlign w:val="superscript"/>
        </w:rPr>
        <w:t>2,22,23</w:t>
      </w:r>
      <w:r w:rsidRPr="009B22BB">
        <w:rPr>
          <w:rFonts w:eastAsia="Times New Roman"/>
          <w:sz w:val="20"/>
        </w:rPr>
        <w:t xml:space="preserve">, </w:t>
      </w:r>
      <w:r w:rsidRPr="009B22BB">
        <w:rPr>
          <w:sz w:val="20"/>
        </w:rPr>
        <w:t>Jim Van Os</w:t>
      </w:r>
      <w:r w:rsidRPr="009B22BB">
        <w:rPr>
          <w:sz w:val="20"/>
          <w:vertAlign w:val="superscript"/>
        </w:rPr>
        <w:t>24,2</w:t>
      </w:r>
      <w:r w:rsidRPr="009B22BB">
        <w:rPr>
          <w:sz w:val="20"/>
        </w:rPr>
        <w:t>, Muriel Walshe</w:t>
      </w:r>
      <w:r w:rsidRPr="009B22BB">
        <w:rPr>
          <w:sz w:val="20"/>
          <w:vertAlign w:val="superscript"/>
        </w:rPr>
        <w:t>6,2</w:t>
      </w:r>
      <w:r w:rsidRPr="009B22BB">
        <w:rPr>
          <w:sz w:val="20"/>
        </w:rPr>
        <w:t>, Matthias Weisbrod</w:t>
      </w:r>
      <w:r w:rsidRPr="009B22BB">
        <w:rPr>
          <w:sz w:val="20"/>
          <w:vertAlign w:val="superscript"/>
        </w:rPr>
        <w:t>25,5</w:t>
      </w:r>
      <w:r w:rsidRPr="009B22BB">
        <w:rPr>
          <w:sz w:val="20"/>
        </w:rPr>
        <w:t xml:space="preserve">, and </w:t>
      </w:r>
      <w:proofErr w:type="spellStart"/>
      <w:r w:rsidRPr="009B22BB">
        <w:rPr>
          <w:sz w:val="20"/>
        </w:rPr>
        <w:t>Durk</w:t>
      </w:r>
      <w:proofErr w:type="spellEnd"/>
      <w:r w:rsidRPr="009B22BB">
        <w:rPr>
          <w:sz w:val="20"/>
        </w:rPr>
        <w:t xml:space="preserve"> Wiersma</w:t>
      </w:r>
      <w:r w:rsidRPr="009B22BB">
        <w:rPr>
          <w:sz w:val="20"/>
          <w:vertAlign w:val="superscript"/>
        </w:rPr>
        <w:t>26</w:t>
      </w:r>
      <w:r w:rsidRPr="009B22BB">
        <w:rPr>
          <w:sz w:val="20"/>
        </w:rPr>
        <w:t>.</w:t>
      </w:r>
    </w:p>
    <w:p w:rsidR="005C019D" w:rsidRPr="009C1DFA" w:rsidRDefault="005C019D" w:rsidP="005C019D">
      <w:pPr>
        <w:pStyle w:val="Acknowledgement"/>
        <w:spacing w:line="480" w:lineRule="auto"/>
        <w:rPr>
          <w:b/>
          <w:sz w:val="20"/>
        </w:rPr>
      </w:pPr>
      <w:r w:rsidRPr="009C1DFA">
        <w:rPr>
          <w:b/>
          <w:sz w:val="20"/>
        </w:rPr>
        <w:t>PEIC affiliations: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</w:t>
      </w:r>
      <w:r w:rsidRPr="009B22BB">
        <w:rPr>
          <w:sz w:val="20"/>
        </w:rPr>
        <w:t xml:space="preserve">Fundació de </w:t>
      </w:r>
      <w:proofErr w:type="spellStart"/>
      <w:r w:rsidRPr="009B22BB">
        <w:rPr>
          <w:sz w:val="20"/>
        </w:rPr>
        <w:t>Docència</w:t>
      </w:r>
      <w:proofErr w:type="spellEnd"/>
      <w:r w:rsidRPr="009B22BB">
        <w:rPr>
          <w:sz w:val="20"/>
        </w:rPr>
        <w:t xml:space="preserve"> </w:t>
      </w:r>
      <w:proofErr w:type="spellStart"/>
      <w:r w:rsidRPr="009B22BB">
        <w:rPr>
          <w:sz w:val="20"/>
        </w:rPr>
        <w:t>i</w:t>
      </w:r>
      <w:proofErr w:type="spellEnd"/>
      <w:r w:rsidRPr="009B22BB">
        <w:rPr>
          <w:sz w:val="20"/>
        </w:rPr>
        <w:t xml:space="preserve"> </w:t>
      </w:r>
      <w:proofErr w:type="spellStart"/>
      <w:r w:rsidRPr="009B22BB">
        <w:rPr>
          <w:sz w:val="20"/>
        </w:rPr>
        <w:t>Recerca</w:t>
      </w:r>
      <w:proofErr w:type="spellEnd"/>
      <w:r w:rsidRPr="009B22BB">
        <w:rPr>
          <w:sz w:val="20"/>
        </w:rPr>
        <w:t xml:space="preserve"> </w:t>
      </w:r>
      <w:proofErr w:type="spellStart"/>
      <w:r w:rsidRPr="009B22BB">
        <w:rPr>
          <w:sz w:val="20"/>
        </w:rPr>
        <w:t>Mútua</w:t>
      </w:r>
      <w:proofErr w:type="spellEnd"/>
      <w:r w:rsidRPr="009B22BB">
        <w:rPr>
          <w:sz w:val="20"/>
        </w:rPr>
        <w:t xml:space="preserve"> de Terrassa, </w:t>
      </w:r>
      <w:proofErr w:type="spellStart"/>
      <w:r w:rsidRPr="009B22BB">
        <w:rPr>
          <w:sz w:val="20"/>
        </w:rPr>
        <w:t>Universitat</w:t>
      </w:r>
      <w:proofErr w:type="spellEnd"/>
      <w:r w:rsidRPr="009B22BB">
        <w:rPr>
          <w:sz w:val="20"/>
        </w:rPr>
        <w:t xml:space="preserve"> de Barcelona, Catalonia, Spain.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2</w:t>
      </w:r>
      <w:r w:rsidRPr="009B22BB">
        <w:rPr>
          <w:sz w:val="20"/>
        </w:rPr>
        <w:t>Institute of Psychiatry, Psychology and Neuroscience, King</w:t>
      </w:r>
      <w:r w:rsidRPr="009B22BB">
        <w:rPr>
          <w:rStyle w:val="Apos"/>
        </w:rPr>
        <w:t>’</w:t>
      </w:r>
      <w:r w:rsidRPr="009B22BB">
        <w:rPr>
          <w:sz w:val="20"/>
        </w:rPr>
        <w:t xml:space="preserve">s College London, De </w:t>
      </w:r>
      <w:proofErr w:type="spellStart"/>
      <w:r w:rsidRPr="009B22BB">
        <w:rPr>
          <w:sz w:val="20"/>
        </w:rPr>
        <w:t>Crespigny</w:t>
      </w:r>
      <w:proofErr w:type="spellEnd"/>
      <w:r w:rsidRPr="009B22BB">
        <w:rPr>
          <w:sz w:val="20"/>
        </w:rPr>
        <w:t xml:space="preserve"> Park, London SE5 8AF, UK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3</w:t>
      </w:r>
      <w:r w:rsidRPr="009B22BB">
        <w:rPr>
          <w:sz w:val="20"/>
        </w:rPr>
        <w:t xml:space="preserve">University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 Utrecht, Department of Psychiatry, Rudolf Magnus Institute of Neuroscience, The Netherlands.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4</w:t>
      </w:r>
      <w:r w:rsidRPr="009B22BB">
        <w:rPr>
          <w:sz w:val="20"/>
        </w:rPr>
        <w:t xml:space="preserve">Child and Adolescent Psychiatry, University of Technology Dresden, </w:t>
      </w:r>
      <w:proofErr w:type="spellStart"/>
      <w:r w:rsidRPr="009B22BB">
        <w:rPr>
          <w:sz w:val="20"/>
        </w:rPr>
        <w:t>Fetscherstrasse</w:t>
      </w:r>
      <w:proofErr w:type="spellEnd"/>
      <w:r w:rsidRPr="009B22BB">
        <w:rPr>
          <w:sz w:val="20"/>
        </w:rPr>
        <w:t xml:space="preserve"> 74, 01307 Dresden, Germany.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  <w:lang w:val="nl-NL"/>
        </w:rPr>
      </w:pPr>
      <w:r w:rsidRPr="009B22BB">
        <w:rPr>
          <w:sz w:val="20"/>
          <w:vertAlign w:val="superscript"/>
          <w:lang w:val="nl-NL"/>
        </w:rPr>
        <w:t>5</w:t>
      </w:r>
      <w:r w:rsidRPr="009B22BB">
        <w:rPr>
          <w:sz w:val="20"/>
          <w:lang w:val="nl-NL"/>
        </w:rPr>
        <w:t>General Psychiatry, Vossstraße 4, 69115 Heidelberg, Germany.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6</w:t>
      </w:r>
      <w:r w:rsidRPr="009B22BB">
        <w:rPr>
          <w:sz w:val="20"/>
        </w:rPr>
        <w:t>Division of Psychiatry &amp; Institute of Cognitive Neuroscience, University College London, UK.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7</w:t>
      </w:r>
      <w:r w:rsidRPr="009B22BB">
        <w:rPr>
          <w:sz w:val="20"/>
        </w:rPr>
        <w:t>Discovery Neuroscience Research, Lilly, UK.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8</w:t>
      </w:r>
      <w:r w:rsidRPr="009B22BB">
        <w:rPr>
          <w:sz w:val="20"/>
        </w:rPr>
        <w:t xml:space="preserve">University Hospital </w:t>
      </w:r>
      <w:proofErr w:type="spellStart"/>
      <w:r w:rsidRPr="009B22BB">
        <w:rPr>
          <w:sz w:val="20"/>
        </w:rPr>
        <w:t>Marqués</w:t>
      </w:r>
      <w:proofErr w:type="spellEnd"/>
      <w:r w:rsidRPr="009B22BB">
        <w:rPr>
          <w:sz w:val="20"/>
        </w:rPr>
        <w:t xml:space="preserve"> de </w:t>
      </w:r>
      <w:proofErr w:type="spellStart"/>
      <w:r w:rsidRPr="009B22BB">
        <w:rPr>
          <w:sz w:val="20"/>
        </w:rPr>
        <w:t>Valdecilla</w:t>
      </w:r>
      <w:proofErr w:type="spellEnd"/>
      <w:r w:rsidRPr="009B22BB">
        <w:rPr>
          <w:sz w:val="20"/>
        </w:rPr>
        <w:t>, IDIVAL, Department of Psychiatry, School of Medicine, University of Cantabria, Santander, Spain.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9</w:t>
      </w:r>
      <w:r w:rsidRPr="009B22BB">
        <w:rPr>
          <w:sz w:val="20"/>
        </w:rPr>
        <w:t xml:space="preserve">CIBERSAM, Centro </w:t>
      </w:r>
      <w:proofErr w:type="spellStart"/>
      <w:r w:rsidRPr="009B22BB">
        <w:rPr>
          <w:sz w:val="20"/>
        </w:rPr>
        <w:t>Investigación</w:t>
      </w:r>
      <w:proofErr w:type="spellEnd"/>
      <w:r w:rsidRPr="009B22BB">
        <w:rPr>
          <w:sz w:val="20"/>
        </w:rPr>
        <w:t xml:space="preserve"> </w:t>
      </w:r>
      <w:proofErr w:type="spellStart"/>
      <w:r w:rsidRPr="009B22BB">
        <w:rPr>
          <w:sz w:val="20"/>
        </w:rPr>
        <w:t>Biomédica</w:t>
      </w:r>
      <w:proofErr w:type="spellEnd"/>
      <w:r w:rsidRPr="009B22BB">
        <w:rPr>
          <w:sz w:val="20"/>
        </w:rPr>
        <w:t xml:space="preserve"> </w:t>
      </w:r>
      <w:proofErr w:type="spellStart"/>
      <w:r w:rsidRPr="009B22BB">
        <w:rPr>
          <w:sz w:val="20"/>
        </w:rPr>
        <w:t>en</w:t>
      </w:r>
      <w:proofErr w:type="spellEnd"/>
      <w:r w:rsidRPr="009B22BB">
        <w:rPr>
          <w:sz w:val="20"/>
        </w:rPr>
        <w:t xml:space="preserve"> Red </w:t>
      </w:r>
      <w:proofErr w:type="spellStart"/>
      <w:r w:rsidRPr="009B22BB">
        <w:rPr>
          <w:sz w:val="20"/>
        </w:rPr>
        <w:t>Salud</w:t>
      </w:r>
      <w:proofErr w:type="spellEnd"/>
      <w:r w:rsidRPr="009B22BB">
        <w:rPr>
          <w:sz w:val="20"/>
        </w:rPr>
        <w:t xml:space="preserve"> Mental, Madrid, Spain.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10</w:t>
      </w:r>
      <w:r w:rsidRPr="009B22BB">
        <w:rPr>
          <w:sz w:val="20"/>
        </w:rPr>
        <w:t>College of Biomedical and Life Sciences, Cardiff University, CF24 4HQ Cardiff, UK.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11</w:t>
      </w:r>
      <w:r w:rsidRPr="009B22BB">
        <w:rPr>
          <w:sz w:val="20"/>
        </w:rPr>
        <w:t>Mclean Hospital, Harvard Medical School, Belmont MA, USA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12</w:t>
      </w:r>
      <w:r w:rsidRPr="009B22BB">
        <w:rPr>
          <w:sz w:val="20"/>
        </w:rPr>
        <w:t>Centre for Clinical Research in Neuropsychiatry, The University of Western Australia, Perth, Australia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13</w:t>
      </w:r>
      <w:r w:rsidRPr="009B22BB">
        <w:rPr>
          <w:sz w:val="20"/>
        </w:rPr>
        <w:t>Western Australian Institute for Medical Research and Centre for Medical Research, The University of Western Australia, Perth, Australia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bookmarkStart w:id="0" w:name="rngst"/>
      <w:r w:rsidRPr="009B22BB">
        <w:rPr>
          <w:sz w:val="20"/>
          <w:vertAlign w:val="superscript"/>
        </w:rPr>
        <w:t>14</w:t>
      </w:r>
      <w:bookmarkEnd w:id="0"/>
      <w:r w:rsidRPr="009B22BB">
        <w:rPr>
          <w:sz w:val="20"/>
        </w:rPr>
        <w:t xml:space="preserve">Nuffield Department of Population Health, University of Oxford, </w:t>
      </w:r>
      <w:proofErr w:type="spellStart"/>
      <w:r w:rsidRPr="009B22BB">
        <w:rPr>
          <w:sz w:val="20"/>
        </w:rPr>
        <w:t>Ocford</w:t>
      </w:r>
      <w:proofErr w:type="spellEnd"/>
      <w:r w:rsidRPr="009B22BB">
        <w:rPr>
          <w:sz w:val="20"/>
        </w:rPr>
        <w:t>, UK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15</w:t>
      </w:r>
      <w:r w:rsidRPr="009B22BB">
        <w:rPr>
          <w:sz w:val="20"/>
        </w:rPr>
        <w:t>Academic Medical Centre University of Amsterdam, Department of Psychiatry, Amsterdam The Netherlands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16</w:t>
      </w:r>
      <w:r w:rsidRPr="009B22BB">
        <w:rPr>
          <w:sz w:val="20"/>
        </w:rPr>
        <w:t xml:space="preserve">Fundacion </w:t>
      </w:r>
      <w:proofErr w:type="spellStart"/>
      <w:r w:rsidRPr="009B22BB">
        <w:rPr>
          <w:sz w:val="20"/>
        </w:rPr>
        <w:t>Argibide</w:t>
      </w:r>
      <w:proofErr w:type="spellEnd"/>
      <w:r w:rsidRPr="009B22BB">
        <w:rPr>
          <w:sz w:val="20"/>
        </w:rPr>
        <w:t>, Pamplona, Spain.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lastRenderedPageBreak/>
        <w:t>17</w:t>
      </w:r>
      <w:r w:rsidRPr="009B22BB">
        <w:rPr>
          <w:sz w:val="20"/>
        </w:rPr>
        <w:t>The Centre for Neuroimaging &amp;Cognitive Genomics (NICOG) and NCBES Galway Neuroscience Centre, National University of Ireland Galway, Galway Ireland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18</w:t>
      </w:r>
      <w:r w:rsidRPr="009B22BB">
        <w:rPr>
          <w:sz w:val="20"/>
        </w:rPr>
        <w:t>Centre for Cognitive Ageing and Cognitive Epidemiology, University of Edinburgh, UK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19</w:t>
      </w:r>
      <w:r w:rsidRPr="009B22BB">
        <w:rPr>
          <w:sz w:val="20"/>
        </w:rPr>
        <w:t xml:space="preserve">UCLA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 for Neurobehavioral Genetics, 695 Charles E. Young Drive South, Los Angeles CA 90095, USA.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20</w:t>
      </w:r>
      <w:r w:rsidRPr="009B22BB">
        <w:rPr>
          <w:sz w:val="20"/>
        </w:rPr>
        <w:t>University of Munich, Dept. of Psychiatry, Munich, Germany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21</w:t>
      </w:r>
      <w:r w:rsidRPr="009B22BB">
        <w:rPr>
          <w:sz w:val="20"/>
        </w:rPr>
        <w:t>University of Halle, Dept. of Psychiatry, Halle, Germany.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22</w:t>
      </w:r>
      <w:r w:rsidRPr="009B22BB">
        <w:rPr>
          <w:sz w:val="20"/>
        </w:rPr>
        <w:t xml:space="preserve">Department of Psychology, </w:t>
      </w:r>
      <w:proofErr w:type="spellStart"/>
      <w:r w:rsidRPr="009B22BB">
        <w:rPr>
          <w:sz w:val="20"/>
        </w:rPr>
        <w:t>Bilkent</w:t>
      </w:r>
      <w:proofErr w:type="spellEnd"/>
      <w:r w:rsidRPr="009B22BB">
        <w:rPr>
          <w:sz w:val="20"/>
        </w:rPr>
        <w:t xml:space="preserve"> University, Main Campus, </w:t>
      </w:r>
      <w:proofErr w:type="spellStart"/>
      <w:r w:rsidRPr="009B22BB">
        <w:rPr>
          <w:sz w:val="20"/>
        </w:rPr>
        <w:t>Bilkent</w:t>
      </w:r>
      <w:proofErr w:type="spellEnd"/>
      <w:r w:rsidRPr="009B22BB">
        <w:rPr>
          <w:sz w:val="20"/>
        </w:rPr>
        <w:t>, Ankara, Turkey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23</w:t>
      </w:r>
      <w:r w:rsidRPr="009B22BB">
        <w:rPr>
          <w:sz w:val="20"/>
        </w:rPr>
        <w:t>The State Key Laboratory of Brain and Cognitive Sciences and the Department of Psychology, The University of Hong Kong, Hong Kong, China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24</w:t>
      </w:r>
      <w:r w:rsidRPr="009B22BB">
        <w:rPr>
          <w:sz w:val="20"/>
        </w:rPr>
        <w:t>Maastricht University Medical Centre, South Limburg Mental Health Research and Teaching Network, EURON, Maastricht, The Netherlands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  <w:lang w:val="nl-NL"/>
        </w:rPr>
        <w:t>25</w:t>
      </w:r>
      <w:r w:rsidRPr="009B22BB">
        <w:rPr>
          <w:sz w:val="20"/>
          <w:lang w:val="nl-NL"/>
        </w:rPr>
        <w:t xml:space="preserve">General Psychiatry and Psychotherapy, SRH Klinikum Karlsbad-Langensteinbach, Guttmannstrasse 1, </w:t>
      </w:r>
      <w:r w:rsidRPr="009B22BB">
        <w:rPr>
          <w:sz w:val="20"/>
        </w:rPr>
        <w:t xml:space="preserve">76307 </w:t>
      </w:r>
      <w:proofErr w:type="spellStart"/>
      <w:r w:rsidRPr="009B22BB">
        <w:rPr>
          <w:sz w:val="20"/>
        </w:rPr>
        <w:t>Karlsbad</w:t>
      </w:r>
      <w:proofErr w:type="spellEnd"/>
      <w:r w:rsidRPr="009B22BB">
        <w:rPr>
          <w:sz w:val="20"/>
        </w:rPr>
        <w:t>, Germany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  <w:vertAlign w:val="superscript"/>
        </w:rPr>
        <w:t>26</w:t>
      </w:r>
      <w:r w:rsidRPr="009B22BB">
        <w:rPr>
          <w:sz w:val="20"/>
        </w:rPr>
        <w:t xml:space="preserve">University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 Groningen, Department of Psychiatry, University of Groningen, The Netherlands</w:t>
      </w:r>
    </w:p>
    <w:p w:rsidR="005C019D" w:rsidRDefault="005C019D" w:rsidP="005C019D">
      <w:pPr>
        <w:pStyle w:val="Acknowledgement"/>
        <w:spacing w:line="480" w:lineRule="auto"/>
        <w:rPr>
          <w:b/>
          <w:sz w:val="20"/>
        </w:rPr>
      </w:pPr>
    </w:p>
    <w:p w:rsidR="005C019D" w:rsidRPr="009C1DFA" w:rsidRDefault="005C019D" w:rsidP="005C019D">
      <w:pPr>
        <w:pStyle w:val="Heading2"/>
      </w:pPr>
      <w:r w:rsidRPr="009C1DFA">
        <w:t>Coauthors who are members of the Genetic Risk and Outcome of Psychosis (GROUP) consortium</w:t>
      </w:r>
      <w:r>
        <w:t xml:space="preserve"> </w:t>
      </w:r>
    </w:p>
    <w:p w:rsidR="005C019D" w:rsidRPr="009B22BB" w:rsidRDefault="005C019D" w:rsidP="005C019D">
      <w:pPr>
        <w:pStyle w:val="Acknowledgement"/>
        <w:spacing w:line="480" w:lineRule="auto"/>
        <w:rPr>
          <w:sz w:val="20"/>
        </w:rPr>
      </w:pPr>
      <w:r w:rsidRPr="009B22BB">
        <w:rPr>
          <w:sz w:val="20"/>
        </w:rPr>
        <w:t xml:space="preserve">Richard </w:t>
      </w:r>
      <w:proofErr w:type="spellStart"/>
      <w:r w:rsidRPr="009B22BB">
        <w:rPr>
          <w:sz w:val="20"/>
        </w:rPr>
        <w:t>Bruggeman</w:t>
      </w:r>
      <w:proofErr w:type="spellEnd"/>
      <w:r w:rsidRPr="009B22BB">
        <w:rPr>
          <w:sz w:val="20"/>
        </w:rPr>
        <w:t xml:space="preserve">, MD, PhD, Department of Psychiatry, University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 Groningen, University of Groningen; </w:t>
      </w:r>
      <w:proofErr w:type="spellStart"/>
      <w:r w:rsidRPr="009B22BB">
        <w:rPr>
          <w:sz w:val="20"/>
        </w:rPr>
        <w:t>Wiepke</w:t>
      </w:r>
      <w:proofErr w:type="spellEnd"/>
      <w:r w:rsidRPr="009B22BB">
        <w:rPr>
          <w:sz w:val="20"/>
        </w:rPr>
        <w:t xml:space="preserve"> Cahn, MD, PhD, Department of Psychiatry, Rudolf Magnus Institute of Neuroscience, University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 Utrecht; </w:t>
      </w:r>
      <w:proofErr w:type="spellStart"/>
      <w:r w:rsidRPr="009B22BB">
        <w:rPr>
          <w:sz w:val="20"/>
        </w:rPr>
        <w:t>Lieuwe</w:t>
      </w:r>
      <w:proofErr w:type="spellEnd"/>
      <w:r w:rsidRPr="009B22BB">
        <w:rPr>
          <w:sz w:val="20"/>
        </w:rPr>
        <w:t xml:space="preserve"> de </w:t>
      </w:r>
      <w:proofErr w:type="spellStart"/>
      <w:r w:rsidRPr="009B22BB">
        <w:rPr>
          <w:sz w:val="20"/>
        </w:rPr>
        <w:t>Haan</w:t>
      </w:r>
      <w:proofErr w:type="spellEnd"/>
      <w:r w:rsidRPr="009B22BB">
        <w:rPr>
          <w:sz w:val="20"/>
        </w:rPr>
        <w:t xml:space="preserve">, MD, PhD, Department of Psychiatry, Academic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, University of Amsterdam; René S. Kahn, MD, PhD, Department of Psychiatry, Rudolf Magnus Institute of Neuroscience, University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 Utrecht, Utrecht, the Netherlands; Carin Meijer, PhD, Department of Psychiatry, Academic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, University of Amsterdam; Inez </w:t>
      </w:r>
      <w:proofErr w:type="spellStart"/>
      <w:r w:rsidRPr="009B22BB">
        <w:rPr>
          <w:sz w:val="20"/>
        </w:rPr>
        <w:t>Myin-Germeys</w:t>
      </w:r>
      <w:proofErr w:type="spellEnd"/>
      <w:r w:rsidRPr="009B22BB">
        <w:rPr>
          <w:sz w:val="20"/>
        </w:rPr>
        <w:t xml:space="preserve">, PhD, South Limburg Mental Health Research and Teaching Network, EURON, Maastricht University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; Jim van </w:t>
      </w:r>
      <w:proofErr w:type="spellStart"/>
      <w:r w:rsidRPr="009B22BB">
        <w:rPr>
          <w:sz w:val="20"/>
        </w:rPr>
        <w:t>Os</w:t>
      </w:r>
      <w:proofErr w:type="spellEnd"/>
      <w:r w:rsidRPr="009B22BB">
        <w:rPr>
          <w:sz w:val="20"/>
        </w:rPr>
        <w:t xml:space="preserve">, MD, PhD, South Limburg Mental Health Research and Teaching Network, EURON, Maastricht University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>, Maastricht, the Netherlands, and King</w:t>
      </w:r>
      <w:r w:rsidRPr="009B22BB">
        <w:rPr>
          <w:rStyle w:val="Apos"/>
        </w:rPr>
        <w:t>’</w:t>
      </w:r>
      <w:r w:rsidRPr="009B22BB">
        <w:rPr>
          <w:sz w:val="20"/>
        </w:rPr>
        <w:t>s College London, King</w:t>
      </w:r>
      <w:r w:rsidRPr="009B22BB">
        <w:rPr>
          <w:rStyle w:val="Apos"/>
        </w:rPr>
        <w:t>’</w:t>
      </w:r>
      <w:r w:rsidRPr="009B22BB">
        <w:rPr>
          <w:sz w:val="20"/>
        </w:rPr>
        <w:t xml:space="preserve">s Health Partners, Department of Psychosis Studies, Institute of Psychiatry, London, England; and </w:t>
      </w:r>
      <w:proofErr w:type="spellStart"/>
      <w:r w:rsidRPr="009B22BB">
        <w:rPr>
          <w:sz w:val="20"/>
        </w:rPr>
        <w:t>Agna</w:t>
      </w:r>
      <w:proofErr w:type="spellEnd"/>
      <w:r w:rsidRPr="009B22BB">
        <w:rPr>
          <w:sz w:val="20"/>
        </w:rPr>
        <w:t xml:space="preserve"> A. Bartels-</w:t>
      </w:r>
      <w:proofErr w:type="spellStart"/>
      <w:r w:rsidRPr="009B22BB">
        <w:rPr>
          <w:sz w:val="20"/>
        </w:rPr>
        <w:t>Velthuis</w:t>
      </w:r>
      <w:proofErr w:type="spellEnd"/>
      <w:r w:rsidRPr="009B22BB">
        <w:rPr>
          <w:sz w:val="20"/>
        </w:rPr>
        <w:t xml:space="preserve">, PhD, Department of Psychiatry, University Medical </w:t>
      </w:r>
      <w:proofErr w:type="spellStart"/>
      <w:r w:rsidRPr="009B22BB">
        <w:rPr>
          <w:sz w:val="20"/>
        </w:rPr>
        <w:t>Center</w:t>
      </w:r>
      <w:proofErr w:type="spellEnd"/>
      <w:r w:rsidRPr="009B22BB">
        <w:rPr>
          <w:sz w:val="20"/>
        </w:rPr>
        <w:t xml:space="preserve"> Groningen, University.</w:t>
      </w:r>
    </w:p>
    <w:p w:rsidR="005C019D" w:rsidRDefault="005C019D" w:rsidP="005C019D">
      <w:pPr>
        <w:pStyle w:val="Acknowledgement"/>
        <w:spacing w:line="480" w:lineRule="auto"/>
        <w:rPr>
          <w:b/>
          <w:sz w:val="20"/>
        </w:rPr>
      </w:pPr>
    </w:p>
    <w:p w:rsidR="005C019D" w:rsidRDefault="005C019D" w:rsidP="005C019D">
      <w:pPr>
        <w:pStyle w:val="Heading1"/>
      </w:pPr>
      <w:r>
        <w:t>Supplementary Appendix 2</w:t>
      </w:r>
    </w:p>
    <w:p w:rsidR="005C019D" w:rsidRPr="009C1DFA" w:rsidRDefault="005C019D" w:rsidP="005C019D">
      <w:pPr>
        <w:pStyle w:val="Acknowledgement"/>
        <w:spacing w:line="480" w:lineRule="auto"/>
        <w:rPr>
          <w:b/>
          <w:sz w:val="20"/>
        </w:rPr>
      </w:pPr>
      <w:r w:rsidRPr="009C1DFA">
        <w:rPr>
          <w:b/>
          <w:sz w:val="20"/>
        </w:rPr>
        <w:t xml:space="preserve">Membership of </w:t>
      </w:r>
      <w:proofErr w:type="spellStart"/>
      <w:r w:rsidRPr="009C1DFA">
        <w:rPr>
          <w:b/>
          <w:sz w:val="20"/>
        </w:rPr>
        <w:t>Wellcome</w:t>
      </w:r>
      <w:proofErr w:type="spellEnd"/>
      <w:r w:rsidRPr="009C1DFA">
        <w:rPr>
          <w:b/>
          <w:sz w:val="20"/>
        </w:rPr>
        <w:t xml:space="preserve"> Trust Case Control Consortium 2 (WTCCC2)</w:t>
      </w:r>
    </w:p>
    <w:p w:rsidR="005C019D" w:rsidRPr="00A876DE" w:rsidRDefault="005C019D" w:rsidP="005C019D">
      <w:pPr>
        <w:pStyle w:val="Acknowledgement"/>
        <w:spacing w:line="480" w:lineRule="auto"/>
        <w:rPr>
          <w:sz w:val="20"/>
        </w:rPr>
      </w:pPr>
      <w:r w:rsidRPr="00A876DE">
        <w:rPr>
          <w:sz w:val="20"/>
        </w:rPr>
        <w:lastRenderedPageBreak/>
        <w:t xml:space="preserve">Management Committee: Peter Donnelly (Chair), Ines Barroso (Deputy Chair), </w:t>
      </w:r>
      <w:proofErr w:type="spellStart"/>
      <w:r w:rsidRPr="00A876DE">
        <w:rPr>
          <w:sz w:val="20"/>
        </w:rPr>
        <w:t>Jenefer</w:t>
      </w:r>
      <w:proofErr w:type="spellEnd"/>
      <w:r w:rsidRPr="00A876DE">
        <w:rPr>
          <w:sz w:val="20"/>
        </w:rPr>
        <w:t xml:space="preserve"> M Blackwell, Elvira </w:t>
      </w:r>
      <w:proofErr w:type="spellStart"/>
      <w:r w:rsidRPr="00A876DE">
        <w:rPr>
          <w:sz w:val="20"/>
        </w:rPr>
        <w:t>Bramon</w:t>
      </w:r>
      <w:proofErr w:type="spellEnd"/>
      <w:r w:rsidRPr="00A876DE">
        <w:rPr>
          <w:sz w:val="20"/>
        </w:rPr>
        <w:t xml:space="preserve">, Matthew A Brown, Juan P Casas, Aiden </w:t>
      </w:r>
      <w:proofErr w:type="spellStart"/>
      <w:r w:rsidRPr="00A876DE">
        <w:rPr>
          <w:sz w:val="20"/>
        </w:rPr>
        <w:t>Corvin</w:t>
      </w:r>
      <w:proofErr w:type="spellEnd"/>
      <w:r w:rsidRPr="00A876DE">
        <w:rPr>
          <w:sz w:val="20"/>
        </w:rPr>
        <w:t xml:space="preserve">, </w:t>
      </w:r>
      <w:proofErr w:type="spellStart"/>
      <w:r w:rsidRPr="00A876DE">
        <w:rPr>
          <w:sz w:val="20"/>
        </w:rPr>
        <w:t>Panos</w:t>
      </w:r>
      <w:proofErr w:type="spellEnd"/>
      <w:r w:rsidRPr="00A876DE">
        <w:rPr>
          <w:sz w:val="20"/>
        </w:rPr>
        <w:t xml:space="preserve"> </w:t>
      </w:r>
      <w:proofErr w:type="spellStart"/>
      <w:r w:rsidRPr="00A876DE">
        <w:rPr>
          <w:sz w:val="20"/>
        </w:rPr>
        <w:t>Deloukas</w:t>
      </w:r>
      <w:proofErr w:type="spellEnd"/>
      <w:r w:rsidRPr="00A876DE">
        <w:rPr>
          <w:sz w:val="20"/>
        </w:rPr>
        <w:t xml:space="preserve">, Audrey </w:t>
      </w:r>
      <w:proofErr w:type="spellStart"/>
      <w:r w:rsidRPr="00A876DE">
        <w:rPr>
          <w:sz w:val="20"/>
        </w:rPr>
        <w:t>Duncanson</w:t>
      </w:r>
      <w:proofErr w:type="spellEnd"/>
      <w:r w:rsidRPr="00A876DE">
        <w:rPr>
          <w:sz w:val="20"/>
        </w:rPr>
        <w:t xml:space="preserve">, </w:t>
      </w:r>
      <w:proofErr w:type="spellStart"/>
      <w:r w:rsidRPr="00A876DE">
        <w:rPr>
          <w:sz w:val="20"/>
        </w:rPr>
        <w:t>Janusz</w:t>
      </w:r>
      <w:proofErr w:type="spellEnd"/>
      <w:r w:rsidRPr="00A876DE">
        <w:rPr>
          <w:sz w:val="20"/>
        </w:rPr>
        <w:t xml:space="preserve"> Jankowski, Hugh S Markus, Christopher G Mathew, Colin NA Palmer, Robert Plomin, Anna </w:t>
      </w:r>
      <w:proofErr w:type="spellStart"/>
      <w:r w:rsidRPr="00A876DE">
        <w:rPr>
          <w:sz w:val="20"/>
        </w:rPr>
        <w:t>Rautanen</w:t>
      </w:r>
      <w:proofErr w:type="spellEnd"/>
      <w:r w:rsidRPr="00A876DE">
        <w:rPr>
          <w:sz w:val="20"/>
        </w:rPr>
        <w:t xml:space="preserve">, Stephen J </w:t>
      </w:r>
      <w:proofErr w:type="spellStart"/>
      <w:r w:rsidRPr="00A876DE">
        <w:rPr>
          <w:sz w:val="20"/>
        </w:rPr>
        <w:t>Sawcer</w:t>
      </w:r>
      <w:proofErr w:type="spellEnd"/>
      <w:r w:rsidRPr="00A876DE">
        <w:rPr>
          <w:sz w:val="20"/>
        </w:rPr>
        <w:t xml:space="preserve">, Richard C </w:t>
      </w:r>
      <w:proofErr w:type="spellStart"/>
      <w:r w:rsidRPr="00A876DE">
        <w:rPr>
          <w:sz w:val="20"/>
        </w:rPr>
        <w:t>Trembath</w:t>
      </w:r>
      <w:proofErr w:type="spellEnd"/>
      <w:r w:rsidRPr="00A876DE">
        <w:rPr>
          <w:sz w:val="20"/>
        </w:rPr>
        <w:t>, Ananth C Viswanathan, Nicholas W Wood</w:t>
      </w:r>
    </w:p>
    <w:p w:rsidR="005C019D" w:rsidRPr="00A876DE" w:rsidRDefault="005C019D" w:rsidP="005C019D">
      <w:pPr>
        <w:pStyle w:val="Acknowledgement"/>
        <w:spacing w:line="480" w:lineRule="auto"/>
        <w:rPr>
          <w:sz w:val="20"/>
        </w:rPr>
      </w:pPr>
      <w:r w:rsidRPr="00A876DE">
        <w:rPr>
          <w:sz w:val="20"/>
        </w:rPr>
        <w:t xml:space="preserve">Data and Analysis Group: Chris C A Spencer, Gavin Band, Céline </w:t>
      </w:r>
      <w:proofErr w:type="spellStart"/>
      <w:r w:rsidRPr="00A876DE">
        <w:rPr>
          <w:sz w:val="20"/>
        </w:rPr>
        <w:t>Bellenguez</w:t>
      </w:r>
      <w:proofErr w:type="spellEnd"/>
      <w:r w:rsidRPr="00A876DE">
        <w:rPr>
          <w:sz w:val="20"/>
        </w:rPr>
        <w:t xml:space="preserve">, Colin Freeman, Garrett </w:t>
      </w:r>
      <w:proofErr w:type="spellStart"/>
      <w:r w:rsidRPr="00A876DE">
        <w:rPr>
          <w:sz w:val="20"/>
        </w:rPr>
        <w:t>Hellenthal</w:t>
      </w:r>
      <w:proofErr w:type="spellEnd"/>
      <w:r w:rsidRPr="00A876DE">
        <w:rPr>
          <w:sz w:val="20"/>
        </w:rPr>
        <w:t xml:space="preserve">, Eleni </w:t>
      </w:r>
      <w:proofErr w:type="spellStart"/>
      <w:r w:rsidRPr="00A876DE">
        <w:rPr>
          <w:sz w:val="20"/>
        </w:rPr>
        <w:t>Giannoulatou</w:t>
      </w:r>
      <w:proofErr w:type="spellEnd"/>
      <w:r w:rsidRPr="00A876DE">
        <w:rPr>
          <w:sz w:val="20"/>
        </w:rPr>
        <w:t xml:space="preserve">, Matti </w:t>
      </w:r>
      <w:proofErr w:type="spellStart"/>
      <w:r w:rsidRPr="00A876DE">
        <w:rPr>
          <w:sz w:val="20"/>
        </w:rPr>
        <w:t>Pirinen</w:t>
      </w:r>
      <w:proofErr w:type="spellEnd"/>
      <w:r w:rsidRPr="00A876DE">
        <w:rPr>
          <w:sz w:val="20"/>
        </w:rPr>
        <w:t xml:space="preserve">, Richard Pearson, Amy Strange, Zhan Su, </w:t>
      </w:r>
      <w:proofErr w:type="spellStart"/>
      <w:r w:rsidRPr="00A876DE">
        <w:rPr>
          <w:sz w:val="20"/>
        </w:rPr>
        <w:t>Damjan</w:t>
      </w:r>
      <w:proofErr w:type="spellEnd"/>
      <w:r w:rsidRPr="00A876DE">
        <w:rPr>
          <w:sz w:val="20"/>
        </w:rPr>
        <w:t xml:space="preserve"> </w:t>
      </w:r>
      <w:proofErr w:type="spellStart"/>
      <w:r w:rsidRPr="00A876DE">
        <w:rPr>
          <w:sz w:val="20"/>
        </w:rPr>
        <w:t>Vukcevic</w:t>
      </w:r>
      <w:proofErr w:type="spellEnd"/>
      <w:r w:rsidRPr="00A876DE">
        <w:rPr>
          <w:sz w:val="20"/>
        </w:rPr>
        <w:t>, Peter Donnelly</w:t>
      </w:r>
    </w:p>
    <w:p w:rsidR="005C019D" w:rsidRPr="00A876DE" w:rsidRDefault="005C019D" w:rsidP="005C019D">
      <w:pPr>
        <w:pStyle w:val="Acknowledgement"/>
        <w:spacing w:line="480" w:lineRule="auto"/>
        <w:rPr>
          <w:sz w:val="20"/>
        </w:rPr>
      </w:pPr>
      <w:r w:rsidRPr="00A876DE">
        <w:rPr>
          <w:sz w:val="20"/>
        </w:rPr>
        <w:t xml:space="preserve">DNA, Genotyping, Data QC and Informatics Group: Cordelia Langford, Sarah E Hunt, Sarah </w:t>
      </w:r>
      <w:proofErr w:type="spellStart"/>
      <w:r w:rsidRPr="00A876DE">
        <w:rPr>
          <w:sz w:val="20"/>
        </w:rPr>
        <w:t>Edkins</w:t>
      </w:r>
      <w:proofErr w:type="spellEnd"/>
      <w:r w:rsidRPr="00A876DE">
        <w:rPr>
          <w:sz w:val="20"/>
        </w:rPr>
        <w:t xml:space="preserve">, Rhian </w:t>
      </w:r>
      <w:proofErr w:type="spellStart"/>
      <w:r w:rsidRPr="00A876DE">
        <w:rPr>
          <w:sz w:val="20"/>
        </w:rPr>
        <w:t>Gwilliam</w:t>
      </w:r>
      <w:proofErr w:type="spellEnd"/>
      <w:r w:rsidRPr="00A876DE">
        <w:rPr>
          <w:sz w:val="20"/>
        </w:rPr>
        <w:t xml:space="preserve">, Hannah Blackburn, Suzannah J </w:t>
      </w:r>
      <w:proofErr w:type="spellStart"/>
      <w:r w:rsidRPr="00A876DE">
        <w:rPr>
          <w:sz w:val="20"/>
        </w:rPr>
        <w:t>Bumpstead</w:t>
      </w:r>
      <w:proofErr w:type="spellEnd"/>
      <w:r w:rsidRPr="00A876DE">
        <w:rPr>
          <w:sz w:val="20"/>
        </w:rPr>
        <w:t xml:space="preserve">, Serge </w:t>
      </w:r>
      <w:proofErr w:type="spellStart"/>
      <w:r w:rsidRPr="00A876DE">
        <w:rPr>
          <w:sz w:val="20"/>
        </w:rPr>
        <w:t>Dronov</w:t>
      </w:r>
      <w:proofErr w:type="spellEnd"/>
      <w:r w:rsidRPr="00A876DE">
        <w:rPr>
          <w:sz w:val="20"/>
        </w:rPr>
        <w:t xml:space="preserve">, Matthew Gillman, Emma </w:t>
      </w:r>
      <w:proofErr w:type="spellStart"/>
      <w:r w:rsidRPr="00A876DE">
        <w:rPr>
          <w:sz w:val="20"/>
        </w:rPr>
        <w:t>Gray</w:t>
      </w:r>
      <w:proofErr w:type="spellEnd"/>
      <w:r w:rsidRPr="00A876DE">
        <w:rPr>
          <w:sz w:val="20"/>
        </w:rPr>
        <w:t xml:space="preserve">, Naomi Hammond, </w:t>
      </w:r>
      <w:proofErr w:type="spellStart"/>
      <w:r w:rsidRPr="00A876DE">
        <w:rPr>
          <w:sz w:val="20"/>
        </w:rPr>
        <w:t>Alagurevathi</w:t>
      </w:r>
      <w:proofErr w:type="spellEnd"/>
      <w:r w:rsidRPr="00A876DE">
        <w:rPr>
          <w:sz w:val="20"/>
        </w:rPr>
        <w:t xml:space="preserve"> Jayakumar, Owen T McCann, Jennifer Liddle, Simon C Potter, Radhi </w:t>
      </w:r>
      <w:proofErr w:type="spellStart"/>
      <w:r w:rsidRPr="00A876DE">
        <w:rPr>
          <w:sz w:val="20"/>
        </w:rPr>
        <w:t>Ravindrarajah</w:t>
      </w:r>
      <w:proofErr w:type="spellEnd"/>
      <w:r w:rsidRPr="00A876DE">
        <w:rPr>
          <w:sz w:val="20"/>
        </w:rPr>
        <w:t xml:space="preserve">, Michelle Ricketts, </w:t>
      </w:r>
      <w:proofErr w:type="spellStart"/>
      <w:r w:rsidRPr="00A876DE">
        <w:rPr>
          <w:sz w:val="20"/>
        </w:rPr>
        <w:t>Avazeh</w:t>
      </w:r>
      <w:proofErr w:type="spellEnd"/>
      <w:r w:rsidRPr="00A876DE">
        <w:rPr>
          <w:sz w:val="20"/>
        </w:rPr>
        <w:t xml:space="preserve"> </w:t>
      </w:r>
      <w:proofErr w:type="spellStart"/>
      <w:r w:rsidRPr="00A876DE">
        <w:rPr>
          <w:sz w:val="20"/>
        </w:rPr>
        <w:t>Tashakkori-Ghanbaria</w:t>
      </w:r>
      <w:proofErr w:type="spellEnd"/>
      <w:r w:rsidRPr="00A876DE">
        <w:rPr>
          <w:sz w:val="20"/>
        </w:rPr>
        <w:t xml:space="preserve">, Matthew Waller, Paul Weston, Sara </w:t>
      </w:r>
      <w:proofErr w:type="spellStart"/>
      <w:r w:rsidRPr="00A876DE">
        <w:rPr>
          <w:sz w:val="20"/>
        </w:rPr>
        <w:t>Widaa</w:t>
      </w:r>
      <w:proofErr w:type="spellEnd"/>
      <w:r w:rsidRPr="00A876DE">
        <w:rPr>
          <w:sz w:val="20"/>
        </w:rPr>
        <w:t xml:space="preserve">, Pamela Whittaker, Ines Barroso, </w:t>
      </w:r>
      <w:proofErr w:type="spellStart"/>
      <w:r w:rsidRPr="00A876DE">
        <w:rPr>
          <w:sz w:val="20"/>
        </w:rPr>
        <w:t>Panos</w:t>
      </w:r>
      <w:proofErr w:type="spellEnd"/>
      <w:r w:rsidRPr="00A876DE">
        <w:rPr>
          <w:sz w:val="20"/>
        </w:rPr>
        <w:t xml:space="preserve"> </w:t>
      </w:r>
      <w:proofErr w:type="spellStart"/>
      <w:r w:rsidRPr="00A876DE">
        <w:rPr>
          <w:sz w:val="20"/>
        </w:rPr>
        <w:t>Deloukas</w:t>
      </w:r>
      <w:proofErr w:type="spellEnd"/>
      <w:r w:rsidRPr="00A876DE">
        <w:rPr>
          <w:sz w:val="20"/>
        </w:rPr>
        <w:t>.</w:t>
      </w:r>
    </w:p>
    <w:p w:rsidR="005C019D" w:rsidRPr="00A876DE" w:rsidRDefault="005C019D" w:rsidP="005C019D">
      <w:pPr>
        <w:pStyle w:val="Acknowledgement"/>
        <w:spacing w:line="480" w:lineRule="auto"/>
        <w:rPr>
          <w:sz w:val="20"/>
        </w:rPr>
      </w:pPr>
      <w:r w:rsidRPr="00A876DE">
        <w:rPr>
          <w:sz w:val="20"/>
        </w:rPr>
        <w:t xml:space="preserve">Publications Committee: Christopher G Mathew (Chair), </w:t>
      </w:r>
      <w:proofErr w:type="spellStart"/>
      <w:r w:rsidRPr="00A876DE">
        <w:rPr>
          <w:sz w:val="20"/>
        </w:rPr>
        <w:t>Jenefer</w:t>
      </w:r>
      <w:proofErr w:type="spellEnd"/>
      <w:r w:rsidRPr="00A876DE">
        <w:rPr>
          <w:sz w:val="20"/>
        </w:rPr>
        <w:t xml:space="preserve"> M Blackwell, Matthew A Brown, Aiden </w:t>
      </w:r>
      <w:proofErr w:type="spellStart"/>
      <w:r w:rsidRPr="00A876DE">
        <w:rPr>
          <w:sz w:val="20"/>
        </w:rPr>
        <w:t>Corvin</w:t>
      </w:r>
      <w:proofErr w:type="spellEnd"/>
      <w:r w:rsidRPr="00A876DE">
        <w:rPr>
          <w:sz w:val="20"/>
        </w:rPr>
        <w:t>, Mark I McCarthy, Chris C A Spencer</w:t>
      </w:r>
    </w:p>
    <w:p w:rsidR="005B4C88" w:rsidRDefault="005B4C88">
      <w:bookmarkStart w:id="1" w:name="_GoBack"/>
      <w:bookmarkEnd w:id="1"/>
    </w:p>
    <w:sectPr w:rsidR="005B4C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19D"/>
    <w:rsid w:val="005B4C88"/>
    <w:rsid w:val="005C019D"/>
    <w:rsid w:val="00A6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C73BCC-691F-43F5-A22F-49BEB743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SectionHeading1,Heading1"/>
    <w:link w:val="Heading1Char"/>
    <w:qFormat/>
    <w:rsid w:val="005C019D"/>
    <w:pPr>
      <w:keepNext/>
      <w:spacing w:before="60" w:after="60" w:line="240" w:lineRule="auto"/>
      <w:outlineLvl w:val="0"/>
    </w:pPr>
    <w:rPr>
      <w:rFonts w:ascii="Times New Roman" w:eastAsia="Calibri" w:hAnsi="Times New Roman" w:cs="Times New Roman"/>
      <w:iCs/>
      <w:color w:val="3333FF"/>
      <w:sz w:val="24"/>
      <w:szCs w:val="32"/>
      <w:lang w:val="en-US"/>
    </w:rPr>
  </w:style>
  <w:style w:type="paragraph" w:styleId="Heading2">
    <w:name w:val="heading 2"/>
    <w:aliases w:val="SectionHeading2"/>
    <w:link w:val="Heading2Char"/>
    <w:qFormat/>
    <w:rsid w:val="005C019D"/>
    <w:pPr>
      <w:keepNext/>
      <w:spacing w:before="60" w:after="60" w:line="240" w:lineRule="auto"/>
      <w:outlineLvl w:val="1"/>
    </w:pPr>
    <w:rPr>
      <w:rFonts w:ascii="Times New Roman" w:eastAsia="Calibri" w:hAnsi="Times New Roman" w:cs="Arial"/>
      <w:bCs/>
      <w:iCs/>
      <w:color w:val="FF0066"/>
      <w:sz w:val="24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Heading1 Char,Heading1 Char"/>
    <w:basedOn w:val="DefaultParagraphFont"/>
    <w:link w:val="Heading1"/>
    <w:rsid w:val="005C019D"/>
    <w:rPr>
      <w:rFonts w:ascii="Times New Roman" w:eastAsia="Calibri" w:hAnsi="Times New Roman" w:cs="Times New Roman"/>
      <w:iCs/>
      <w:color w:val="3333FF"/>
      <w:sz w:val="24"/>
      <w:szCs w:val="32"/>
      <w:lang w:val="en-US"/>
    </w:rPr>
  </w:style>
  <w:style w:type="character" w:customStyle="1" w:styleId="Heading2Char">
    <w:name w:val="Heading 2 Char"/>
    <w:aliases w:val="SectionHeading2 Char"/>
    <w:basedOn w:val="DefaultParagraphFont"/>
    <w:link w:val="Heading2"/>
    <w:rsid w:val="005C019D"/>
    <w:rPr>
      <w:rFonts w:ascii="Times New Roman" w:eastAsia="Calibri" w:hAnsi="Times New Roman" w:cs="Arial"/>
      <w:bCs/>
      <w:iCs/>
      <w:color w:val="FF0066"/>
      <w:sz w:val="24"/>
      <w:szCs w:val="28"/>
      <w:lang w:val="en-US"/>
    </w:rPr>
  </w:style>
  <w:style w:type="paragraph" w:customStyle="1" w:styleId="Acknowledgement">
    <w:name w:val="Acknowledgement"/>
    <w:basedOn w:val="FootnoteText"/>
    <w:rsid w:val="005C019D"/>
    <w:pPr>
      <w:jc w:val="both"/>
    </w:pPr>
    <w:rPr>
      <w:rFonts w:ascii="Times New Roman" w:eastAsia="Calibri" w:hAnsi="Times New Roman" w:cs="Times New Roman"/>
      <w:sz w:val="22"/>
      <w:lang w:eastAsia="fr-FR"/>
    </w:rPr>
  </w:style>
  <w:style w:type="character" w:customStyle="1" w:styleId="Apos">
    <w:name w:val="Apos"/>
    <w:rsid w:val="005C019D"/>
    <w:rPr>
      <w:color w:val="FF00FF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1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1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Welch</dc:creator>
  <cp:keywords/>
  <dc:description/>
  <cp:lastModifiedBy>Annalisa Welch</cp:lastModifiedBy>
  <cp:revision>1</cp:revision>
  <dcterms:created xsi:type="dcterms:W3CDTF">2018-04-23T09:43:00Z</dcterms:created>
  <dcterms:modified xsi:type="dcterms:W3CDTF">2018-04-23T09:44:00Z</dcterms:modified>
</cp:coreProperties>
</file>