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581E3D" w14:textId="07CEA9BE" w:rsidR="00990CCB" w:rsidRPr="00610FC9" w:rsidRDefault="000403D4" w:rsidP="000403D4">
      <w:pPr>
        <w:jc w:val="both"/>
        <w:rPr>
          <w:rFonts w:ascii="Times New Roman" w:hAnsi="Times New Roman"/>
          <w:sz w:val="22"/>
          <w:szCs w:val="22"/>
        </w:rPr>
      </w:pPr>
      <w:r w:rsidRPr="00610FC9">
        <w:rPr>
          <w:rFonts w:ascii="Times New Roman" w:hAnsi="Times New Roman"/>
          <w:b/>
          <w:sz w:val="22"/>
          <w:szCs w:val="22"/>
        </w:rPr>
        <w:t>Supplementary Table 3</w:t>
      </w:r>
      <w:r w:rsidR="00610FC9" w:rsidRPr="00610FC9">
        <w:rPr>
          <w:rFonts w:ascii="Times New Roman" w:hAnsi="Times New Roman"/>
          <w:sz w:val="22"/>
          <w:szCs w:val="22"/>
        </w:rPr>
        <w:t>:</w:t>
      </w:r>
      <w:r w:rsidRPr="00610FC9">
        <w:rPr>
          <w:rFonts w:ascii="Times New Roman" w:hAnsi="Times New Roman"/>
          <w:sz w:val="22"/>
          <w:szCs w:val="22"/>
        </w:rPr>
        <w:t xml:space="preserve"> results of enrichment analysis for the genes located in the regions of variants with suggestive p values (p&lt;5e-06)</w:t>
      </w:r>
      <w:r w:rsidR="00AD3E16" w:rsidRPr="00610FC9">
        <w:rPr>
          <w:rFonts w:ascii="Times New Roman" w:hAnsi="Times New Roman"/>
          <w:sz w:val="22"/>
          <w:szCs w:val="22"/>
        </w:rPr>
        <w:t xml:space="preserve"> for association with </w:t>
      </w:r>
      <w:r w:rsidR="00B61342">
        <w:rPr>
          <w:rFonts w:ascii="Times New Roman" w:hAnsi="Times New Roman"/>
          <w:sz w:val="22"/>
          <w:szCs w:val="22"/>
        </w:rPr>
        <w:t>the phenotypes of interest</w:t>
      </w:r>
      <w:r w:rsidR="005863FB">
        <w:rPr>
          <w:rFonts w:ascii="Times New Roman" w:hAnsi="Times New Roman"/>
          <w:sz w:val="22"/>
          <w:szCs w:val="22"/>
        </w:rPr>
        <w:t xml:space="preserve"> in GSRD</w:t>
      </w:r>
      <w:r w:rsidRPr="00610FC9">
        <w:rPr>
          <w:rFonts w:ascii="Times New Roman" w:hAnsi="Times New Roman"/>
          <w:sz w:val="22"/>
          <w:szCs w:val="22"/>
        </w:rPr>
        <w:t xml:space="preserve">. </w:t>
      </w:r>
      <w:r w:rsidR="006562EA" w:rsidRPr="00610FC9">
        <w:rPr>
          <w:rFonts w:ascii="Times New Roman" w:hAnsi="Times New Roman"/>
          <w:sz w:val="22"/>
          <w:szCs w:val="22"/>
        </w:rPr>
        <w:t xml:space="preserve">N genes=n genes in each set; N overlap=n genes that overlap with the genes of </w:t>
      </w:r>
      <w:r w:rsidR="007E3CED" w:rsidRPr="00610FC9">
        <w:rPr>
          <w:rFonts w:ascii="Times New Roman" w:hAnsi="Times New Roman"/>
          <w:sz w:val="22"/>
          <w:szCs w:val="22"/>
        </w:rPr>
        <w:t xml:space="preserve">interest (those in the regions carrying polymorphisms with suggestive associations); adj. p=FDR corrected p value. </w:t>
      </w:r>
      <w:bookmarkStart w:id="0" w:name="_GoBack"/>
      <w:bookmarkEnd w:id="0"/>
      <w:r w:rsidR="007E3CED" w:rsidRPr="00610FC9">
        <w:rPr>
          <w:rFonts w:ascii="Times New Roman" w:hAnsi="Times New Roman"/>
          <w:sz w:val="22"/>
          <w:szCs w:val="22"/>
        </w:rPr>
        <w:t xml:space="preserve">Gene sets were downloaded from </w:t>
      </w:r>
      <w:hyperlink r:id="rId5" w:history="1">
        <w:r w:rsidR="007E3CED" w:rsidRPr="00610FC9">
          <w:rPr>
            <w:rStyle w:val="Collegamentoipertestuale"/>
            <w:rFonts w:ascii="Times New Roman" w:hAnsi="Times New Roman"/>
            <w:sz w:val="22"/>
            <w:szCs w:val="22"/>
          </w:rPr>
          <w:t>http</w:t>
        </w:r>
        <w:r w:rsidR="00610FC9" w:rsidRPr="00610FC9">
          <w:rPr>
            <w:rStyle w:val="Collegamentoipertestuale"/>
            <w:rFonts w:ascii="Times New Roman" w:hAnsi="Times New Roman"/>
            <w:sz w:val="22"/>
            <w:szCs w:val="22"/>
          </w:rPr>
          <w:t>.</w:t>
        </w:r>
        <w:r w:rsidR="007E3CED" w:rsidRPr="00610FC9">
          <w:rPr>
            <w:rStyle w:val="Collegamentoipertestuale"/>
            <w:rFonts w:ascii="Times New Roman" w:hAnsi="Times New Roman"/>
            <w:sz w:val="22"/>
            <w:szCs w:val="22"/>
          </w:rPr>
          <w:t>//www.broadinstitute.org/gsea/</w:t>
        </w:r>
      </w:hyperlink>
      <w:r w:rsidR="007E3CED" w:rsidRPr="00610FC9">
        <w:rPr>
          <w:rFonts w:ascii="Times New Roman" w:hAnsi="Times New Roman"/>
          <w:sz w:val="22"/>
          <w:szCs w:val="22"/>
        </w:rPr>
        <w:t xml:space="preserve">. For further methodological details see </w:t>
      </w:r>
      <w:r w:rsidR="007E3CED" w:rsidRPr="00610FC9">
        <w:rPr>
          <w:rFonts w:ascii="Times New Roman" w:hAnsi="Times New Roman"/>
          <w:sz w:val="22"/>
          <w:szCs w:val="22"/>
        </w:rPr>
        <w:fldChar w:fldCharType="begin"/>
      </w:r>
      <w:r w:rsidR="007E3CED" w:rsidRPr="00610FC9">
        <w:rPr>
          <w:rFonts w:ascii="Times New Roman" w:hAnsi="Times New Roman"/>
          <w:sz w:val="22"/>
          <w:szCs w:val="22"/>
        </w:rPr>
        <w:instrText xml:space="preserve"> ADDIN ZOTERO_ITEM CSL_CITATION {"citationID":"OPnIwbfh","properties":{"formattedCitation":"(Watanabe et al., 2017)","plainCitation":"(Watanabe et al., 2017)","noteIndex":0},"citationItems":[{"id":1736,"uris":["http://zotero.org/users/3602510/items/ESJDN56T"],"uri":["http://zotero.org/users/3602510/items/ESJDN56T"],"itemData":{"id":1736,"type":"article-journal","title":"Functional mapping and annotation of genetic associations with FUMA","container-title":"Nature Communications","page":"1826","volume":"8","issue":"1","source":"PubMed","abstract":"A main challenge in genome-wide association studies (GWAS) is to pinpoint possible causal variants. Results from GWAS typically do not directly translate into causal variants because the majority of hits are in non-coding or intergenic regions, and the presence of linkage disequilibrium leads to effects being statistically spread out across multiple variants. Post-GWAS annotation facilitates the selection of most likely causal variant(s). Multiple resources are available for post-GWAS annotation, yet these can be time consuming and do not provide integrated visual aids for data interpretation. We, therefore, develop FUMA: an integrative web-based platform using information from multiple biological resources to facilitate functional annotation of GWAS results, gene prioritization and interactive visualization. FUMA accommodates positional, expression quantitative trait loci (eQTL) and chromatin interaction mappings, and provides gene-based, pathway and tissue enrichment results. FUMA results directly aid in generating hypotheses that are testable in functional experiments aimed at proving causal relations.","DOI":"10.1038/s41467-017-01261-5","ISSN":"2041-1723","note":"PMID: 29184056\nPMCID: PMC5705698","journalAbbreviation":"Nat Commun","language":"eng","author":[{"family":"Watanabe","given":"Kyoko"},{"family":"Taskesen","given":"Erdogan"},{"family":"Bochoven","given":"Arjen","non-dropping-particle":"van"},{"family":"Posthuma","given":"Danielle"}],"issued":{"date-parts":[["2017",11,28]]}}}],"schema":"https://github.com/citation-style-language/schema/raw/master/csl-citation.json"} </w:instrText>
      </w:r>
      <w:r w:rsidR="007E3CED" w:rsidRPr="00610FC9">
        <w:rPr>
          <w:rFonts w:ascii="Times New Roman" w:hAnsi="Times New Roman"/>
          <w:sz w:val="22"/>
          <w:szCs w:val="22"/>
        </w:rPr>
        <w:fldChar w:fldCharType="separate"/>
      </w:r>
      <w:r w:rsidR="007E3CED" w:rsidRPr="00610FC9">
        <w:rPr>
          <w:rFonts w:ascii="Times New Roman" w:hAnsi="Times New Roman"/>
          <w:noProof/>
          <w:sz w:val="22"/>
          <w:szCs w:val="22"/>
        </w:rPr>
        <w:t>(Watanabe et al.</w:t>
      </w:r>
      <w:r w:rsidR="00610FC9" w:rsidRPr="00610FC9">
        <w:rPr>
          <w:rFonts w:ascii="Times New Roman" w:hAnsi="Times New Roman"/>
          <w:noProof/>
          <w:sz w:val="22"/>
          <w:szCs w:val="22"/>
        </w:rPr>
        <w:t>,</w:t>
      </w:r>
      <w:r w:rsidR="007E3CED" w:rsidRPr="00610FC9">
        <w:rPr>
          <w:rFonts w:ascii="Times New Roman" w:hAnsi="Times New Roman"/>
          <w:noProof/>
          <w:sz w:val="22"/>
          <w:szCs w:val="22"/>
        </w:rPr>
        <w:t xml:space="preserve"> 2017)</w:t>
      </w:r>
      <w:r w:rsidR="007E3CED" w:rsidRPr="00610FC9">
        <w:rPr>
          <w:rFonts w:ascii="Times New Roman" w:hAnsi="Times New Roman"/>
          <w:sz w:val="22"/>
          <w:szCs w:val="22"/>
        </w:rPr>
        <w:fldChar w:fldCharType="end"/>
      </w:r>
      <w:r w:rsidR="007E3CED" w:rsidRPr="00610FC9">
        <w:rPr>
          <w:rFonts w:ascii="Times New Roman" w:hAnsi="Times New Roman"/>
          <w:sz w:val="22"/>
          <w:szCs w:val="22"/>
        </w:rPr>
        <w:t xml:space="preserve">. </w:t>
      </w:r>
    </w:p>
    <w:p w14:paraId="7F55DB16" w14:textId="40EDA341" w:rsidR="000403D4" w:rsidRPr="00610FC9" w:rsidRDefault="000403D4" w:rsidP="000403D4">
      <w:pPr>
        <w:jc w:val="both"/>
        <w:rPr>
          <w:rFonts w:ascii="Times New Roman" w:hAnsi="Times New Roman"/>
          <w:sz w:val="22"/>
          <w:szCs w:val="22"/>
        </w:rPr>
      </w:pPr>
    </w:p>
    <w:tbl>
      <w:tblPr>
        <w:tblW w:w="14332" w:type="dxa"/>
        <w:tblInd w:w="55" w:type="dxa"/>
        <w:tblLayout w:type="fixed"/>
        <w:tblCellMar>
          <w:left w:w="70" w:type="dxa"/>
          <w:right w:w="70" w:type="dxa"/>
        </w:tblCellMar>
        <w:tblLook w:val="04A0" w:firstRow="1" w:lastRow="0" w:firstColumn="1" w:lastColumn="0" w:noHBand="0" w:noVBand="1"/>
      </w:tblPr>
      <w:tblGrid>
        <w:gridCol w:w="1575"/>
        <w:gridCol w:w="2126"/>
        <w:gridCol w:w="2551"/>
        <w:gridCol w:w="993"/>
        <w:gridCol w:w="1134"/>
        <w:gridCol w:w="992"/>
        <w:gridCol w:w="1134"/>
        <w:gridCol w:w="3827"/>
      </w:tblGrid>
      <w:tr w:rsidR="00B61342" w:rsidRPr="00610FC9" w14:paraId="40A14BCD" w14:textId="186B4BA4" w:rsidTr="00CF40CA">
        <w:trPr>
          <w:trHeight w:val="300"/>
        </w:trPr>
        <w:tc>
          <w:tcPr>
            <w:tcW w:w="1575" w:type="dxa"/>
            <w:tcBorders>
              <w:top w:val="single" w:sz="18" w:space="0" w:color="auto"/>
              <w:left w:val="single" w:sz="4" w:space="0" w:color="auto"/>
              <w:bottom w:val="single" w:sz="18" w:space="0" w:color="auto"/>
              <w:right w:val="single" w:sz="4" w:space="0" w:color="auto"/>
            </w:tcBorders>
            <w:shd w:val="clear" w:color="auto" w:fill="8DB3E2" w:themeFill="text2" w:themeFillTint="66"/>
          </w:tcPr>
          <w:p w14:paraId="0396B452" w14:textId="6062507C" w:rsidR="001B3E33" w:rsidRPr="00610FC9" w:rsidRDefault="001B3E33" w:rsidP="001831C9">
            <w:pP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Phenotype</w:t>
            </w:r>
          </w:p>
        </w:tc>
        <w:tc>
          <w:tcPr>
            <w:tcW w:w="2126" w:type="dxa"/>
            <w:tcBorders>
              <w:top w:val="single" w:sz="18" w:space="0" w:color="auto"/>
              <w:left w:val="single" w:sz="4" w:space="0" w:color="auto"/>
              <w:bottom w:val="single" w:sz="18" w:space="0" w:color="auto"/>
              <w:right w:val="single" w:sz="4" w:space="0" w:color="auto"/>
            </w:tcBorders>
            <w:shd w:val="clear" w:color="auto" w:fill="8DB3E2" w:themeFill="text2" w:themeFillTint="66"/>
            <w:noWrap/>
            <w:hideMark/>
          </w:tcPr>
          <w:p w14:paraId="1EDAE8F5" w14:textId="6CB1FF29" w:rsidR="001B3E33" w:rsidRPr="00610FC9" w:rsidRDefault="001B3E33" w:rsidP="001831C9">
            <w:pPr>
              <w:rPr>
                <w:rFonts w:ascii="Times New Roman" w:eastAsia="Times New Roman" w:hAnsi="Times New Roman" w:cs="Times New Roman"/>
                <w:b/>
                <w:color w:val="000000"/>
                <w:sz w:val="22"/>
                <w:szCs w:val="22"/>
              </w:rPr>
            </w:pPr>
            <w:bookmarkStart w:id="1" w:name="RANGE!A1:G15"/>
            <w:r w:rsidRPr="00610FC9">
              <w:rPr>
                <w:rFonts w:ascii="Times New Roman" w:eastAsia="Times New Roman" w:hAnsi="Times New Roman" w:cs="Times New Roman"/>
                <w:b/>
                <w:color w:val="000000"/>
                <w:sz w:val="22"/>
                <w:szCs w:val="22"/>
              </w:rPr>
              <w:t>Category</w:t>
            </w:r>
            <w:bookmarkEnd w:id="1"/>
          </w:p>
        </w:tc>
        <w:tc>
          <w:tcPr>
            <w:tcW w:w="2551" w:type="dxa"/>
            <w:tcBorders>
              <w:top w:val="single" w:sz="18" w:space="0" w:color="auto"/>
              <w:left w:val="nil"/>
              <w:bottom w:val="single" w:sz="18" w:space="0" w:color="auto"/>
              <w:right w:val="single" w:sz="4" w:space="0" w:color="auto"/>
            </w:tcBorders>
            <w:shd w:val="clear" w:color="auto" w:fill="8DB3E2" w:themeFill="text2" w:themeFillTint="66"/>
            <w:noWrap/>
            <w:hideMark/>
          </w:tcPr>
          <w:p w14:paraId="4F27BEC4" w14:textId="5A32C601" w:rsidR="001B3E33" w:rsidRPr="00610FC9" w:rsidRDefault="001B3E33" w:rsidP="001831C9">
            <w:pPr>
              <w:rPr>
                <w:rFonts w:ascii="Times New Roman" w:eastAsia="Times New Roman" w:hAnsi="Times New Roman" w:cs="Times New Roman"/>
                <w:b/>
                <w:color w:val="000000"/>
                <w:sz w:val="22"/>
                <w:szCs w:val="22"/>
              </w:rPr>
            </w:pPr>
            <w:r w:rsidRPr="00610FC9">
              <w:rPr>
                <w:rFonts w:ascii="Times New Roman" w:eastAsia="Times New Roman" w:hAnsi="Times New Roman" w:cs="Times New Roman"/>
                <w:b/>
                <w:color w:val="000000"/>
                <w:sz w:val="22"/>
                <w:szCs w:val="22"/>
              </w:rPr>
              <w:t>Gene Set</w:t>
            </w:r>
          </w:p>
        </w:tc>
        <w:tc>
          <w:tcPr>
            <w:tcW w:w="993" w:type="dxa"/>
            <w:tcBorders>
              <w:top w:val="single" w:sz="18" w:space="0" w:color="auto"/>
              <w:left w:val="nil"/>
              <w:bottom w:val="single" w:sz="18" w:space="0" w:color="auto"/>
              <w:right w:val="single" w:sz="4" w:space="0" w:color="auto"/>
            </w:tcBorders>
            <w:shd w:val="clear" w:color="auto" w:fill="8DB3E2" w:themeFill="text2" w:themeFillTint="66"/>
            <w:noWrap/>
            <w:hideMark/>
          </w:tcPr>
          <w:p w14:paraId="42CE5525" w14:textId="1D51B2D8" w:rsidR="001B3E33" w:rsidRPr="00610FC9" w:rsidRDefault="001B3E33" w:rsidP="001831C9">
            <w:pPr>
              <w:rPr>
                <w:rFonts w:ascii="Times New Roman" w:eastAsia="Times New Roman" w:hAnsi="Times New Roman" w:cs="Times New Roman"/>
                <w:b/>
                <w:color w:val="000000"/>
                <w:sz w:val="22"/>
                <w:szCs w:val="22"/>
              </w:rPr>
            </w:pPr>
            <w:r w:rsidRPr="00610FC9">
              <w:rPr>
                <w:rFonts w:ascii="Times New Roman" w:eastAsia="Times New Roman" w:hAnsi="Times New Roman" w:cs="Times New Roman"/>
                <w:b/>
                <w:color w:val="000000"/>
                <w:sz w:val="22"/>
                <w:szCs w:val="22"/>
              </w:rPr>
              <w:t>N genes</w:t>
            </w:r>
          </w:p>
        </w:tc>
        <w:tc>
          <w:tcPr>
            <w:tcW w:w="1134" w:type="dxa"/>
            <w:tcBorders>
              <w:top w:val="single" w:sz="18" w:space="0" w:color="auto"/>
              <w:left w:val="nil"/>
              <w:bottom w:val="single" w:sz="18" w:space="0" w:color="auto"/>
              <w:right w:val="single" w:sz="4" w:space="0" w:color="auto"/>
            </w:tcBorders>
            <w:shd w:val="clear" w:color="auto" w:fill="8DB3E2" w:themeFill="text2" w:themeFillTint="66"/>
            <w:noWrap/>
            <w:hideMark/>
          </w:tcPr>
          <w:p w14:paraId="00A55485" w14:textId="6A498C45" w:rsidR="001B3E33" w:rsidRPr="00610FC9" w:rsidRDefault="001B3E33" w:rsidP="001831C9">
            <w:pPr>
              <w:rPr>
                <w:rFonts w:ascii="Times New Roman" w:eastAsia="Times New Roman" w:hAnsi="Times New Roman" w:cs="Times New Roman"/>
                <w:b/>
                <w:color w:val="000000"/>
                <w:sz w:val="22"/>
                <w:szCs w:val="22"/>
              </w:rPr>
            </w:pPr>
            <w:r w:rsidRPr="00610FC9">
              <w:rPr>
                <w:rFonts w:ascii="Times New Roman" w:eastAsia="Times New Roman" w:hAnsi="Times New Roman" w:cs="Times New Roman"/>
                <w:b/>
                <w:color w:val="000000"/>
                <w:sz w:val="22"/>
                <w:szCs w:val="22"/>
              </w:rPr>
              <w:t>N overlap</w:t>
            </w:r>
          </w:p>
        </w:tc>
        <w:tc>
          <w:tcPr>
            <w:tcW w:w="992" w:type="dxa"/>
            <w:tcBorders>
              <w:top w:val="single" w:sz="18" w:space="0" w:color="auto"/>
              <w:left w:val="nil"/>
              <w:bottom w:val="single" w:sz="18" w:space="0" w:color="auto"/>
              <w:right w:val="single" w:sz="4" w:space="0" w:color="auto"/>
            </w:tcBorders>
            <w:shd w:val="clear" w:color="auto" w:fill="8DB3E2" w:themeFill="text2" w:themeFillTint="66"/>
            <w:noWrap/>
            <w:hideMark/>
          </w:tcPr>
          <w:p w14:paraId="61A83141" w14:textId="77777777" w:rsidR="001B3E33" w:rsidRPr="00610FC9" w:rsidRDefault="001B3E33" w:rsidP="001831C9">
            <w:pPr>
              <w:rPr>
                <w:rFonts w:ascii="Times New Roman" w:eastAsia="Times New Roman" w:hAnsi="Times New Roman" w:cs="Times New Roman"/>
                <w:b/>
                <w:color w:val="000000"/>
                <w:sz w:val="22"/>
                <w:szCs w:val="22"/>
              </w:rPr>
            </w:pPr>
            <w:proofErr w:type="gramStart"/>
            <w:r w:rsidRPr="00610FC9">
              <w:rPr>
                <w:rFonts w:ascii="Times New Roman" w:eastAsia="Times New Roman" w:hAnsi="Times New Roman" w:cs="Times New Roman"/>
                <w:b/>
                <w:color w:val="000000"/>
                <w:sz w:val="22"/>
                <w:szCs w:val="22"/>
              </w:rPr>
              <w:t>p</w:t>
            </w:r>
            <w:proofErr w:type="gramEnd"/>
          </w:p>
        </w:tc>
        <w:tc>
          <w:tcPr>
            <w:tcW w:w="1134" w:type="dxa"/>
            <w:tcBorders>
              <w:top w:val="single" w:sz="18" w:space="0" w:color="auto"/>
              <w:left w:val="nil"/>
              <w:bottom w:val="single" w:sz="18" w:space="0" w:color="auto"/>
              <w:right w:val="single" w:sz="4" w:space="0" w:color="auto"/>
            </w:tcBorders>
            <w:shd w:val="clear" w:color="auto" w:fill="8DB3E2" w:themeFill="text2" w:themeFillTint="66"/>
            <w:noWrap/>
            <w:hideMark/>
          </w:tcPr>
          <w:p w14:paraId="0C767AA3" w14:textId="0B4507CB" w:rsidR="001B3E33" w:rsidRPr="00610FC9" w:rsidRDefault="001B3E33" w:rsidP="001831C9">
            <w:pPr>
              <w:rPr>
                <w:rFonts w:ascii="Times New Roman" w:eastAsia="Times New Roman" w:hAnsi="Times New Roman" w:cs="Times New Roman"/>
                <w:b/>
                <w:color w:val="000000"/>
                <w:sz w:val="22"/>
                <w:szCs w:val="22"/>
              </w:rPr>
            </w:pPr>
            <w:r w:rsidRPr="00610FC9">
              <w:rPr>
                <w:rFonts w:ascii="Times New Roman" w:eastAsia="Times New Roman" w:hAnsi="Times New Roman" w:cs="Times New Roman"/>
                <w:b/>
                <w:color w:val="000000"/>
                <w:sz w:val="22"/>
                <w:szCs w:val="22"/>
              </w:rPr>
              <w:t>Adj. p</w:t>
            </w:r>
          </w:p>
        </w:tc>
        <w:tc>
          <w:tcPr>
            <w:tcW w:w="3827" w:type="dxa"/>
            <w:tcBorders>
              <w:top w:val="single" w:sz="18" w:space="0" w:color="auto"/>
              <w:left w:val="nil"/>
              <w:bottom w:val="single" w:sz="18" w:space="0" w:color="auto"/>
              <w:right w:val="single" w:sz="4" w:space="0" w:color="auto"/>
            </w:tcBorders>
            <w:shd w:val="clear" w:color="auto" w:fill="8DB3E2" w:themeFill="text2" w:themeFillTint="66"/>
          </w:tcPr>
          <w:p w14:paraId="6741A1ED" w14:textId="53FD7928" w:rsidR="001B3E33" w:rsidRPr="00610FC9" w:rsidRDefault="001B3E33" w:rsidP="001831C9">
            <w:pPr>
              <w:rPr>
                <w:rFonts w:ascii="Times New Roman" w:eastAsia="Times New Roman" w:hAnsi="Times New Roman" w:cs="Times New Roman"/>
                <w:b/>
                <w:color w:val="000000"/>
                <w:sz w:val="22"/>
                <w:szCs w:val="22"/>
              </w:rPr>
            </w:pPr>
            <w:r w:rsidRPr="00610FC9">
              <w:rPr>
                <w:rFonts w:ascii="Times New Roman" w:eastAsia="Times New Roman" w:hAnsi="Times New Roman" w:cs="Times New Roman"/>
                <w:b/>
                <w:color w:val="000000"/>
                <w:sz w:val="22"/>
                <w:szCs w:val="22"/>
              </w:rPr>
              <w:t>Genes</w:t>
            </w:r>
          </w:p>
        </w:tc>
      </w:tr>
      <w:tr w:rsidR="00B61342" w:rsidRPr="00610FC9" w14:paraId="2D28B8F9" w14:textId="5BEDE8A6" w:rsidTr="00CF40CA">
        <w:trPr>
          <w:trHeight w:val="300"/>
        </w:trPr>
        <w:tc>
          <w:tcPr>
            <w:tcW w:w="1575" w:type="dxa"/>
            <w:tcBorders>
              <w:top w:val="single" w:sz="18" w:space="0" w:color="auto"/>
              <w:left w:val="single" w:sz="4" w:space="0" w:color="auto"/>
              <w:bottom w:val="single" w:sz="4" w:space="0" w:color="auto"/>
              <w:right w:val="single" w:sz="4" w:space="0" w:color="auto"/>
            </w:tcBorders>
          </w:tcPr>
          <w:p w14:paraId="07FECA3E" w14:textId="24ABC7C1" w:rsidR="00B61342" w:rsidRPr="00610FC9" w:rsidRDefault="00B61342" w:rsidP="001831C9">
            <w:pPr>
              <w:rPr>
                <w:rFonts w:ascii="Times New Roman" w:eastAsia="Times New Roman" w:hAnsi="Times New Roman" w:cs="Times New Roman"/>
                <w:color w:val="000000"/>
                <w:sz w:val="22"/>
                <w:szCs w:val="22"/>
              </w:rPr>
            </w:pPr>
            <w:r>
              <w:rPr>
                <w:rFonts w:ascii="Times New Roman" w:hAnsi="Times New Roman"/>
                <w:sz w:val="22"/>
                <w:szCs w:val="22"/>
              </w:rPr>
              <w:t>S</w:t>
            </w:r>
            <w:r w:rsidRPr="00610FC9">
              <w:rPr>
                <w:rFonts w:ascii="Times New Roman" w:hAnsi="Times New Roman"/>
                <w:sz w:val="22"/>
                <w:szCs w:val="22"/>
              </w:rPr>
              <w:t>ymptom improvement</w:t>
            </w:r>
          </w:p>
        </w:tc>
        <w:tc>
          <w:tcPr>
            <w:tcW w:w="2126" w:type="dxa"/>
            <w:tcBorders>
              <w:top w:val="single" w:sz="18" w:space="0" w:color="auto"/>
              <w:left w:val="single" w:sz="4" w:space="0" w:color="auto"/>
              <w:bottom w:val="single" w:sz="4" w:space="0" w:color="auto"/>
              <w:right w:val="single" w:sz="4" w:space="0" w:color="auto"/>
            </w:tcBorders>
            <w:shd w:val="clear" w:color="auto" w:fill="auto"/>
            <w:noWrap/>
          </w:tcPr>
          <w:p w14:paraId="06E5D729" w14:textId="6F5E864B" w:rsidR="00B61342" w:rsidRPr="00610FC9" w:rsidRDefault="00B61342"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GO biological process</w:t>
            </w:r>
          </w:p>
        </w:tc>
        <w:tc>
          <w:tcPr>
            <w:tcW w:w="2551" w:type="dxa"/>
            <w:tcBorders>
              <w:top w:val="single" w:sz="18" w:space="0" w:color="auto"/>
              <w:left w:val="nil"/>
              <w:bottom w:val="single" w:sz="4" w:space="0" w:color="auto"/>
              <w:right w:val="single" w:sz="4" w:space="0" w:color="auto"/>
            </w:tcBorders>
            <w:shd w:val="clear" w:color="auto" w:fill="auto"/>
            <w:noWrap/>
          </w:tcPr>
          <w:p w14:paraId="3A7BF1A6" w14:textId="1852D041" w:rsidR="00B61342" w:rsidRPr="00610FC9" w:rsidRDefault="00B61342"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GO peptide cross linking</w:t>
            </w:r>
          </w:p>
        </w:tc>
        <w:tc>
          <w:tcPr>
            <w:tcW w:w="993" w:type="dxa"/>
            <w:tcBorders>
              <w:top w:val="single" w:sz="18" w:space="0" w:color="auto"/>
              <w:left w:val="nil"/>
              <w:bottom w:val="single" w:sz="4" w:space="0" w:color="auto"/>
              <w:right w:val="single" w:sz="4" w:space="0" w:color="auto"/>
            </w:tcBorders>
            <w:shd w:val="clear" w:color="auto" w:fill="auto"/>
            <w:noWrap/>
          </w:tcPr>
          <w:p w14:paraId="3FF23829" w14:textId="3C0BFB65" w:rsidR="00B61342" w:rsidRPr="00610FC9" w:rsidRDefault="00B61342"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56</w:t>
            </w:r>
          </w:p>
        </w:tc>
        <w:tc>
          <w:tcPr>
            <w:tcW w:w="1134" w:type="dxa"/>
            <w:tcBorders>
              <w:top w:val="single" w:sz="18" w:space="0" w:color="auto"/>
              <w:left w:val="nil"/>
              <w:bottom w:val="single" w:sz="4" w:space="0" w:color="auto"/>
              <w:right w:val="single" w:sz="4" w:space="0" w:color="auto"/>
            </w:tcBorders>
            <w:shd w:val="clear" w:color="auto" w:fill="auto"/>
            <w:noWrap/>
          </w:tcPr>
          <w:p w14:paraId="4A6141FA" w14:textId="32B82ADB" w:rsidR="00B61342" w:rsidRPr="00610FC9" w:rsidRDefault="00B61342"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2</w:t>
            </w:r>
          </w:p>
        </w:tc>
        <w:tc>
          <w:tcPr>
            <w:tcW w:w="992" w:type="dxa"/>
            <w:tcBorders>
              <w:top w:val="single" w:sz="18" w:space="0" w:color="auto"/>
              <w:left w:val="nil"/>
              <w:bottom w:val="single" w:sz="4" w:space="0" w:color="auto"/>
              <w:right w:val="single" w:sz="4" w:space="0" w:color="auto"/>
            </w:tcBorders>
            <w:shd w:val="clear" w:color="auto" w:fill="auto"/>
            <w:noWrap/>
          </w:tcPr>
          <w:p w14:paraId="102CFFCC" w14:textId="5E50F33E" w:rsidR="00B61342" w:rsidRPr="00610FC9" w:rsidRDefault="00B61342"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3.44E-05</w:t>
            </w:r>
          </w:p>
        </w:tc>
        <w:tc>
          <w:tcPr>
            <w:tcW w:w="1134" w:type="dxa"/>
            <w:tcBorders>
              <w:top w:val="single" w:sz="18" w:space="0" w:color="auto"/>
              <w:left w:val="nil"/>
              <w:bottom w:val="single" w:sz="4" w:space="0" w:color="auto"/>
              <w:right w:val="single" w:sz="4" w:space="0" w:color="auto"/>
            </w:tcBorders>
            <w:shd w:val="clear" w:color="auto" w:fill="auto"/>
            <w:noWrap/>
          </w:tcPr>
          <w:p w14:paraId="295DDEC5" w14:textId="629069A3" w:rsidR="00B61342" w:rsidRPr="00610FC9" w:rsidRDefault="00B61342" w:rsidP="001831C9">
            <w:pPr>
              <w:rPr>
                <w:rFonts w:ascii="Times New Roman" w:eastAsia="Times New Roman" w:hAnsi="Times New Roman" w:cs="Times New Roman"/>
                <w:color w:val="000000"/>
                <w:sz w:val="22"/>
                <w:szCs w:val="22"/>
              </w:rPr>
            </w:pPr>
            <w:r w:rsidRPr="005750AF">
              <w:rPr>
                <w:rFonts w:ascii="Times New Roman" w:eastAsia="Times New Roman" w:hAnsi="Times New Roman" w:cs="Times New Roman"/>
                <w:color w:val="000000"/>
                <w:sz w:val="22"/>
                <w:szCs w:val="22"/>
              </w:rPr>
              <w:t>3</w:t>
            </w:r>
            <w:r>
              <w:rPr>
                <w:rFonts w:ascii="Times New Roman" w:eastAsia="Times New Roman" w:hAnsi="Times New Roman" w:cs="Times New Roman"/>
                <w:color w:val="000000"/>
                <w:sz w:val="22"/>
                <w:szCs w:val="22"/>
              </w:rPr>
              <w:t>.</w:t>
            </w:r>
            <w:r w:rsidRPr="005750AF">
              <w:rPr>
                <w:rFonts w:ascii="Times New Roman" w:eastAsia="Times New Roman" w:hAnsi="Times New Roman" w:cs="Times New Roman"/>
                <w:color w:val="000000"/>
                <w:sz w:val="22"/>
                <w:szCs w:val="22"/>
              </w:rPr>
              <w:t>73E-02</w:t>
            </w:r>
          </w:p>
        </w:tc>
        <w:tc>
          <w:tcPr>
            <w:tcW w:w="3827" w:type="dxa"/>
            <w:tcBorders>
              <w:top w:val="single" w:sz="18" w:space="0" w:color="auto"/>
              <w:left w:val="nil"/>
              <w:bottom w:val="single" w:sz="4" w:space="0" w:color="auto"/>
              <w:right w:val="single" w:sz="4" w:space="0" w:color="auto"/>
            </w:tcBorders>
          </w:tcPr>
          <w:p w14:paraId="51030331" w14:textId="5931836E" w:rsidR="00B61342" w:rsidRPr="00610FC9" w:rsidRDefault="00B61342"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EVPL</w:t>
            </w:r>
            <w:proofErr w:type="gramStart"/>
            <w:r>
              <w:rPr>
                <w:rFonts w:ascii="Times New Roman" w:eastAsia="Times New Roman" w:hAnsi="Times New Roman" w:cs="Times New Roman"/>
                <w:color w:val="000000"/>
                <w:sz w:val="22"/>
                <w:szCs w:val="22"/>
              </w:rPr>
              <w:t>,</w:t>
            </w:r>
            <w:r w:rsidRPr="00610FC9">
              <w:rPr>
                <w:rFonts w:ascii="Times New Roman" w:eastAsia="Times New Roman" w:hAnsi="Times New Roman" w:cs="Times New Roman"/>
                <w:color w:val="000000"/>
                <w:sz w:val="22"/>
                <w:szCs w:val="22"/>
              </w:rPr>
              <w:t>TGM4</w:t>
            </w:r>
            <w:proofErr w:type="gramEnd"/>
          </w:p>
        </w:tc>
      </w:tr>
      <w:tr w:rsidR="00901B5D" w:rsidRPr="00610FC9" w14:paraId="7AD86E31" w14:textId="50BC2FFD" w:rsidTr="00F44BD8">
        <w:trPr>
          <w:trHeight w:val="300"/>
        </w:trPr>
        <w:tc>
          <w:tcPr>
            <w:tcW w:w="1575" w:type="dxa"/>
            <w:vMerge w:val="restart"/>
            <w:tcBorders>
              <w:top w:val="single" w:sz="18" w:space="0" w:color="auto"/>
              <w:left w:val="single" w:sz="4" w:space="0" w:color="auto"/>
              <w:right w:val="single" w:sz="4" w:space="0" w:color="auto"/>
            </w:tcBorders>
          </w:tcPr>
          <w:p w14:paraId="2BA76672" w14:textId="6D1B0722" w:rsidR="00901B5D" w:rsidRPr="00610FC9" w:rsidRDefault="00901B5D" w:rsidP="001831C9">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TRD vs. others</w:t>
            </w:r>
          </w:p>
        </w:tc>
        <w:tc>
          <w:tcPr>
            <w:tcW w:w="2126" w:type="dxa"/>
            <w:tcBorders>
              <w:top w:val="single" w:sz="18" w:space="0" w:color="auto"/>
              <w:left w:val="single" w:sz="4" w:space="0" w:color="auto"/>
              <w:bottom w:val="single" w:sz="4" w:space="0" w:color="auto"/>
              <w:right w:val="single" w:sz="4" w:space="0" w:color="auto"/>
            </w:tcBorders>
            <w:shd w:val="clear" w:color="auto" w:fill="auto"/>
            <w:noWrap/>
            <w:hideMark/>
          </w:tcPr>
          <w:p w14:paraId="70E390F8" w14:textId="4D78BAE9"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GO cell component</w:t>
            </w:r>
          </w:p>
        </w:tc>
        <w:tc>
          <w:tcPr>
            <w:tcW w:w="2551" w:type="dxa"/>
            <w:tcBorders>
              <w:top w:val="single" w:sz="18" w:space="0" w:color="auto"/>
              <w:left w:val="nil"/>
              <w:bottom w:val="single" w:sz="4" w:space="0" w:color="auto"/>
              <w:right w:val="single" w:sz="4" w:space="0" w:color="auto"/>
            </w:tcBorders>
            <w:shd w:val="clear" w:color="auto" w:fill="auto"/>
            <w:noWrap/>
            <w:hideMark/>
          </w:tcPr>
          <w:p w14:paraId="653D750D" w14:textId="1F0CE82E"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GO intermediate filament</w:t>
            </w:r>
          </w:p>
        </w:tc>
        <w:tc>
          <w:tcPr>
            <w:tcW w:w="993" w:type="dxa"/>
            <w:tcBorders>
              <w:top w:val="single" w:sz="18" w:space="0" w:color="auto"/>
              <w:left w:val="nil"/>
              <w:bottom w:val="single" w:sz="4" w:space="0" w:color="auto"/>
              <w:right w:val="single" w:sz="4" w:space="0" w:color="auto"/>
            </w:tcBorders>
            <w:shd w:val="clear" w:color="auto" w:fill="auto"/>
            <w:noWrap/>
            <w:hideMark/>
          </w:tcPr>
          <w:p w14:paraId="01C0506A" w14:textId="77777777"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193</w:t>
            </w:r>
          </w:p>
        </w:tc>
        <w:tc>
          <w:tcPr>
            <w:tcW w:w="1134" w:type="dxa"/>
            <w:tcBorders>
              <w:top w:val="single" w:sz="18" w:space="0" w:color="auto"/>
              <w:left w:val="nil"/>
              <w:bottom w:val="single" w:sz="4" w:space="0" w:color="auto"/>
              <w:right w:val="single" w:sz="4" w:space="0" w:color="auto"/>
            </w:tcBorders>
            <w:shd w:val="clear" w:color="auto" w:fill="auto"/>
            <w:noWrap/>
            <w:hideMark/>
          </w:tcPr>
          <w:p w14:paraId="49D99A12" w14:textId="77777777"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20</w:t>
            </w:r>
          </w:p>
        </w:tc>
        <w:tc>
          <w:tcPr>
            <w:tcW w:w="992" w:type="dxa"/>
            <w:tcBorders>
              <w:top w:val="single" w:sz="18" w:space="0" w:color="auto"/>
              <w:left w:val="nil"/>
              <w:bottom w:val="single" w:sz="4" w:space="0" w:color="auto"/>
              <w:right w:val="single" w:sz="4" w:space="0" w:color="auto"/>
            </w:tcBorders>
            <w:shd w:val="clear" w:color="auto" w:fill="auto"/>
            <w:noWrap/>
            <w:hideMark/>
          </w:tcPr>
          <w:p w14:paraId="3BF87AC9" w14:textId="169F4C63"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7.27E-42</w:t>
            </w:r>
          </w:p>
        </w:tc>
        <w:tc>
          <w:tcPr>
            <w:tcW w:w="1134" w:type="dxa"/>
            <w:tcBorders>
              <w:top w:val="single" w:sz="18" w:space="0" w:color="auto"/>
              <w:left w:val="nil"/>
              <w:bottom w:val="single" w:sz="4" w:space="0" w:color="auto"/>
              <w:right w:val="single" w:sz="4" w:space="0" w:color="auto"/>
            </w:tcBorders>
            <w:shd w:val="clear" w:color="auto" w:fill="auto"/>
            <w:noWrap/>
            <w:hideMark/>
          </w:tcPr>
          <w:p w14:paraId="468B3E1F" w14:textId="1E9D1AF7"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4.24E-39</w:t>
            </w:r>
          </w:p>
        </w:tc>
        <w:tc>
          <w:tcPr>
            <w:tcW w:w="3827" w:type="dxa"/>
            <w:tcBorders>
              <w:top w:val="single" w:sz="18" w:space="0" w:color="auto"/>
              <w:left w:val="nil"/>
              <w:bottom w:val="single" w:sz="4" w:space="0" w:color="auto"/>
              <w:right w:val="single" w:sz="4" w:space="0" w:color="auto"/>
            </w:tcBorders>
          </w:tcPr>
          <w:p w14:paraId="5E89DFF7" w14:textId="4E2FC4CA"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hAnsi="Times New Roman" w:cs="Times New Roman"/>
                <w:color w:val="000000"/>
                <w:sz w:val="22"/>
                <w:szCs w:val="22"/>
              </w:rPr>
              <w:t>KRTAP13-1</w:t>
            </w:r>
            <w:proofErr w:type="gramStart"/>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KRTAP13</w:t>
            </w:r>
            <w:proofErr w:type="gramEnd"/>
            <w:r w:rsidRPr="00610FC9">
              <w:rPr>
                <w:rFonts w:ascii="Times New Roman" w:hAnsi="Times New Roman" w:cs="Times New Roman"/>
                <w:color w:val="000000"/>
                <w:sz w:val="22"/>
                <w:szCs w:val="22"/>
              </w:rPr>
              <w:t>-3</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KRTAP13-4</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KRTAP15-1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KRTAP19-2</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KRTAP19-3</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KRTAP19-4</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KRTAP19-5</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KRTAP19-6</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KRTAP19-7</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KRTAP22-2</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KRTAP6-3</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KRTAP6-2</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KRTAP22-1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KRTAP6-1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KRTAP20-1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KRTAP20-4</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KRTAP20-2</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KRTAP20-3</w:t>
            </w:r>
          </w:p>
        </w:tc>
      </w:tr>
      <w:tr w:rsidR="00901B5D" w:rsidRPr="00610FC9" w14:paraId="28871835" w14:textId="6A61E583" w:rsidTr="00F44BD8">
        <w:trPr>
          <w:trHeight w:val="300"/>
        </w:trPr>
        <w:tc>
          <w:tcPr>
            <w:tcW w:w="1575" w:type="dxa"/>
            <w:vMerge/>
            <w:tcBorders>
              <w:left w:val="single" w:sz="4" w:space="0" w:color="auto"/>
              <w:right w:val="single" w:sz="4" w:space="0" w:color="auto"/>
            </w:tcBorders>
          </w:tcPr>
          <w:p w14:paraId="5A2B1AF1" w14:textId="77777777" w:rsidR="00901B5D" w:rsidRPr="00610FC9" w:rsidRDefault="00901B5D" w:rsidP="001831C9">
            <w:pPr>
              <w:rPr>
                <w:rFonts w:ascii="Times New Roman" w:eastAsia="Times New Roman" w:hAnsi="Times New Roman" w:cs="Times New Roman"/>
                <w:color w:val="000000"/>
                <w:sz w:val="22"/>
                <w:szCs w:val="22"/>
              </w:rPr>
            </w:pPr>
          </w:p>
        </w:tc>
        <w:tc>
          <w:tcPr>
            <w:tcW w:w="2126" w:type="dxa"/>
            <w:tcBorders>
              <w:top w:val="nil"/>
              <w:left w:val="single" w:sz="4" w:space="0" w:color="auto"/>
              <w:bottom w:val="single" w:sz="4" w:space="0" w:color="auto"/>
              <w:right w:val="single" w:sz="4" w:space="0" w:color="auto"/>
            </w:tcBorders>
            <w:shd w:val="clear" w:color="auto" w:fill="auto"/>
            <w:noWrap/>
            <w:hideMark/>
          </w:tcPr>
          <w:p w14:paraId="5C084F6D" w14:textId="5011E92C"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GO cell component</w:t>
            </w:r>
          </w:p>
        </w:tc>
        <w:tc>
          <w:tcPr>
            <w:tcW w:w="2551" w:type="dxa"/>
            <w:tcBorders>
              <w:top w:val="nil"/>
              <w:left w:val="nil"/>
              <w:bottom w:val="single" w:sz="4" w:space="0" w:color="auto"/>
              <w:right w:val="single" w:sz="4" w:space="0" w:color="auto"/>
            </w:tcBorders>
            <w:shd w:val="clear" w:color="auto" w:fill="auto"/>
            <w:noWrap/>
            <w:hideMark/>
          </w:tcPr>
          <w:p w14:paraId="45DBEBBA" w14:textId="5DB8BA3E"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GO intermediate filament cytoskeleton</w:t>
            </w:r>
          </w:p>
        </w:tc>
        <w:tc>
          <w:tcPr>
            <w:tcW w:w="993" w:type="dxa"/>
            <w:tcBorders>
              <w:top w:val="nil"/>
              <w:left w:val="nil"/>
              <w:bottom w:val="single" w:sz="4" w:space="0" w:color="auto"/>
              <w:right w:val="single" w:sz="4" w:space="0" w:color="auto"/>
            </w:tcBorders>
            <w:shd w:val="clear" w:color="auto" w:fill="auto"/>
            <w:noWrap/>
            <w:hideMark/>
          </w:tcPr>
          <w:p w14:paraId="20EF2453" w14:textId="77777777"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235</w:t>
            </w:r>
          </w:p>
        </w:tc>
        <w:tc>
          <w:tcPr>
            <w:tcW w:w="1134" w:type="dxa"/>
            <w:tcBorders>
              <w:top w:val="nil"/>
              <w:left w:val="nil"/>
              <w:bottom w:val="single" w:sz="4" w:space="0" w:color="auto"/>
              <w:right w:val="single" w:sz="4" w:space="0" w:color="auto"/>
            </w:tcBorders>
            <w:shd w:val="clear" w:color="auto" w:fill="auto"/>
            <w:noWrap/>
            <w:hideMark/>
          </w:tcPr>
          <w:p w14:paraId="11515142" w14:textId="77777777"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20</w:t>
            </w:r>
          </w:p>
        </w:tc>
        <w:tc>
          <w:tcPr>
            <w:tcW w:w="992" w:type="dxa"/>
            <w:tcBorders>
              <w:top w:val="nil"/>
              <w:left w:val="nil"/>
              <w:bottom w:val="single" w:sz="4" w:space="0" w:color="auto"/>
              <w:right w:val="single" w:sz="4" w:space="0" w:color="auto"/>
            </w:tcBorders>
            <w:shd w:val="clear" w:color="auto" w:fill="auto"/>
            <w:noWrap/>
            <w:hideMark/>
          </w:tcPr>
          <w:p w14:paraId="77A700ED" w14:textId="57FC110F"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5.58E-40</w:t>
            </w:r>
          </w:p>
        </w:tc>
        <w:tc>
          <w:tcPr>
            <w:tcW w:w="1134" w:type="dxa"/>
            <w:tcBorders>
              <w:top w:val="nil"/>
              <w:left w:val="nil"/>
              <w:bottom w:val="single" w:sz="4" w:space="0" w:color="auto"/>
              <w:right w:val="single" w:sz="4" w:space="0" w:color="auto"/>
            </w:tcBorders>
            <w:shd w:val="clear" w:color="auto" w:fill="auto"/>
            <w:noWrap/>
            <w:hideMark/>
          </w:tcPr>
          <w:p w14:paraId="5CDB8DE4" w14:textId="0D668C87"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1.63E-37</w:t>
            </w:r>
          </w:p>
        </w:tc>
        <w:tc>
          <w:tcPr>
            <w:tcW w:w="3827" w:type="dxa"/>
            <w:tcBorders>
              <w:top w:val="nil"/>
              <w:left w:val="nil"/>
              <w:bottom w:val="single" w:sz="4" w:space="0" w:color="auto"/>
              <w:right w:val="single" w:sz="4" w:space="0" w:color="auto"/>
            </w:tcBorders>
          </w:tcPr>
          <w:p w14:paraId="48AECA2D" w14:textId="02716971"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hAnsi="Times New Roman" w:cs="Times New Roman"/>
                <w:color w:val="000000"/>
                <w:sz w:val="22"/>
                <w:szCs w:val="22"/>
              </w:rPr>
              <w:t>KRTAP13-1</w:t>
            </w:r>
            <w:proofErr w:type="gramStart"/>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KRTAP13</w:t>
            </w:r>
            <w:proofErr w:type="gramEnd"/>
            <w:r w:rsidRPr="00610FC9">
              <w:rPr>
                <w:rFonts w:ascii="Times New Roman" w:hAnsi="Times New Roman" w:cs="Times New Roman"/>
                <w:color w:val="000000"/>
                <w:sz w:val="22"/>
                <w:szCs w:val="22"/>
              </w:rPr>
              <w:t>-3</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KRTAP13-4</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KRTAP15-1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KRTAP19-2</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KRTAP19-3</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KRTAP19-4</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KRTAP19-5</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KRTAP19-6</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KRTAP19-7</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KRTAP22-2</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KRTAP6-3</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KRTAP6-2</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KRTAP22-1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KRTAP6-1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KRTAP20-1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KRTAP20-4</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KRTAP20-2</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KRTAP20-3</w:t>
            </w:r>
          </w:p>
        </w:tc>
      </w:tr>
      <w:tr w:rsidR="00901B5D" w:rsidRPr="00610FC9" w14:paraId="444223E5" w14:textId="748EF64A" w:rsidTr="00F44BD8">
        <w:trPr>
          <w:trHeight w:val="300"/>
        </w:trPr>
        <w:tc>
          <w:tcPr>
            <w:tcW w:w="1575" w:type="dxa"/>
            <w:vMerge/>
            <w:tcBorders>
              <w:left w:val="single" w:sz="4" w:space="0" w:color="auto"/>
              <w:right w:val="single" w:sz="4" w:space="0" w:color="auto"/>
            </w:tcBorders>
          </w:tcPr>
          <w:p w14:paraId="4910FF87" w14:textId="77777777" w:rsidR="00901B5D" w:rsidRPr="00610FC9" w:rsidRDefault="00901B5D" w:rsidP="001831C9">
            <w:pPr>
              <w:rPr>
                <w:rFonts w:ascii="Times New Roman" w:eastAsia="Times New Roman" w:hAnsi="Times New Roman" w:cs="Times New Roman"/>
                <w:color w:val="000000"/>
                <w:sz w:val="22"/>
                <w:szCs w:val="22"/>
              </w:rPr>
            </w:pPr>
          </w:p>
        </w:tc>
        <w:tc>
          <w:tcPr>
            <w:tcW w:w="2126" w:type="dxa"/>
            <w:tcBorders>
              <w:top w:val="nil"/>
              <w:left w:val="single" w:sz="4" w:space="0" w:color="auto"/>
              <w:bottom w:val="single" w:sz="4" w:space="0" w:color="auto"/>
              <w:right w:val="single" w:sz="4" w:space="0" w:color="auto"/>
            </w:tcBorders>
            <w:shd w:val="clear" w:color="auto" w:fill="auto"/>
            <w:noWrap/>
            <w:hideMark/>
          </w:tcPr>
          <w:p w14:paraId="61B87D19" w14:textId="42B58736"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GO cell component</w:t>
            </w:r>
          </w:p>
        </w:tc>
        <w:tc>
          <w:tcPr>
            <w:tcW w:w="2551" w:type="dxa"/>
            <w:tcBorders>
              <w:top w:val="nil"/>
              <w:left w:val="nil"/>
              <w:bottom w:val="single" w:sz="4" w:space="0" w:color="auto"/>
              <w:right w:val="single" w:sz="4" w:space="0" w:color="auto"/>
            </w:tcBorders>
            <w:shd w:val="clear" w:color="auto" w:fill="auto"/>
            <w:noWrap/>
            <w:hideMark/>
          </w:tcPr>
          <w:p w14:paraId="7DA40BBC" w14:textId="79191C9C"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 xml:space="preserve">GO </w:t>
            </w:r>
            <w:proofErr w:type="spellStart"/>
            <w:r w:rsidRPr="00610FC9">
              <w:rPr>
                <w:rFonts w:ascii="Times New Roman" w:eastAsia="Times New Roman" w:hAnsi="Times New Roman" w:cs="Times New Roman"/>
                <w:color w:val="000000"/>
                <w:sz w:val="22"/>
                <w:szCs w:val="22"/>
              </w:rPr>
              <w:t>supramolecular</w:t>
            </w:r>
            <w:proofErr w:type="spellEnd"/>
            <w:r w:rsidRPr="00610FC9">
              <w:rPr>
                <w:rFonts w:ascii="Times New Roman" w:eastAsia="Times New Roman" w:hAnsi="Times New Roman" w:cs="Times New Roman"/>
                <w:color w:val="000000"/>
                <w:sz w:val="22"/>
                <w:szCs w:val="22"/>
              </w:rPr>
              <w:t xml:space="preserve"> fiber</w:t>
            </w:r>
          </w:p>
        </w:tc>
        <w:tc>
          <w:tcPr>
            <w:tcW w:w="993" w:type="dxa"/>
            <w:tcBorders>
              <w:top w:val="nil"/>
              <w:left w:val="nil"/>
              <w:bottom w:val="single" w:sz="4" w:space="0" w:color="auto"/>
              <w:right w:val="single" w:sz="4" w:space="0" w:color="auto"/>
            </w:tcBorders>
            <w:shd w:val="clear" w:color="auto" w:fill="auto"/>
            <w:noWrap/>
            <w:hideMark/>
          </w:tcPr>
          <w:p w14:paraId="19631B78" w14:textId="77777777"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665</w:t>
            </w:r>
          </w:p>
        </w:tc>
        <w:tc>
          <w:tcPr>
            <w:tcW w:w="1134" w:type="dxa"/>
            <w:tcBorders>
              <w:top w:val="nil"/>
              <w:left w:val="nil"/>
              <w:bottom w:val="single" w:sz="4" w:space="0" w:color="auto"/>
              <w:right w:val="single" w:sz="4" w:space="0" w:color="auto"/>
            </w:tcBorders>
            <w:shd w:val="clear" w:color="auto" w:fill="auto"/>
            <w:noWrap/>
            <w:hideMark/>
          </w:tcPr>
          <w:p w14:paraId="0A217AED" w14:textId="77777777"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20</w:t>
            </w:r>
          </w:p>
        </w:tc>
        <w:tc>
          <w:tcPr>
            <w:tcW w:w="992" w:type="dxa"/>
            <w:tcBorders>
              <w:top w:val="nil"/>
              <w:left w:val="nil"/>
              <w:bottom w:val="single" w:sz="4" w:space="0" w:color="auto"/>
              <w:right w:val="single" w:sz="4" w:space="0" w:color="auto"/>
            </w:tcBorders>
            <w:shd w:val="clear" w:color="auto" w:fill="auto"/>
            <w:noWrap/>
            <w:hideMark/>
          </w:tcPr>
          <w:p w14:paraId="41758FA5" w14:textId="5498EB40"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3.06E-30</w:t>
            </w:r>
          </w:p>
        </w:tc>
        <w:tc>
          <w:tcPr>
            <w:tcW w:w="1134" w:type="dxa"/>
            <w:tcBorders>
              <w:top w:val="nil"/>
              <w:left w:val="nil"/>
              <w:bottom w:val="single" w:sz="4" w:space="0" w:color="auto"/>
              <w:right w:val="single" w:sz="4" w:space="0" w:color="auto"/>
            </w:tcBorders>
            <w:shd w:val="clear" w:color="auto" w:fill="auto"/>
            <w:noWrap/>
            <w:hideMark/>
          </w:tcPr>
          <w:p w14:paraId="56147399" w14:textId="6DD1D0EC"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5.94E-28</w:t>
            </w:r>
          </w:p>
        </w:tc>
        <w:tc>
          <w:tcPr>
            <w:tcW w:w="3827" w:type="dxa"/>
            <w:tcBorders>
              <w:top w:val="nil"/>
              <w:left w:val="nil"/>
              <w:bottom w:val="single" w:sz="4" w:space="0" w:color="auto"/>
              <w:right w:val="single" w:sz="4" w:space="0" w:color="auto"/>
            </w:tcBorders>
          </w:tcPr>
          <w:p w14:paraId="2B8B5BD6" w14:textId="03EC53B5"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hAnsi="Times New Roman" w:cs="Times New Roman"/>
                <w:color w:val="000000"/>
                <w:sz w:val="22"/>
                <w:szCs w:val="22"/>
              </w:rPr>
              <w:t>KRTAP13-1</w:t>
            </w:r>
            <w:proofErr w:type="gramStart"/>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KRTAP13</w:t>
            </w:r>
            <w:proofErr w:type="gramEnd"/>
            <w:r w:rsidRPr="00610FC9">
              <w:rPr>
                <w:rFonts w:ascii="Times New Roman" w:hAnsi="Times New Roman" w:cs="Times New Roman"/>
                <w:color w:val="000000"/>
                <w:sz w:val="22"/>
                <w:szCs w:val="22"/>
              </w:rPr>
              <w:t>-3</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KRTAP13-4</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KRTAP15-1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KRTAP19-2</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KRTAP19-3</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KRTAP19-4</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KRTAP19-5</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KRTAP19-6</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KRTAP19-7</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KRTAP22-2</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KRTAP6-3</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KRTAP6-2</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KRTAP22-1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KRTAP6-1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KRTAP20-1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KRTAP20-4</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KRTAP20-2</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KRTAP20-3</w:t>
            </w:r>
          </w:p>
        </w:tc>
      </w:tr>
      <w:tr w:rsidR="00901B5D" w:rsidRPr="00610FC9" w14:paraId="7265694B" w14:textId="1C4EEA66" w:rsidTr="00F44BD8">
        <w:trPr>
          <w:trHeight w:val="300"/>
        </w:trPr>
        <w:tc>
          <w:tcPr>
            <w:tcW w:w="1575" w:type="dxa"/>
            <w:vMerge/>
            <w:tcBorders>
              <w:left w:val="single" w:sz="4" w:space="0" w:color="auto"/>
              <w:right w:val="single" w:sz="4" w:space="0" w:color="auto"/>
            </w:tcBorders>
          </w:tcPr>
          <w:p w14:paraId="0C1F1B42" w14:textId="77777777" w:rsidR="00901B5D" w:rsidRPr="00610FC9" w:rsidRDefault="00901B5D" w:rsidP="001831C9">
            <w:pPr>
              <w:rPr>
                <w:rFonts w:ascii="Times New Roman" w:eastAsia="Times New Roman" w:hAnsi="Times New Roman" w:cs="Times New Roman"/>
                <w:color w:val="000000"/>
                <w:sz w:val="22"/>
                <w:szCs w:val="22"/>
              </w:rPr>
            </w:pPr>
          </w:p>
        </w:tc>
        <w:tc>
          <w:tcPr>
            <w:tcW w:w="2126" w:type="dxa"/>
            <w:tcBorders>
              <w:top w:val="nil"/>
              <w:left w:val="single" w:sz="4" w:space="0" w:color="auto"/>
              <w:bottom w:val="single" w:sz="4" w:space="0" w:color="auto"/>
              <w:right w:val="single" w:sz="4" w:space="0" w:color="auto"/>
            </w:tcBorders>
            <w:shd w:val="clear" w:color="auto" w:fill="auto"/>
            <w:noWrap/>
            <w:hideMark/>
          </w:tcPr>
          <w:p w14:paraId="3867E999" w14:textId="2C27C0E0"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GO cell component</w:t>
            </w:r>
          </w:p>
        </w:tc>
        <w:tc>
          <w:tcPr>
            <w:tcW w:w="2551" w:type="dxa"/>
            <w:tcBorders>
              <w:top w:val="nil"/>
              <w:left w:val="nil"/>
              <w:bottom w:val="single" w:sz="4" w:space="0" w:color="auto"/>
              <w:right w:val="single" w:sz="4" w:space="0" w:color="auto"/>
            </w:tcBorders>
            <w:shd w:val="clear" w:color="auto" w:fill="auto"/>
            <w:noWrap/>
            <w:hideMark/>
          </w:tcPr>
          <w:p w14:paraId="05797185" w14:textId="5DE057F3"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GO cytoskeletal part</w:t>
            </w:r>
          </w:p>
        </w:tc>
        <w:tc>
          <w:tcPr>
            <w:tcW w:w="993" w:type="dxa"/>
            <w:tcBorders>
              <w:top w:val="nil"/>
              <w:left w:val="nil"/>
              <w:bottom w:val="single" w:sz="4" w:space="0" w:color="auto"/>
              <w:right w:val="single" w:sz="4" w:space="0" w:color="auto"/>
            </w:tcBorders>
            <w:shd w:val="clear" w:color="auto" w:fill="auto"/>
            <w:noWrap/>
            <w:hideMark/>
          </w:tcPr>
          <w:p w14:paraId="1F04B41D" w14:textId="77777777"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1423</w:t>
            </w:r>
          </w:p>
        </w:tc>
        <w:tc>
          <w:tcPr>
            <w:tcW w:w="1134" w:type="dxa"/>
            <w:tcBorders>
              <w:top w:val="nil"/>
              <w:left w:val="nil"/>
              <w:bottom w:val="single" w:sz="4" w:space="0" w:color="auto"/>
              <w:right w:val="single" w:sz="4" w:space="0" w:color="auto"/>
            </w:tcBorders>
            <w:shd w:val="clear" w:color="auto" w:fill="auto"/>
            <w:noWrap/>
            <w:hideMark/>
          </w:tcPr>
          <w:p w14:paraId="127E8A3D" w14:textId="77777777"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20</w:t>
            </w:r>
          </w:p>
        </w:tc>
        <w:tc>
          <w:tcPr>
            <w:tcW w:w="992" w:type="dxa"/>
            <w:tcBorders>
              <w:top w:val="nil"/>
              <w:left w:val="nil"/>
              <w:bottom w:val="single" w:sz="4" w:space="0" w:color="auto"/>
              <w:right w:val="single" w:sz="4" w:space="0" w:color="auto"/>
            </w:tcBorders>
            <w:shd w:val="clear" w:color="auto" w:fill="auto"/>
            <w:noWrap/>
            <w:hideMark/>
          </w:tcPr>
          <w:p w14:paraId="1B8A0780" w14:textId="3C08EA8F"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3.02E-23</w:t>
            </w:r>
          </w:p>
        </w:tc>
        <w:tc>
          <w:tcPr>
            <w:tcW w:w="1134" w:type="dxa"/>
            <w:tcBorders>
              <w:top w:val="nil"/>
              <w:left w:val="nil"/>
              <w:bottom w:val="single" w:sz="4" w:space="0" w:color="auto"/>
              <w:right w:val="single" w:sz="4" w:space="0" w:color="auto"/>
            </w:tcBorders>
            <w:shd w:val="clear" w:color="auto" w:fill="auto"/>
            <w:noWrap/>
            <w:hideMark/>
          </w:tcPr>
          <w:p w14:paraId="194E7BF7" w14:textId="59B14A26"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4.40E-21</w:t>
            </w:r>
          </w:p>
        </w:tc>
        <w:tc>
          <w:tcPr>
            <w:tcW w:w="3827" w:type="dxa"/>
            <w:tcBorders>
              <w:top w:val="nil"/>
              <w:left w:val="nil"/>
              <w:bottom w:val="single" w:sz="4" w:space="0" w:color="auto"/>
              <w:right w:val="single" w:sz="4" w:space="0" w:color="auto"/>
            </w:tcBorders>
          </w:tcPr>
          <w:p w14:paraId="1A8313BD" w14:textId="0D75BB80"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hAnsi="Times New Roman" w:cs="Times New Roman"/>
                <w:color w:val="000000"/>
                <w:sz w:val="22"/>
                <w:szCs w:val="22"/>
              </w:rPr>
              <w:t>KRTAP13-1</w:t>
            </w:r>
            <w:proofErr w:type="gramStart"/>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KRTAP13</w:t>
            </w:r>
            <w:proofErr w:type="gramEnd"/>
            <w:r w:rsidRPr="00610FC9">
              <w:rPr>
                <w:rFonts w:ascii="Times New Roman" w:hAnsi="Times New Roman" w:cs="Times New Roman"/>
                <w:color w:val="000000"/>
                <w:sz w:val="22"/>
                <w:szCs w:val="22"/>
              </w:rPr>
              <w:t>-3</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KRTAP13-4</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KRTAP15-1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KRTAP19-2</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KRTAP19-3</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KRTAP19-4</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KRTAP19-5</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KRTAP19-6</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KRTAP19-7</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KRTAP22-2</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KRTAP6-3</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KRTAP6-2</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KRTAP22-1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KRTAP6-1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KRTAP20-1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KRTAP20-4</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KRTAP20-2</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KRTAP20-3</w:t>
            </w:r>
          </w:p>
        </w:tc>
      </w:tr>
      <w:tr w:rsidR="00901B5D" w:rsidRPr="00610FC9" w14:paraId="033D91E3" w14:textId="3198F47B" w:rsidTr="00F44BD8">
        <w:trPr>
          <w:trHeight w:val="300"/>
        </w:trPr>
        <w:tc>
          <w:tcPr>
            <w:tcW w:w="1575" w:type="dxa"/>
            <w:vMerge/>
            <w:tcBorders>
              <w:left w:val="single" w:sz="4" w:space="0" w:color="auto"/>
              <w:bottom w:val="single" w:sz="18" w:space="0" w:color="auto"/>
              <w:right w:val="single" w:sz="4" w:space="0" w:color="auto"/>
            </w:tcBorders>
          </w:tcPr>
          <w:p w14:paraId="6DA7FB58" w14:textId="77777777" w:rsidR="00901B5D" w:rsidRPr="00610FC9" w:rsidRDefault="00901B5D" w:rsidP="001831C9">
            <w:pPr>
              <w:rPr>
                <w:rFonts w:ascii="Times New Roman" w:eastAsia="Times New Roman" w:hAnsi="Times New Roman" w:cs="Times New Roman"/>
                <w:color w:val="000000"/>
                <w:sz w:val="22"/>
                <w:szCs w:val="22"/>
              </w:rPr>
            </w:pPr>
          </w:p>
        </w:tc>
        <w:tc>
          <w:tcPr>
            <w:tcW w:w="2126" w:type="dxa"/>
            <w:tcBorders>
              <w:top w:val="single" w:sz="4" w:space="0" w:color="auto"/>
              <w:left w:val="single" w:sz="4" w:space="0" w:color="auto"/>
              <w:bottom w:val="single" w:sz="18" w:space="0" w:color="auto"/>
              <w:right w:val="single" w:sz="4" w:space="0" w:color="auto"/>
            </w:tcBorders>
            <w:shd w:val="clear" w:color="auto" w:fill="auto"/>
            <w:noWrap/>
            <w:hideMark/>
          </w:tcPr>
          <w:p w14:paraId="3785551D" w14:textId="20656A33"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GO cell component</w:t>
            </w:r>
          </w:p>
        </w:tc>
        <w:tc>
          <w:tcPr>
            <w:tcW w:w="2551" w:type="dxa"/>
            <w:tcBorders>
              <w:top w:val="single" w:sz="4" w:space="0" w:color="auto"/>
              <w:left w:val="nil"/>
              <w:bottom w:val="single" w:sz="18" w:space="0" w:color="auto"/>
              <w:right w:val="single" w:sz="4" w:space="0" w:color="auto"/>
            </w:tcBorders>
            <w:shd w:val="clear" w:color="auto" w:fill="auto"/>
            <w:noWrap/>
            <w:hideMark/>
          </w:tcPr>
          <w:p w14:paraId="111EFE8C" w14:textId="0F003EF0"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GO cytoskeleton</w:t>
            </w:r>
          </w:p>
        </w:tc>
        <w:tc>
          <w:tcPr>
            <w:tcW w:w="993" w:type="dxa"/>
            <w:tcBorders>
              <w:top w:val="single" w:sz="4" w:space="0" w:color="auto"/>
              <w:left w:val="nil"/>
              <w:bottom w:val="single" w:sz="18" w:space="0" w:color="auto"/>
              <w:right w:val="single" w:sz="4" w:space="0" w:color="auto"/>
            </w:tcBorders>
            <w:shd w:val="clear" w:color="auto" w:fill="auto"/>
            <w:noWrap/>
            <w:hideMark/>
          </w:tcPr>
          <w:p w14:paraId="6D17FF7F" w14:textId="77777777"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1949</w:t>
            </w:r>
          </w:p>
        </w:tc>
        <w:tc>
          <w:tcPr>
            <w:tcW w:w="1134" w:type="dxa"/>
            <w:tcBorders>
              <w:top w:val="single" w:sz="4" w:space="0" w:color="auto"/>
              <w:left w:val="nil"/>
              <w:bottom w:val="single" w:sz="18" w:space="0" w:color="auto"/>
              <w:right w:val="single" w:sz="4" w:space="0" w:color="auto"/>
            </w:tcBorders>
            <w:shd w:val="clear" w:color="auto" w:fill="auto"/>
            <w:noWrap/>
            <w:hideMark/>
          </w:tcPr>
          <w:p w14:paraId="4CB1A5A5" w14:textId="77777777"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20</w:t>
            </w:r>
          </w:p>
        </w:tc>
        <w:tc>
          <w:tcPr>
            <w:tcW w:w="992" w:type="dxa"/>
            <w:tcBorders>
              <w:top w:val="single" w:sz="4" w:space="0" w:color="auto"/>
              <w:left w:val="nil"/>
              <w:bottom w:val="single" w:sz="18" w:space="0" w:color="auto"/>
              <w:right w:val="single" w:sz="4" w:space="0" w:color="auto"/>
            </w:tcBorders>
            <w:shd w:val="clear" w:color="auto" w:fill="auto"/>
            <w:noWrap/>
            <w:hideMark/>
          </w:tcPr>
          <w:p w14:paraId="562C842E" w14:textId="643433BD"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2.26E-20</w:t>
            </w:r>
          </w:p>
        </w:tc>
        <w:tc>
          <w:tcPr>
            <w:tcW w:w="1134" w:type="dxa"/>
            <w:tcBorders>
              <w:top w:val="single" w:sz="4" w:space="0" w:color="auto"/>
              <w:left w:val="nil"/>
              <w:bottom w:val="single" w:sz="18" w:space="0" w:color="auto"/>
              <w:right w:val="single" w:sz="4" w:space="0" w:color="auto"/>
            </w:tcBorders>
            <w:shd w:val="clear" w:color="auto" w:fill="auto"/>
            <w:noWrap/>
            <w:hideMark/>
          </w:tcPr>
          <w:p w14:paraId="04D7BF5E" w14:textId="5C876168"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eastAsia="Times New Roman" w:hAnsi="Times New Roman" w:cs="Times New Roman"/>
                <w:color w:val="000000"/>
                <w:sz w:val="22"/>
                <w:szCs w:val="22"/>
              </w:rPr>
              <w:t>2.63E-18</w:t>
            </w:r>
          </w:p>
        </w:tc>
        <w:tc>
          <w:tcPr>
            <w:tcW w:w="3827" w:type="dxa"/>
            <w:tcBorders>
              <w:top w:val="single" w:sz="4" w:space="0" w:color="auto"/>
              <w:left w:val="nil"/>
              <w:bottom w:val="single" w:sz="18" w:space="0" w:color="auto"/>
              <w:right w:val="single" w:sz="4" w:space="0" w:color="auto"/>
            </w:tcBorders>
          </w:tcPr>
          <w:p w14:paraId="53E7DCB6" w14:textId="15E9E639" w:rsidR="00901B5D" w:rsidRPr="00610FC9" w:rsidRDefault="00901B5D" w:rsidP="001831C9">
            <w:pPr>
              <w:rPr>
                <w:rFonts w:ascii="Times New Roman" w:eastAsia="Times New Roman" w:hAnsi="Times New Roman" w:cs="Times New Roman"/>
                <w:color w:val="000000"/>
                <w:sz w:val="22"/>
                <w:szCs w:val="22"/>
              </w:rPr>
            </w:pPr>
            <w:r w:rsidRPr="00610FC9">
              <w:rPr>
                <w:rFonts w:ascii="Times New Roman" w:hAnsi="Times New Roman" w:cs="Times New Roman"/>
                <w:color w:val="000000"/>
                <w:sz w:val="22"/>
                <w:szCs w:val="22"/>
              </w:rPr>
              <w:t>KRTAP13-1</w:t>
            </w:r>
            <w:proofErr w:type="gramStart"/>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KRTAP13</w:t>
            </w:r>
            <w:proofErr w:type="gramEnd"/>
            <w:r w:rsidRPr="00610FC9">
              <w:rPr>
                <w:rFonts w:ascii="Times New Roman" w:hAnsi="Times New Roman" w:cs="Times New Roman"/>
                <w:color w:val="000000"/>
                <w:sz w:val="22"/>
                <w:szCs w:val="22"/>
              </w:rPr>
              <w:t>-3</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KRTAP13-4</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KRTAP15-1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KRTAP19-2</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KRTAP19-3</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KRTAP19-4</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KRTAP19-5</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KRTAP19-6</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KRTAP19-7</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KRTAP22-2</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KRTAP6-3</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KRTAP6-2</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KRTAP22-1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KRTAP6-1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KRTAP20-1</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KRTAP20-4</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KRTAP20-2</w:t>
            </w:r>
            <w:r>
              <w:rPr>
                <w:rFonts w:ascii="Times New Roman" w:hAnsi="Times New Roman" w:cs="Times New Roman"/>
                <w:color w:val="000000"/>
                <w:sz w:val="22"/>
                <w:szCs w:val="22"/>
              </w:rPr>
              <w:t>,</w:t>
            </w:r>
            <w:r w:rsidRPr="00610FC9">
              <w:rPr>
                <w:rFonts w:ascii="Times New Roman" w:hAnsi="Times New Roman" w:cs="Times New Roman"/>
                <w:color w:val="000000"/>
                <w:sz w:val="22"/>
                <w:szCs w:val="22"/>
              </w:rPr>
              <w:t>KRTAP20-3</w:t>
            </w:r>
          </w:p>
        </w:tc>
      </w:tr>
    </w:tbl>
    <w:p w14:paraId="10080B37" w14:textId="77777777" w:rsidR="00D951B2" w:rsidRPr="00610FC9" w:rsidRDefault="00D951B2" w:rsidP="000403D4">
      <w:pPr>
        <w:jc w:val="both"/>
        <w:rPr>
          <w:rFonts w:ascii="Times New Roman" w:hAnsi="Times New Roman"/>
          <w:sz w:val="22"/>
          <w:szCs w:val="22"/>
        </w:rPr>
      </w:pPr>
    </w:p>
    <w:p w14:paraId="640174FA" w14:textId="77777777" w:rsidR="00AD3E16" w:rsidRPr="00610FC9" w:rsidRDefault="00AD3E16" w:rsidP="000403D4">
      <w:pPr>
        <w:jc w:val="both"/>
        <w:rPr>
          <w:rFonts w:ascii="Times New Roman" w:hAnsi="Times New Roman"/>
          <w:sz w:val="22"/>
          <w:szCs w:val="22"/>
        </w:rPr>
      </w:pPr>
    </w:p>
    <w:sectPr w:rsidR="00AD3E16" w:rsidRPr="00610FC9" w:rsidSect="000403D4">
      <w:pgSz w:w="16840" w:h="11900"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9"/>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3D4"/>
    <w:rsid w:val="000403D4"/>
    <w:rsid w:val="000814CF"/>
    <w:rsid w:val="001831C9"/>
    <w:rsid w:val="001B3E33"/>
    <w:rsid w:val="004A34BD"/>
    <w:rsid w:val="005750AF"/>
    <w:rsid w:val="005863FB"/>
    <w:rsid w:val="00610FC9"/>
    <w:rsid w:val="006562EA"/>
    <w:rsid w:val="006C40E6"/>
    <w:rsid w:val="0071014C"/>
    <w:rsid w:val="007E3CED"/>
    <w:rsid w:val="00896A6C"/>
    <w:rsid w:val="00901B5D"/>
    <w:rsid w:val="00990CCB"/>
    <w:rsid w:val="00AD3E16"/>
    <w:rsid w:val="00B61342"/>
    <w:rsid w:val="00CF40CA"/>
    <w:rsid w:val="00D25245"/>
    <w:rsid w:val="00D951B2"/>
    <w:rsid w:val="00DF3EED"/>
    <w:rsid w:val="00EA260F"/>
    <w:rsid w:val="00F8367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6EC0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lang w:val="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atterepredefinitoparagrafo"/>
    <w:uiPriority w:val="99"/>
    <w:unhideWhenUsed/>
    <w:rsid w:val="007E3CED"/>
    <w:rPr>
      <w:color w:val="0000FF" w:themeColor="hyperlink"/>
      <w:u w:val="single"/>
    </w:rPr>
  </w:style>
  <w:style w:type="paragraph" w:styleId="Revisione">
    <w:name w:val="Revision"/>
    <w:hidden/>
    <w:uiPriority w:val="99"/>
    <w:semiHidden/>
    <w:rsid w:val="00DF3EED"/>
    <w:rPr>
      <w:lang w:val="en-US"/>
    </w:rPr>
  </w:style>
  <w:style w:type="paragraph" w:styleId="Testofumetto">
    <w:name w:val="Balloon Text"/>
    <w:basedOn w:val="Normale"/>
    <w:link w:val="TestofumettoCarattere"/>
    <w:uiPriority w:val="99"/>
    <w:semiHidden/>
    <w:unhideWhenUsed/>
    <w:rsid w:val="00DF3EED"/>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DF3EED"/>
    <w:rPr>
      <w:rFonts w:ascii="Lucida Grande" w:hAnsi="Lucida Grande" w:cs="Lucida Grande"/>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lang w:val="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atterepredefinitoparagrafo"/>
    <w:uiPriority w:val="99"/>
    <w:unhideWhenUsed/>
    <w:rsid w:val="007E3CED"/>
    <w:rPr>
      <w:color w:val="0000FF" w:themeColor="hyperlink"/>
      <w:u w:val="single"/>
    </w:rPr>
  </w:style>
  <w:style w:type="paragraph" w:styleId="Revisione">
    <w:name w:val="Revision"/>
    <w:hidden/>
    <w:uiPriority w:val="99"/>
    <w:semiHidden/>
    <w:rsid w:val="00DF3EED"/>
    <w:rPr>
      <w:lang w:val="en-US"/>
    </w:rPr>
  </w:style>
  <w:style w:type="paragraph" w:styleId="Testofumetto">
    <w:name w:val="Balloon Text"/>
    <w:basedOn w:val="Normale"/>
    <w:link w:val="TestofumettoCarattere"/>
    <w:uiPriority w:val="99"/>
    <w:semiHidden/>
    <w:unhideWhenUsed/>
    <w:rsid w:val="00DF3EED"/>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DF3EED"/>
    <w:rPr>
      <w:rFonts w:ascii="Lucida Grande" w:hAnsi="Lucida Grande" w:cs="Lucida Grande"/>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217881">
      <w:bodyDiv w:val="1"/>
      <w:marLeft w:val="0"/>
      <w:marRight w:val="0"/>
      <w:marTop w:val="0"/>
      <w:marBottom w:val="0"/>
      <w:divBdr>
        <w:top w:val="none" w:sz="0" w:space="0" w:color="auto"/>
        <w:left w:val="none" w:sz="0" w:space="0" w:color="auto"/>
        <w:bottom w:val="none" w:sz="0" w:space="0" w:color="auto"/>
        <w:right w:val="none" w:sz="0" w:space="0" w:color="auto"/>
      </w:divBdr>
    </w:div>
    <w:div w:id="909578213">
      <w:bodyDiv w:val="1"/>
      <w:marLeft w:val="0"/>
      <w:marRight w:val="0"/>
      <w:marTop w:val="0"/>
      <w:marBottom w:val="0"/>
      <w:divBdr>
        <w:top w:val="none" w:sz="0" w:space="0" w:color="auto"/>
        <w:left w:val="none" w:sz="0" w:space="0" w:color="auto"/>
        <w:bottom w:val="none" w:sz="0" w:space="0" w:color="auto"/>
        <w:right w:val="none" w:sz="0" w:space="0" w:color="auto"/>
      </w:divBdr>
    </w:div>
    <w:div w:id="14034801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roadinstitute.org/gsea/"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634</Words>
  <Characters>3617</Characters>
  <Application>Microsoft Macintosh Word</Application>
  <DocSecurity>0</DocSecurity>
  <Lines>30</Lines>
  <Paragraphs>8</Paragraphs>
  <ScaleCrop>false</ScaleCrop>
  <Company/>
  <LinksUpToDate>false</LinksUpToDate>
  <CharactersWithSpaces>4243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Fabbri</dc:creator>
  <cp:keywords/>
  <dc:description/>
  <cp:lastModifiedBy>Chiara Fabbri</cp:lastModifiedBy>
  <cp:revision>4</cp:revision>
  <dcterms:created xsi:type="dcterms:W3CDTF">2018-05-14T09:34:00Z</dcterms:created>
  <dcterms:modified xsi:type="dcterms:W3CDTF">2018-05-14T09:54:00Z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zotero-version="5.0.47"&gt;&lt;session id="xsRUlEVE"/&gt;&lt;style id="http://www.zotero.org/styles/progress-in-neuropsychopharmacology-and-biological-psychiatry" hasBibliography="1" bibliographyStyleHasBeenSet="0"/&gt;&lt;prefs&gt;&lt;pref name="fieldType</vt:lpwstr>
  </property>
  <property fmtid="{D5CDD505-2E9C-101B-9397-08002B2CF9AE}" pid="3" name="ZOTERO_PREF_2">
    <vt:lpwstr>" value="Field"/&gt;&lt;pref name="automaticJournalAbbreviations" value="true"/&gt;&lt;/prefs&gt;&lt;/data&gt;</vt:lpwstr>
  </property>
</Properties>
</file>