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C8" w:rsidRPr="00FF7B5F" w:rsidRDefault="007A4BF2" w:rsidP="00FF7B5F">
      <w:pPr>
        <w:rPr>
          <w:rFonts w:ascii="Times New Roman" w:hAnsi="Times New Roman" w:cs="Times New Roman"/>
          <w:b/>
          <w:sz w:val="30"/>
          <w:szCs w:val="30"/>
        </w:rPr>
      </w:pPr>
      <w:r w:rsidRPr="00FF7B5F">
        <w:rPr>
          <w:rFonts w:ascii="Times New Roman" w:hAnsi="Times New Roman" w:cs="Times New Roman"/>
          <w:b/>
          <w:sz w:val="30"/>
          <w:szCs w:val="30"/>
        </w:rPr>
        <w:t xml:space="preserve">The process of </w:t>
      </w:r>
      <w:r w:rsidRPr="00FF7B5F">
        <w:rPr>
          <w:rFonts w:ascii="Times New Roman" w:hAnsi="Times New Roman" w:cs="Times New Roman" w:hint="eastAsia"/>
          <w:b/>
          <w:sz w:val="30"/>
          <w:szCs w:val="30"/>
        </w:rPr>
        <w:t xml:space="preserve">whole </w:t>
      </w:r>
      <w:proofErr w:type="spellStart"/>
      <w:r w:rsidRPr="00FF7B5F">
        <w:rPr>
          <w:rFonts w:ascii="Times New Roman" w:hAnsi="Times New Roman" w:cs="Times New Roman"/>
          <w:b/>
          <w:sz w:val="30"/>
          <w:szCs w:val="30"/>
        </w:rPr>
        <w:t>e</w:t>
      </w:r>
      <w:r w:rsidR="00531EC8" w:rsidRPr="00FF7B5F">
        <w:rPr>
          <w:rFonts w:ascii="Times New Roman" w:hAnsi="Times New Roman" w:cs="Times New Roman"/>
          <w:b/>
          <w:sz w:val="30"/>
          <w:szCs w:val="30"/>
        </w:rPr>
        <w:t>xome</w:t>
      </w:r>
      <w:proofErr w:type="spellEnd"/>
      <w:r w:rsidR="00531EC8" w:rsidRPr="00FF7B5F">
        <w:rPr>
          <w:rFonts w:ascii="Times New Roman" w:hAnsi="Times New Roman" w:cs="Times New Roman"/>
          <w:b/>
          <w:sz w:val="30"/>
          <w:szCs w:val="30"/>
        </w:rPr>
        <w:t xml:space="preserve"> sequencing</w:t>
      </w:r>
      <w:r w:rsidRPr="00FF7B5F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="00E11904" w:rsidRPr="00FF7B5F">
        <w:rPr>
          <w:rFonts w:ascii="Times New Roman" w:hAnsi="Times New Roman" w:cs="Times New Roman" w:hint="eastAsia"/>
          <w:b/>
          <w:sz w:val="30"/>
          <w:szCs w:val="30"/>
        </w:rPr>
        <w:t>and quality control</w:t>
      </w:r>
    </w:p>
    <w:p w:rsidR="00531EC8" w:rsidRPr="005D0BF5" w:rsidRDefault="00531EC8" w:rsidP="00531EC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OLE_LINK22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Peripheral blood was collected from all participants,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and genomic DNA was extracted according to a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phenol</w:t>
      </w:r>
      <w:r w:rsidRPr="006B177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–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chloroform procedure. </w:t>
      </w:r>
      <w:proofErr w:type="spellStart"/>
      <w:r w:rsidRPr="002A355C">
        <w:rPr>
          <w:rFonts w:ascii="Times New Roman" w:hAnsi="Times New Roman" w:cs="Times New Roman"/>
          <w:color w:val="000000"/>
          <w:kern w:val="0"/>
          <w:sz w:val="24"/>
          <w:szCs w:val="24"/>
        </w:rPr>
        <w:t>Exome</w:t>
      </w:r>
      <w:proofErr w:type="spellEnd"/>
      <w:r w:rsidRPr="002A35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sequencing was performed by </w:t>
      </w:r>
      <w:proofErr w:type="spellStart"/>
      <w:r w:rsidRPr="002A355C">
        <w:rPr>
          <w:rFonts w:ascii="Times New Roman" w:hAnsi="Times New Roman" w:cs="Times New Roman"/>
          <w:color w:val="000000"/>
          <w:kern w:val="0"/>
          <w:sz w:val="24"/>
          <w:szCs w:val="24"/>
        </w:rPr>
        <w:t>Macrogen</w:t>
      </w:r>
      <w:proofErr w:type="spellEnd"/>
      <w:r w:rsidRPr="002A35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(http://www.macrogen.com/), a commercial service.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DNA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sample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was prepared according to the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Illumina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Protocol. </w:t>
      </w:r>
      <w:bookmarkStart w:id="1" w:name="OLE_LINK21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Targeted enrichment was performed with </w:t>
      </w:r>
      <w:bookmarkStart w:id="2" w:name="OLE_LINK19"/>
      <w:bookmarkStart w:id="3" w:name="OLE_LINK18"/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TruSeq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Exome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Enrichment Kit</w:t>
      </w:r>
      <w:bookmarkEnd w:id="2"/>
      <w:bookmarkEnd w:id="3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optimized for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Illumina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sequencing. Briefly, genomic DNA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was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sheared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to 350-400 base pair using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Illumina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adapters.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The fragment was end repaired and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polyA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was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ligated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the 3</w:t>
      </w:r>
      <w:bookmarkStart w:id="4" w:name="OLE_LINK30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'</w:t>
      </w:r>
      <w:bookmarkEnd w:id="4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5' end and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Illumina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adapters.</w:t>
      </w:r>
      <w:bookmarkEnd w:id="1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size selected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product was PCR amplified, and the final product was validated using the Agilent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Bioanalyzer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. Two steps of hybridization and wash were needed for construction. PCR was used to amplify the enriched DNA library for sequencing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454686">
        <w:rPr>
          <w:rFonts w:ascii="Times New Roman" w:hAnsi="Times New Roman" w:cs="Times New Roman"/>
          <w:sz w:val="24"/>
          <w:szCs w:val="24"/>
        </w:rPr>
        <w:t xml:space="preserve">which produced 101bp end reads,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454686">
        <w:rPr>
          <w:rFonts w:ascii="Times New Roman" w:hAnsi="Times New Roman" w:cs="Times New Roman"/>
          <w:sz w:val="24"/>
          <w:szCs w:val="24"/>
        </w:rPr>
        <w:t xml:space="preserve">pproximately </w:t>
      </w:r>
      <w:r>
        <w:rPr>
          <w:rFonts w:ascii="Times New Roman" w:hAnsi="Times New Roman" w:cs="Times New Roman" w:hint="eastAsia"/>
          <w:sz w:val="24"/>
          <w:szCs w:val="24"/>
        </w:rPr>
        <w:t>6-10</w:t>
      </w:r>
      <w:r w:rsidRPr="00454686">
        <w:rPr>
          <w:rFonts w:ascii="Times New Roman" w:hAnsi="Times New Roman" w:cs="Times New Roman"/>
          <w:sz w:val="24"/>
          <w:szCs w:val="24"/>
        </w:rPr>
        <w:t xml:space="preserve"> billion base calls were generated for each sample</w:t>
      </w:r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PCR was performed with the same PCR primer cocktail used in </w:t>
      </w:r>
      <w:proofErr w:type="spellStart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>TruSeq</w:t>
      </w:r>
      <w:proofErr w:type="spellEnd"/>
      <w:r w:rsidRPr="006B17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DNA Sample Preparation.</w:t>
      </w:r>
      <w:bookmarkEnd w:id="0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454686">
        <w:rPr>
          <w:rFonts w:ascii="Times New Roman" w:hAnsi="Times New Roman" w:cs="Times New Roman"/>
          <w:sz w:val="24"/>
          <w:szCs w:val="24"/>
        </w:rPr>
        <w:t>The Enrichment Kit is designed to cover 62 Mb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454686">
        <w:rPr>
          <w:rFonts w:ascii="Times New Roman" w:hAnsi="Times New Roman" w:cs="Times New Roman"/>
          <w:sz w:val="24"/>
          <w:szCs w:val="24"/>
        </w:rPr>
        <w:t>exomic</w:t>
      </w:r>
      <w:proofErr w:type="spellEnd"/>
      <w:r w:rsidRPr="00454686">
        <w:rPr>
          <w:rFonts w:ascii="Times New Roman" w:hAnsi="Times New Roman" w:cs="Times New Roman"/>
          <w:sz w:val="24"/>
          <w:szCs w:val="24"/>
        </w:rPr>
        <w:t xml:space="preserve"> sequences</w:t>
      </w:r>
      <w:r w:rsidRPr="00DE2C26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Quality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control of raw data was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conducted by </w:t>
      </w:r>
      <w:proofErr w:type="spellStart"/>
      <w:r w:rsidRPr="00CA12C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FastQC</w:t>
      </w:r>
      <w:proofErr w:type="spellEnd"/>
      <w:r w:rsidR="007A4BF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A12C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software</w: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begin"/>
      </w:r>
      <w:r w:rsidR="003C1903">
        <w:rPr>
          <w:rFonts w:ascii="Times New Roman" w:hAnsi="Times New Roman" w:cs="Times New Roman"/>
          <w:color w:val="000000"/>
          <w:kern w:val="0"/>
          <w:sz w:val="24"/>
          <w:szCs w:val="24"/>
        </w:rPr>
        <w:instrText xml:space="preserve"> ADDIN EN.CITE &lt;EndNote&gt;&lt;Cite&gt;&lt;Author&gt;Andrews&lt;/Author&gt;&lt;Year&gt;2010&lt;/Year&gt;&lt;RecNum&gt;9&lt;/RecNum&gt;&lt;DisplayText&gt;(1)&lt;/DisplayText&gt;&lt;record&gt;&lt;rec-number&gt;9&lt;/rec-number&gt;&lt;foreign-keys&gt;&lt;key app="EN" db-id="2fsfs05xtvvszyedpfsx2ftfx2vwp0s9p5vs" timestamp="1446820975"&gt;9&lt;/key&gt;&lt;/foreign-keys&gt;&lt;ref-type name="Journal Article"&gt;17&lt;/ref-type&gt;&lt;contributors&gt;&lt;authors&gt;&lt;author&gt;Andrews, S&lt;/author&gt;&lt;/authors&gt;&lt;/contributors&gt;&lt;titles&gt;&lt;title&gt;FastQC: A quality control tool for high throughput sequence data&lt;/title&gt;&lt;secondary-title&gt;Reference Source&lt;/secondary-title&gt;&lt;/titles&gt;&lt;periodical&gt;&lt;full-title&gt;Reference Source&lt;/full-title&gt;&lt;/periodical&gt;&lt;dates&gt;&lt;year&gt;2010&lt;/year&gt;&lt;/dates&gt;&lt;urls&gt;&lt;/urls&gt;&lt;/record&gt;&lt;/Cite&gt;&lt;/EndNote&gt;</w:instrTex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separate"/>
      </w:r>
      <w:r w:rsidR="003C1903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(1)</w: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  <w:r w:rsidRPr="00CA12C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Raw read data were visualized using the Integrative Genome Viewer </w:t>
      </w:r>
      <w:r w:rsidRPr="00CA12C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(IGV)</w:t>
      </w:r>
      <w:r w:rsidR="002C5C78" w:rsidRPr="00CA12C1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begin"/>
      </w:r>
      <w:r w:rsidR="003C1903">
        <w:rPr>
          <w:rFonts w:ascii="Times New Roman" w:hAnsi="Times New Roman" w:cs="Times New Roman"/>
          <w:color w:val="000000"/>
          <w:kern w:val="0"/>
          <w:sz w:val="24"/>
          <w:szCs w:val="24"/>
        </w:rPr>
        <w:instrText xml:space="preserve"> ADDIN EN.CITE &lt;EndNote&gt;&lt;Cite&gt;&lt;Author&gt;Thorvaldsdóttir&lt;/Author&gt;&lt;Year&gt;2013&lt;/Year&gt;&lt;RecNum&gt;1879&lt;/RecNum&gt;&lt;DisplayText&gt;(2)&lt;/DisplayText&gt;&lt;record&gt;&lt;rec-number&gt;1879&lt;/rec-number&gt;&lt;foreign-keys&gt;&lt;key app="EN" db-id="z02xvf9xytds96efav5v9a07fd0pp5wasdsa"&gt;1879&lt;/key&gt;&lt;/foreign-keys&gt;&lt;ref-type name="Journal Article"&gt;17&lt;/ref-type&gt;&lt;contributors&gt;&lt;authors&gt;&lt;author&gt;Thorvaldsdóttir, Helga&lt;/author&gt;&lt;author&gt;Robinson, James T&lt;/author&gt;&lt;author&gt;Mesirov, Jill P&lt;/author&gt;&lt;/authors&gt;&lt;/contributors&gt;&lt;titles&gt;&lt;title&gt;Integrative Genomics Viewer (IGV): high-performance genomics data visualization and exploration&lt;/title&gt;&lt;secondary-title&gt;Briefings in bioinformatics&lt;/secondary-title&gt;&lt;/titles&gt;&lt;periodical&gt;&lt;full-title&gt;Briefings in bioinformatics&lt;/full-title&gt;&lt;/periodical&gt;&lt;pages&gt;178-192&lt;/pages&gt;&lt;volume&gt;14&lt;/volume&gt;&lt;number&gt;2&lt;/number&gt;&lt;dates&gt;&lt;year&gt;2013&lt;/year&gt;&lt;/dates&gt;&lt;isbn&gt;1467-5463&lt;/isbn&gt;&lt;urls&gt;&lt;/urls&gt;&lt;/record&gt;&lt;/Cite&gt;&lt;/EndNote&gt;</w:instrText>
      </w:r>
      <w:r w:rsidR="002C5C78" w:rsidRPr="00CA12C1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separate"/>
      </w:r>
      <w:r w:rsidR="003C1903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(2)</w:t>
      </w:r>
      <w:r w:rsidR="002C5C78" w:rsidRPr="00CA12C1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  <w:r w:rsidRPr="00CA12C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.</w:t>
      </w:r>
    </w:p>
    <w:p w:rsidR="00531EC8" w:rsidRPr="00FF7B5F" w:rsidRDefault="00531EC8" w:rsidP="00FF7B5F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7B5F">
        <w:rPr>
          <w:rFonts w:ascii="Times New Roman" w:hAnsi="Times New Roman" w:cs="Times New Roman" w:hint="eastAsia"/>
          <w:b/>
          <w:sz w:val="30"/>
          <w:szCs w:val="30"/>
        </w:rPr>
        <w:t>Quality control</w:t>
      </w:r>
      <w:r w:rsidR="00FF7B5F">
        <w:rPr>
          <w:rFonts w:ascii="Times New Roman" w:hAnsi="Times New Roman" w:cs="Times New Roman"/>
          <w:b/>
          <w:sz w:val="30"/>
          <w:szCs w:val="30"/>
        </w:rPr>
        <w:t xml:space="preserve"> (QC)</w:t>
      </w:r>
      <w:r w:rsidRPr="00FF7B5F">
        <w:rPr>
          <w:rFonts w:ascii="Times New Roman" w:hAnsi="Times New Roman" w:cs="Times New Roman" w:hint="eastAsia"/>
          <w:b/>
          <w:sz w:val="30"/>
          <w:szCs w:val="30"/>
        </w:rPr>
        <w:t>:</w:t>
      </w:r>
    </w:p>
    <w:p w:rsidR="00531EC8" w:rsidRPr="00FF7B5F" w:rsidRDefault="00531EC8" w:rsidP="00FF7B5F">
      <w:pPr>
        <w:rPr>
          <w:rFonts w:ascii="Times New Roman" w:hAnsi="Times New Roman" w:cs="Times New Roman"/>
          <w:i/>
          <w:color w:val="000000"/>
          <w:kern w:val="0"/>
          <w:szCs w:val="21"/>
          <w:u w:val="single"/>
        </w:rPr>
      </w:pPr>
      <w:r w:rsidRPr="00F772AF">
        <w:rPr>
          <w:rFonts w:ascii="Times New Roman" w:hAnsi="Times New Roman" w:cs="Times New Roman"/>
          <w:i/>
          <w:color w:val="000000"/>
          <w:kern w:val="0"/>
          <w:szCs w:val="21"/>
          <w:u w:val="single"/>
        </w:rPr>
        <w:t>I</w:t>
      </w:r>
      <w:r w:rsidRPr="00F772AF">
        <w:rPr>
          <w:rFonts w:ascii="Times New Roman" w:hAnsi="Times New Roman" w:cs="Times New Roman" w:hint="eastAsia"/>
          <w:i/>
          <w:color w:val="000000"/>
          <w:kern w:val="0"/>
          <w:szCs w:val="21"/>
          <w:u w:val="single"/>
        </w:rPr>
        <w:t>ndividual level QC</w:t>
      </w:r>
      <w:r w:rsidR="00FF7B5F">
        <w:rPr>
          <w:rFonts w:ascii="Times New Roman" w:hAnsi="Times New Roman" w:cs="Times New Roman"/>
          <w:i/>
          <w:color w:val="000000"/>
          <w:kern w:val="0"/>
          <w:szCs w:val="21"/>
          <w:u w:val="single"/>
        </w:rPr>
        <w:t xml:space="preserve">: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Individual level </w:t>
      </w:r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quality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control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was conducted on raw and clean variant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to make sure avoiding false positive variants. A suite of per-individual metrics, which included the </w:t>
      </w:r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total number of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alternate alleles, </w:t>
      </w:r>
      <w:proofErr w:type="spellStart"/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dbSNP</w:t>
      </w:r>
      <w:proofErr w:type="spellEnd"/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coverage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(build137)</w:t>
      </w:r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, and Transition/</w:t>
      </w:r>
      <w:proofErr w:type="spellStart"/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Transversion</w:t>
      </w:r>
      <w:proofErr w:type="spellEnd"/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(Ti/</w:t>
      </w:r>
      <w:proofErr w:type="spellStart"/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Tv</w:t>
      </w:r>
      <w:proofErr w:type="spellEnd"/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) ratio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, and </w:t>
      </w:r>
      <w:r w:rsidRPr="000F32A4">
        <w:rPr>
          <w:rFonts w:ascii="Times New Roman" w:hAnsi="Times New Roman" w:cs="Times New Roman"/>
          <w:color w:val="000000"/>
          <w:kern w:val="0"/>
          <w:sz w:val="24"/>
          <w:szCs w:val="24"/>
        </w:rPr>
        <w:t>variant quality recalibration (VQSR)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were calculated. From available </w:t>
      </w:r>
      <w:proofErr w:type="spellStart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exome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data, we extracted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common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variants and estimated per-individ</w:t>
      </w:r>
      <w:r w:rsidR="00FF7B5F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ual </w:t>
      </w:r>
      <w:proofErr w:type="spellStart"/>
      <w:r w:rsidR="00FF7B5F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heterozygosity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pairwise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relatedness, and sex-check using PLINK</w: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begin"/>
      </w:r>
      <w:r w:rsidR="003C1903">
        <w:rPr>
          <w:rFonts w:ascii="Times New Roman" w:hAnsi="Times New Roman" w:cs="Times New Roman"/>
          <w:color w:val="000000"/>
          <w:kern w:val="0"/>
          <w:sz w:val="24"/>
          <w:szCs w:val="24"/>
        </w:rPr>
        <w:instrText xml:space="preserve"> ADDIN EN.CITE &lt;EndNote&gt;&lt;Cite&gt;&lt;Author&gt;Purcell&lt;/Author&gt;&lt;Year&gt;2007&lt;/Year&gt;&lt;RecNum&gt;823&lt;/RecNum&gt;&lt;DisplayText&gt;(3)&lt;/DisplayText&gt;&lt;record&gt;&lt;rec-number&gt;823&lt;/rec-number&gt;&lt;foreign-keys&gt;&lt;key app="EN" db-id="z02xvf9xytds96efav5v9a07fd0pp5wasdsa"&gt;823&lt;/key&gt;&lt;/foreign-keys&gt;&lt;ref-type name="Journal Article"&gt;17&lt;/ref-type&gt;&lt;contributors&gt;&lt;authors&gt;&lt;author&gt;Purcell, S.&lt;/author&gt;&lt;author&gt;Neale, B.&lt;/author&gt;&lt;author&gt;Todd-Brown, K.&lt;/author&gt;&lt;author&gt;Thomas, L.&lt;/author&gt;&lt;author&gt;Ferreira, M.A.R.&lt;/author&gt;&lt;author&gt;Bender, D.&lt;/author&gt;&lt;author&gt;Maller, J.&lt;/author&gt;&lt;author&gt;Sklar, P.&lt;/author&gt;&lt;author&gt;De Bakker, P.I.W.&lt;/author&gt;&lt;author&gt;Daly, M.J.&lt;/author&gt;&lt;/authors&gt;&lt;/contributors&gt;&lt;titles&gt;&lt;title&gt;PLINK: a tool set for whole-genome association and population-based linkage analyses&lt;/title&gt;&lt;secondary-title&gt;The American Journal of Human Genetics&lt;/secondary-title&gt;&lt;/titles&gt;&lt;periodical&gt;&lt;full-title&gt;The American Journal of Human Genetics&lt;/full-title&gt;&lt;/periodical&gt;&lt;pages&gt;559-575&lt;/pages&gt;&lt;volume&gt;81&lt;/volume&gt;&lt;number&gt;3&lt;/number&gt;&lt;dates&gt;&lt;year&gt;2007&lt;/year&gt;&lt;/dates&gt;&lt;isbn&gt;0002-9297&lt;/isbn&gt;&lt;urls&gt;&lt;/urls&gt;&lt;/record&gt;&lt;/Cite&gt;&lt;/EndNote&gt;</w:instrTex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separate"/>
      </w:r>
      <w:r w:rsidR="003C1903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(3)</w: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.</w:t>
      </w:r>
      <w:r w:rsidR="007A4BF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e also use EIGENSOFT</w:t>
      </w:r>
      <w:r w:rsidR="00FF7B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begin"/>
      </w:r>
      <w:r w:rsidR="003C1903">
        <w:rPr>
          <w:rFonts w:ascii="Times New Roman" w:hAnsi="Times New Roman" w:cs="Times New Roman"/>
          <w:color w:val="000000"/>
          <w:kern w:val="0"/>
          <w:sz w:val="24"/>
          <w:szCs w:val="24"/>
        </w:rPr>
        <w:instrText xml:space="preserve"> ADDIN EN.CITE &lt;EndNote&gt;&lt;Cite&gt;&lt;Author&gt;Price&lt;/Author&gt;&lt;Year&gt;2006&lt;/Year&gt;&lt;RecNum&gt;1880&lt;/RecNum&gt;&lt;DisplayText&gt;(4)&lt;/DisplayText&gt;&lt;record&gt;&lt;rec-number&gt;1880&lt;/rec-number&gt;&lt;foreign-keys&gt;&lt;key app="EN" db-id="z02xvf9xytds96efav5v9a07fd0pp5wasdsa"&gt;1880&lt;/key&gt;&lt;/foreign-keys&gt;&lt;ref-type name="Journal Article"&gt;17&lt;/ref-type&gt;&lt;contributors&gt;&lt;authors&gt;&lt;author&gt;Price, Alkes L&lt;/author&gt;&lt;author&gt;Patterson, Nick J&lt;/author&gt;&lt;author&gt;Plenge, Robert M&lt;/author&gt;&lt;author&gt;Weinblatt, Michael E&lt;/author&gt;&lt;author&gt;Shadick, Nancy A&lt;/author&gt;&lt;author&gt;Reich, David&lt;/author&gt;&lt;/authors&gt;&lt;/contributors&gt;&lt;titles&gt;&lt;title&gt;Principal components analysis corrects for stratification in genome-wide association studies&lt;/title&gt;&lt;secondary-title&gt;Nature genetics&lt;/secondary-title&gt;&lt;/titles&gt;&lt;periodical&gt;&lt;full-title&gt;Nature genetics&lt;/full-title&gt;&lt;/periodical&gt;&lt;pages&gt;904-909&lt;/pages&gt;&lt;volume&gt;38&lt;/volume&gt;&lt;number&gt;8&lt;/number&gt;&lt;dates&gt;&lt;year&gt;2006&lt;/year&gt;&lt;/dates&gt;&lt;urls&gt;&lt;/urls&gt;&lt;/record&gt;&lt;/Cite&gt;&lt;/EndNote&gt;</w:instrTex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separate"/>
      </w:r>
      <w:r w:rsidR="003C1903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(4)</w:t>
      </w:r>
      <w:r w:rsidR="002C5C7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FF7B5F">
        <w:rPr>
          <w:rFonts w:ascii="Times New Roman" w:hAnsi="Times New Roman" w:cs="Times New Roman"/>
          <w:color w:val="000000"/>
          <w:kern w:val="0"/>
          <w:sz w:val="24"/>
          <w:szCs w:val="24"/>
        </w:rPr>
        <w:t>to perform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population stratification analysis.</w:t>
      </w:r>
      <w:r w:rsidR="00E000E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After calculating all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metric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s above, we remove 6 </w:t>
      </w:r>
      <w:r w:rsidR="00E000E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samples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(3 </w:t>
      </w:r>
      <w:r w:rsidR="00E000E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cases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and 3</w:t>
      </w:r>
      <w:r w:rsidR="00E000E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controls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),</w:t>
      </w:r>
      <w:r w:rsidR="007A4BF2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and </w:t>
      </w:r>
      <w:r w:rsidR="00E000E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delete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these samples for following analysis</w:t>
      </w:r>
      <w:r w:rsidRPr="005A20F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531EC8" w:rsidRDefault="00531EC8" w:rsidP="00531EC8">
      <w:pPr>
        <w:rPr>
          <w:rFonts w:ascii="Times New Roman" w:hAnsi="Times New Roman" w:cs="Times New Roman"/>
          <w:color w:val="000000"/>
          <w:kern w:val="0"/>
          <w:szCs w:val="21"/>
          <w:u w:val="single"/>
        </w:rPr>
      </w:pPr>
    </w:p>
    <w:p w:rsidR="00531EC8" w:rsidRPr="00477BA8" w:rsidRDefault="00531EC8" w:rsidP="00FF7B5F">
      <w:pPr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</w:pPr>
      <w:r w:rsidRPr="00477BA8"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>Variants QC</w:t>
      </w:r>
      <w:r w:rsidR="00FF7B5F" w:rsidRPr="00477BA8"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 xml:space="preserve">: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Variants quality co</w:t>
      </w:r>
      <w:r w:rsidR="006B3BE5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ntrol was conducted by </w:t>
      </w:r>
      <w:proofErr w:type="spellStart"/>
      <w:r w:rsidR="006B3BE5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KGGSeq</w:t>
      </w:r>
      <w:proofErr w:type="spellEnd"/>
      <w:r w:rsidR="006B3BE5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software </w:t>
      </w:r>
      <w:r w:rsidR="002C5C78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begin"/>
      </w:r>
      <w:r w:rsidR="003C1903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instrText xml:space="preserve"> ADDIN EN.CITE &lt;EndNote&gt;&lt;Cite&gt;&lt;Author&gt;Li&lt;/Author&gt;&lt;Year&gt;2012&lt;/Year&gt;&lt;RecNum&gt;1551&lt;/RecNum&gt;&lt;DisplayText&gt;(5)&lt;/DisplayText&gt;&lt;record&gt;&lt;rec-number&gt;1551&lt;/rec-number&gt;&lt;foreign-keys&gt;&lt;key app="EN" db-id="z02xvf9xytds96efav5v9a07fd0pp5wasdsa"&gt;1551&lt;/key&gt;&lt;/foreign-keys&gt;&lt;ref-type name="Journal Article"&gt;17&lt;/ref-type&gt;&lt;contributors&gt;&lt;authors&gt;&lt;author&gt;Li, Miao-Xin&lt;/author&gt;&lt;author&gt;Gui, Hong-Sheng&lt;/author&gt;&lt;author&gt;Kwan, Johnny SH&lt;/author&gt;&lt;author&gt;Bao, Su-Ying&lt;/author&gt;&lt;author&gt;Sham, Pak C&lt;/author&gt;&lt;/authors&gt;&lt;/contributors&gt;&lt;titles&gt;&lt;title&gt;A comprehensive framework for prioritizing variants in exome sequencing studies of Mendelian diseases&lt;/title&gt;&lt;secondary-title&gt;Nucleic acids research&lt;/secondary-title&gt;&lt;/titles&gt;&lt;periodical&gt;&lt;full-title&gt;Nucleic acids research&lt;/full-title&gt;&lt;/periodical&gt;&lt;pages&gt;e53-e53&lt;/pages&gt;&lt;volume&gt;40&lt;/volume&gt;&lt;number&gt;7&lt;/number&gt;&lt;dates&gt;&lt;year&gt;2012&lt;/year&gt;&lt;/dates&gt;&lt;isbn&gt;0305-1048&lt;/isbn&gt;&lt;urls&gt;&lt;/urls&gt;&lt;/record&gt;&lt;/Cite&gt;&lt;/EndNote&gt;</w:instrText>
      </w:r>
      <w:r w:rsidR="002C5C78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separate"/>
      </w:r>
      <w:r w:rsidR="003C1903" w:rsidRPr="00477BA8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(5)</w:t>
      </w:r>
      <w:r w:rsidR="002C5C78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These parameters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were 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included (1)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Variants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were kept if t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he minimum overall sequencing quality scores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50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seq-qual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50) and the minimum overall mapping quality score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20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seq-mq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20); 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(2)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The minimal genotyping quality per genotype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30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gty-qual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30) and the minimal read depth per genotype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30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gty-qual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30); 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(3)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The fraction of the reads carrying alternative allele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≦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5% at a reference-allele homozygous genotype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gty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af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-ref 0.05), the fraction of the reads carrying alternative allele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25% at a heterozygous genotype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gty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af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-het 0.25), and the fraction of the reads carrying alternative allele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75% at a alternative-allele homozygous genotype(--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gty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af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-alt 0.75); 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(4)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Minimal observed number of non-missing genotypes in all samples as 50 (--min-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obs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50); 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(5)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Variants in controls with the Hardy-Weinberg test p value</w:t>
      </w:r>
      <w:r w:rsidRPr="00477BA8">
        <w:rPr>
          <w:rFonts w:ascii="Times New Roman" w:hAnsiTheme="minorEastAsia" w:cs="Times New Roman"/>
          <w:color w:val="000000"/>
          <w:kern w:val="0"/>
          <w:sz w:val="24"/>
          <w:szCs w:val="24"/>
        </w:rPr>
        <w:t>≧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0.00001 (--</w:t>
      </w:r>
      <w:proofErr w:type="spellStart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hwe</w:t>
      </w:r>
      <w:proofErr w:type="spellEnd"/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-control 1.0E-5); 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(6) </w:t>
      </w:r>
      <w:r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Variants with "FILTER" matching the VQSR labels</w:t>
      </w:r>
      <w:r w:rsidR="00810754" w:rsidRPr="00477BA8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:rsidR="007A4BF2" w:rsidRDefault="007A4BF2"/>
    <w:p w:rsidR="007A4BF2" w:rsidRPr="00C6007B" w:rsidRDefault="00C6007B" w:rsidP="00C6007B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</w:rPr>
      </w:pPr>
      <w:r w:rsidRPr="009C427E"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3C1903" w:rsidRPr="003C1903" w:rsidRDefault="002C5C78" w:rsidP="003C1903">
      <w:pPr>
        <w:pStyle w:val="EndNoteBibliography"/>
        <w:rPr>
          <w:noProof/>
        </w:rPr>
      </w:pPr>
      <w:r w:rsidRPr="002C5C78">
        <w:fldChar w:fldCharType="begin"/>
      </w:r>
      <w:r w:rsidR="007A4BF2">
        <w:instrText xml:space="preserve"> ADDIN EN.REFLIST </w:instrText>
      </w:r>
      <w:r w:rsidRPr="002C5C78">
        <w:fldChar w:fldCharType="separate"/>
      </w:r>
      <w:r w:rsidR="003C1903" w:rsidRPr="003C1903">
        <w:rPr>
          <w:noProof/>
        </w:rPr>
        <w:t>1.</w:t>
      </w:r>
      <w:r w:rsidR="003C1903" w:rsidRPr="003C1903">
        <w:rPr>
          <w:noProof/>
        </w:rPr>
        <w:tab/>
        <w:t>Andrews S. FastQC: A quality control tool for high throughput sequence data. Reference Source. 2010.</w:t>
      </w:r>
    </w:p>
    <w:p w:rsidR="003C1903" w:rsidRPr="003C1903" w:rsidRDefault="003C1903" w:rsidP="003C1903">
      <w:pPr>
        <w:pStyle w:val="EndNoteBibliography"/>
        <w:rPr>
          <w:noProof/>
        </w:rPr>
      </w:pPr>
      <w:r w:rsidRPr="003C1903">
        <w:rPr>
          <w:noProof/>
        </w:rPr>
        <w:t>2.</w:t>
      </w:r>
      <w:r w:rsidRPr="003C1903">
        <w:rPr>
          <w:noProof/>
        </w:rPr>
        <w:tab/>
        <w:t>Thorvaldsdóttir H, Robinson JT, Mesirov JP. Integrative Genomics Viewer (IGV): high-performance genomics data visualization and exploration. Briefings in bioinformatics. 2013; 14(2): 178-92.</w:t>
      </w:r>
    </w:p>
    <w:p w:rsidR="003C1903" w:rsidRPr="003C1903" w:rsidRDefault="003C1903" w:rsidP="003C1903">
      <w:pPr>
        <w:pStyle w:val="EndNoteBibliography"/>
        <w:rPr>
          <w:noProof/>
        </w:rPr>
      </w:pPr>
      <w:r w:rsidRPr="003C1903">
        <w:rPr>
          <w:noProof/>
        </w:rPr>
        <w:lastRenderedPageBreak/>
        <w:t>3.</w:t>
      </w:r>
      <w:r w:rsidRPr="003C1903">
        <w:rPr>
          <w:noProof/>
        </w:rPr>
        <w:tab/>
        <w:t>Purcell S, Neale B, Todd-Brown K, Thomas L, Ferreira MAR, Bender D, et al. PLINK: a tool set for whole-genome association and population-based linkage analyses. The American Journal of Human Genetics. 2007; 81(3): 559-75.</w:t>
      </w:r>
    </w:p>
    <w:p w:rsidR="003C1903" w:rsidRPr="003C1903" w:rsidRDefault="003C1903" w:rsidP="003C1903">
      <w:pPr>
        <w:pStyle w:val="EndNoteBibliography"/>
        <w:rPr>
          <w:noProof/>
        </w:rPr>
      </w:pPr>
      <w:r w:rsidRPr="003C1903">
        <w:rPr>
          <w:noProof/>
        </w:rPr>
        <w:t>4.</w:t>
      </w:r>
      <w:r w:rsidRPr="003C1903">
        <w:rPr>
          <w:noProof/>
        </w:rPr>
        <w:tab/>
        <w:t>Price AL, Patterson NJ, Plenge RM, Weinblatt ME, Shadick NA, Reich D. Principal components analysis corrects for stratification in genome-wide association studies. Nature genetics. 2006; 38(8): 904-9.</w:t>
      </w:r>
    </w:p>
    <w:p w:rsidR="003C1903" w:rsidRPr="003C1903" w:rsidRDefault="003C1903" w:rsidP="003C1903">
      <w:pPr>
        <w:pStyle w:val="EndNoteBibliography"/>
        <w:rPr>
          <w:noProof/>
        </w:rPr>
      </w:pPr>
      <w:r w:rsidRPr="003C1903">
        <w:rPr>
          <w:noProof/>
        </w:rPr>
        <w:t>5.</w:t>
      </w:r>
      <w:r w:rsidRPr="003C1903">
        <w:rPr>
          <w:noProof/>
        </w:rPr>
        <w:tab/>
        <w:t>Li M-X, Gui H-S, Kwan JS, Bao S-Y, Sham PC. A comprehensive framework for prioritizing variants in exome sequencing studies of Mendelian diseases. Nucleic acids research. 2012; 40(7): e53-e.</w:t>
      </w:r>
    </w:p>
    <w:p w:rsidR="0097554B" w:rsidRDefault="002C5C78">
      <w:r>
        <w:fldChar w:fldCharType="end"/>
      </w:r>
    </w:p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p w:rsidR="00957373" w:rsidRDefault="00957373"/>
    <w:tbl>
      <w:tblPr>
        <w:tblW w:w="9830" w:type="dxa"/>
        <w:tblInd w:w="108" w:type="dxa"/>
        <w:tblLook w:val="04A0"/>
      </w:tblPr>
      <w:tblGrid>
        <w:gridCol w:w="1790"/>
        <w:gridCol w:w="5360"/>
        <w:gridCol w:w="2680"/>
      </w:tblGrid>
      <w:tr w:rsidR="00B171BE" w:rsidRPr="00B171BE" w:rsidTr="00B171BE">
        <w:trPr>
          <w:trHeight w:val="350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Table1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1C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15 brain regions were used to compute the </w:t>
            </w:r>
            <w:proofErr w:type="spellStart"/>
            <w:r w:rsidRPr="00161C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coexpression</w:t>
            </w:r>
            <w:proofErr w:type="spellEnd"/>
            <w:r w:rsidRPr="00161C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network</w:t>
            </w: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STR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Striatum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B171BE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MD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Mediodorsal</w:t>
            </w:r>
            <w:proofErr w:type="spellEnd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nucleus of thalamus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B171BE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AMY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Amygdaloid</w:t>
            </w:r>
            <w:proofErr w:type="spellEnd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complex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B171BE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HIP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Hippocampus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B171BE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A1C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Primary auditory cortex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1BE" w:rsidRPr="00B171BE" w:rsidRDefault="00B171BE" w:rsidP="00B171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Neocortical regions</w:t>
            </w: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M1C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Primary motor cortex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S1C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Primary somatosensory cortex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V1C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Primary visual cortex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DFC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Dorsolateral prefrontal cortex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MFC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Anterior (rostral) cingulate (medial prefrontal) cortex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OFC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Orbital frontal cortex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VFC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Ventrolateral</w:t>
            </w:r>
            <w:proofErr w:type="spellEnd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prefrontal cortex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ITC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Inferolateral</w:t>
            </w:r>
            <w:proofErr w:type="spellEnd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temporal cortex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STC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Posterior (caudal) superior temporal cortex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171BE" w:rsidRPr="00B171BE" w:rsidTr="00B171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IPC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Posteroinferior</w:t>
            </w:r>
            <w:proofErr w:type="spellEnd"/>
            <w:r w:rsidRPr="00B171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(ventral) parietal cortex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BE" w:rsidRPr="00B171BE" w:rsidRDefault="00B171BE" w:rsidP="00B171B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171BE" w:rsidRDefault="00B171BE"/>
    <w:p w:rsidR="002B702F" w:rsidRDefault="002B702F" w:rsidP="002B702F"/>
    <w:p w:rsidR="002B702F" w:rsidRDefault="002B702F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p w:rsidR="00957373" w:rsidRDefault="00957373" w:rsidP="002B702F"/>
    <w:tbl>
      <w:tblPr>
        <w:tblW w:w="9090" w:type="dxa"/>
        <w:tblInd w:w="108" w:type="dxa"/>
        <w:tblLayout w:type="fixed"/>
        <w:tblLook w:val="04A0"/>
      </w:tblPr>
      <w:tblGrid>
        <w:gridCol w:w="2200"/>
        <w:gridCol w:w="1103"/>
        <w:gridCol w:w="1119"/>
        <w:gridCol w:w="1107"/>
        <w:gridCol w:w="1275"/>
        <w:gridCol w:w="1178"/>
        <w:gridCol w:w="1060"/>
        <w:gridCol w:w="48"/>
      </w:tblGrid>
      <w:tr w:rsidR="002B702F" w:rsidRPr="0077082F" w:rsidTr="00161C49">
        <w:trPr>
          <w:trHeight w:val="360"/>
        </w:trPr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77082F" w:rsidRDefault="002B702F" w:rsidP="002B702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</w:rPr>
              <w:t>Supplementary Table</w:t>
            </w:r>
            <w:r w:rsidRPr="0077082F">
              <w:rPr>
                <w:rFonts w:ascii="Calibri" w:hAnsi="Calibri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2</w:t>
            </w:r>
            <w:r w:rsidRPr="0077082F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77082F">
              <w:rPr>
                <w:rFonts w:ascii="Calibri" w:eastAsia="Times New Roman" w:hAnsi="Calibri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 xml:space="preserve">The correlation coefficient among 5 original FA variables </w:t>
            </w:r>
          </w:p>
        </w:tc>
      </w:tr>
      <w:tr w:rsidR="0077082F" w:rsidRPr="0077082F" w:rsidTr="0077082F">
        <w:trPr>
          <w:gridAfter w:val="1"/>
          <w:wAfter w:w="48" w:type="dxa"/>
          <w:trHeight w:val="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Brain areas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PUN</w:t>
            </w: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_R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PUN</w:t>
            </w: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_L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EB6F4B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ACC_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ACC_R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7082F" w:rsidRPr="0077082F" w:rsidTr="0077082F">
        <w:trPr>
          <w:gridAfter w:val="1"/>
          <w:wAfter w:w="48" w:type="dxa"/>
          <w:trHeight w:val="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EB6F4B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PUN</w:t>
            </w: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_R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7082F" w:rsidRPr="0077082F" w:rsidTr="0077082F">
        <w:trPr>
          <w:gridAfter w:val="1"/>
          <w:wAfter w:w="48" w:type="dxa"/>
          <w:trHeight w:val="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EB6F4B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PUN</w:t>
            </w: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_L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7082F" w:rsidRPr="0077082F" w:rsidTr="0077082F">
        <w:trPr>
          <w:gridAfter w:val="1"/>
          <w:wAfter w:w="48" w:type="dxa"/>
          <w:trHeight w:val="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EB6F4B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ACC_</w:t>
            </w:r>
            <w:r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7082F" w:rsidRPr="0077082F" w:rsidTr="0077082F">
        <w:trPr>
          <w:gridAfter w:val="1"/>
          <w:wAfter w:w="48" w:type="dxa"/>
          <w:trHeight w:val="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EB6F4B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ACC_</w:t>
            </w:r>
            <w:r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7708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.632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7082F" w:rsidRPr="0077082F" w:rsidTr="0077082F">
        <w:trPr>
          <w:gridAfter w:val="1"/>
          <w:wAfter w:w="48" w:type="dxa"/>
          <w:trHeight w:val="3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EB6F4B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28"/>
                <w:szCs w:val="28"/>
              </w:rPr>
              <w:t>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0.692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0.52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2F" w:rsidRPr="0077082F" w:rsidRDefault="0077082F" w:rsidP="00161C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2F" w:rsidRPr="0077082F" w:rsidRDefault="007708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</w:pPr>
            <w:r w:rsidRPr="0077082F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2B702F" w:rsidRDefault="002B702F" w:rsidP="002B702F"/>
    <w:p w:rsidR="0077082F" w:rsidRPr="0042581D" w:rsidRDefault="00EF59C5" w:rsidP="0077082F">
      <w:pPr>
        <w:rPr>
          <w:sz w:val="28"/>
          <w:szCs w:val="28"/>
        </w:rPr>
      </w:pPr>
      <w:r w:rsidRPr="00EF59C5">
        <w:rPr>
          <w:rFonts w:ascii="Times New Roman" w:hAnsi="Times New Roman" w:cs="Times New Roman" w:hint="eastAsia"/>
          <w:color w:val="000000"/>
          <w:sz w:val="28"/>
          <w:szCs w:val="28"/>
        </w:rPr>
        <w:t>PUN:</w:t>
      </w:r>
      <w:r w:rsidRPr="00EF59C5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proofErr w:type="spellStart"/>
      <w:r w:rsidR="0042581D">
        <w:rPr>
          <w:rFonts w:ascii="Times New Roman" w:hAnsi="Times New Roman" w:hint="eastAsia"/>
          <w:color w:val="000000"/>
          <w:sz w:val="28"/>
          <w:szCs w:val="28"/>
        </w:rPr>
        <w:t>p</w:t>
      </w:r>
      <w:r w:rsidR="0077082F" w:rsidRPr="00EF59C5">
        <w:rPr>
          <w:rFonts w:ascii="Times New Roman" w:hAnsi="Times New Roman" w:cs="Times New Roman"/>
          <w:color w:val="000000"/>
          <w:sz w:val="28"/>
          <w:szCs w:val="28"/>
        </w:rPr>
        <w:t>recuneus</w:t>
      </w:r>
      <w:proofErr w:type="spellEnd"/>
      <w:r w:rsidR="0077082F" w:rsidRPr="00EF59C5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; ACC: </w:t>
      </w:r>
      <w:r w:rsidR="0077082F" w:rsidRPr="00EF59C5">
        <w:rPr>
          <w:rFonts w:ascii="Times New Roman" w:hAnsi="Times New Roman"/>
          <w:color w:val="000000"/>
          <w:sz w:val="28"/>
          <w:szCs w:val="28"/>
        </w:rPr>
        <w:t xml:space="preserve">anterior </w:t>
      </w:r>
      <w:proofErr w:type="spellStart"/>
      <w:r w:rsidR="0077082F" w:rsidRPr="00EF59C5">
        <w:rPr>
          <w:rFonts w:ascii="Times New Roman" w:hAnsi="Times New Roman"/>
          <w:color w:val="000000"/>
          <w:sz w:val="28"/>
          <w:szCs w:val="28"/>
        </w:rPr>
        <w:t>cingulate</w:t>
      </w:r>
      <w:proofErr w:type="spellEnd"/>
      <w:r w:rsidR="0077082F" w:rsidRPr="00EF59C5">
        <w:rPr>
          <w:rFonts w:ascii="Times New Roman" w:hAnsi="Times New Roman"/>
          <w:color w:val="000000"/>
          <w:sz w:val="28"/>
          <w:szCs w:val="28"/>
        </w:rPr>
        <w:t xml:space="preserve"> cortex</w:t>
      </w:r>
      <w:r w:rsidR="0077082F" w:rsidRPr="00EF59C5">
        <w:rPr>
          <w:rFonts w:ascii="Times New Roman" w:hAnsi="Times New Roman" w:hint="eastAsia"/>
          <w:color w:val="000000"/>
          <w:sz w:val="28"/>
          <w:szCs w:val="28"/>
        </w:rPr>
        <w:t>; EN:</w:t>
      </w:r>
      <w:r w:rsidR="0077082F" w:rsidRPr="00EF59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81D">
        <w:rPr>
          <w:rFonts w:ascii="Times New Roman" w:hAnsi="Times New Roman" w:cs="Times New Roman" w:hint="eastAsia"/>
          <w:color w:val="000000"/>
          <w:sz w:val="28"/>
          <w:szCs w:val="28"/>
        </w:rPr>
        <w:t>e</w:t>
      </w:r>
      <w:r w:rsidR="0042581D">
        <w:rPr>
          <w:rFonts w:ascii="Times New Roman" w:eastAsia="Times New Roman" w:hAnsi="Times New Roman" w:cs="Times New Roman"/>
          <w:color w:val="000000"/>
          <w:sz w:val="28"/>
          <w:szCs w:val="28"/>
        </w:rPr>
        <w:t>xtra-</w:t>
      </w:r>
      <w:r w:rsidR="0042581D">
        <w:rPr>
          <w:rFonts w:ascii="Times New Roman" w:hAnsi="Times New Roman" w:cs="Times New Roman" w:hint="eastAsia"/>
          <w:color w:val="000000"/>
          <w:sz w:val="28"/>
          <w:szCs w:val="28"/>
        </w:rPr>
        <w:t>n</w:t>
      </w:r>
      <w:r w:rsidR="0077082F" w:rsidRPr="00EF59C5">
        <w:rPr>
          <w:rFonts w:ascii="Times New Roman" w:eastAsia="Times New Roman" w:hAnsi="Times New Roman" w:cs="Times New Roman"/>
          <w:color w:val="000000"/>
          <w:sz w:val="28"/>
          <w:szCs w:val="28"/>
        </w:rPr>
        <w:t>uclear</w:t>
      </w:r>
      <w:r w:rsidR="0042581D">
        <w:rPr>
          <w:rFonts w:ascii="Times New Roman" w:hAnsi="Times New Roman" w:cs="Times New Roman" w:hint="eastAsia"/>
          <w:color w:val="000000"/>
          <w:sz w:val="28"/>
          <w:szCs w:val="28"/>
        </w:rPr>
        <w:t>; R: right; L: left</w:t>
      </w:r>
    </w:p>
    <w:p w:rsidR="002B702F" w:rsidRPr="0077082F" w:rsidRDefault="002B702F" w:rsidP="002B702F"/>
    <w:p w:rsidR="002B702F" w:rsidRPr="00EF59C5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Default="002B702F" w:rsidP="002B702F"/>
    <w:p w:rsidR="002B702F" w:rsidRPr="00161C49" w:rsidRDefault="002B702F" w:rsidP="002B702F">
      <w:pPr>
        <w:rPr>
          <w:sz w:val="24"/>
          <w:szCs w:val="24"/>
        </w:rPr>
      </w:pPr>
    </w:p>
    <w:p w:rsidR="002B702F" w:rsidRPr="00161C49" w:rsidRDefault="002B702F" w:rsidP="002B702F">
      <w:pPr>
        <w:rPr>
          <w:sz w:val="24"/>
          <w:szCs w:val="24"/>
        </w:rPr>
      </w:pPr>
      <w:r w:rsidRPr="00161C49">
        <w:rPr>
          <w:rFonts w:ascii="Calibri" w:hAnsi="Calibri"/>
          <w:b/>
          <w:color w:val="000000"/>
          <w:sz w:val="24"/>
          <w:szCs w:val="24"/>
        </w:rPr>
        <w:t>Supplementary Table</w:t>
      </w:r>
      <w:r w:rsidRPr="00161C49">
        <w:rPr>
          <w:rFonts w:ascii="Calibri" w:hAnsi="Calibri" w:hint="eastAsia"/>
          <w:b/>
          <w:color w:val="000000"/>
          <w:sz w:val="24"/>
          <w:szCs w:val="24"/>
        </w:rPr>
        <w:t>3</w:t>
      </w:r>
      <w:r w:rsidRPr="00161C49">
        <w:rPr>
          <w:rFonts w:ascii="Calibri" w:hAnsi="Calibri"/>
          <w:color w:val="000000"/>
          <w:sz w:val="24"/>
          <w:szCs w:val="24"/>
        </w:rPr>
        <w:t xml:space="preserve">  </w:t>
      </w:r>
      <w:r w:rsidRPr="00161C49">
        <w:rPr>
          <w:rFonts w:ascii="Calibri" w:hAnsi="Calibri" w:hint="eastAsia"/>
          <w:color w:val="000000"/>
          <w:sz w:val="24"/>
          <w:szCs w:val="24"/>
        </w:rPr>
        <w:t xml:space="preserve"> </w:t>
      </w:r>
      <w:r w:rsidRPr="00161C49">
        <w:rPr>
          <w:rFonts w:ascii="Calibri" w:hAnsi="Calibri"/>
          <w:color w:val="000000"/>
          <w:sz w:val="24"/>
          <w:szCs w:val="24"/>
        </w:rPr>
        <w:t>The correlation coefficient between the first component and any of 5 original FA</w:t>
      </w:r>
    </w:p>
    <w:tbl>
      <w:tblPr>
        <w:tblW w:w="7732" w:type="dxa"/>
        <w:tblInd w:w="93" w:type="dxa"/>
        <w:tblLook w:val="04A0"/>
      </w:tblPr>
      <w:tblGrid>
        <w:gridCol w:w="2400"/>
        <w:gridCol w:w="2180"/>
        <w:gridCol w:w="1752"/>
        <w:gridCol w:w="1400"/>
      </w:tblGrid>
      <w:tr w:rsidR="002B702F" w:rsidRPr="00AA5FCA" w:rsidTr="004F0277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First Component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Brain regions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Coefficients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2B702F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ACC_L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4F0277" w:rsidRDefault="002B702F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 w:rsidR="004F0277"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Case</w:t>
            </w:r>
          </w:p>
        </w:tc>
      </w:tr>
      <w:tr w:rsidR="002B702F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ACC_R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4F0277" w:rsidRDefault="002B702F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 w:rsidR="004F0277"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Case</w:t>
            </w:r>
          </w:p>
        </w:tc>
      </w:tr>
      <w:tr w:rsidR="002B702F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4F0277" w:rsidRDefault="004F0277" w:rsidP="00161C49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EN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4F0277" w:rsidRDefault="002B702F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 w:rsidR="004F0277"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767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Case</w:t>
            </w:r>
          </w:p>
        </w:tc>
      </w:tr>
      <w:tr w:rsidR="002B702F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PUN</w:t>
            </w:r>
            <w:r w:rsidR="002B702F"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_L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4F0277" w:rsidRDefault="002B702F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 w:rsidR="004F0277"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Case</w:t>
            </w:r>
          </w:p>
        </w:tc>
      </w:tr>
      <w:tr w:rsidR="002B702F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PUN</w:t>
            </w:r>
            <w:r w:rsidR="002B702F"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_R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4F0277" w:rsidRDefault="002B702F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 w:rsidR="004F0277"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936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2F" w:rsidRPr="00AA5FCA" w:rsidRDefault="002B702F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Case</w:t>
            </w:r>
          </w:p>
        </w:tc>
      </w:tr>
      <w:tr w:rsidR="004F0277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EB6F4B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ACC_L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4F0277" w:rsidRDefault="004F0277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566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Control</w:t>
            </w:r>
          </w:p>
        </w:tc>
      </w:tr>
      <w:tr w:rsidR="004F0277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EB6F4B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ACC_R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4F0277" w:rsidRDefault="004F0277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569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Control</w:t>
            </w:r>
          </w:p>
        </w:tc>
      </w:tr>
      <w:tr w:rsidR="004F0277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4F0277" w:rsidRDefault="004F0277" w:rsidP="00EB6F4B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EN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4F0277" w:rsidRDefault="004F0277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Control</w:t>
            </w:r>
          </w:p>
        </w:tc>
      </w:tr>
      <w:tr w:rsidR="004F0277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EB6F4B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PUN</w:t>
            </w: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_L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4F0277" w:rsidRDefault="004F0277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952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Control</w:t>
            </w:r>
          </w:p>
        </w:tc>
      </w:tr>
      <w:tr w:rsidR="004F0277" w:rsidRPr="00AA5FCA" w:rsidTr="004F0277">
        <w:trPr>
          <w:trHeight w:val="4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PC1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EB6F4B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PUN</w:t>
            </w: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_R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4F0277" w:rsidRDefault="004F0277" w:rsidP="004F0277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-0.</w:t>
            </w:r>
            <w:r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>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277" w:rsidRPr="00AA5FCA" w:rsidRDefault="004F0277" w:rsidP="00161C49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</w:pPr>
            <w:r w:rsidRPr="00AA5FCA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</w:rPr>
              <w:t>Control</w:t>
            </w:r>
          </w:p>
        </w:tc>
      </w:tr>
    </w:tbl>
    <w:p w:rsidR="002B702F" w:rsidRPr="00104FD7" w:rsidRDefault="002B702F" w:rsidP="002B702F">
      <w:pPr>
        <w:rPr>
          <w:sz w:val="18"/>
          <w:szCs w:val="18"/>
        </w:rPr>
      </w:pPr>
    </w:p>
    <w:p w:rsidR="004001BB" w:rsidRPr="0042581D" w:rsidRDefault="004001BB" w:rsidP="004001BB">
      <w:pPr>
        <w:rPr>
          <w:sz w:val="28"/>
          <w:szCs w:val="28"/>
        </w:rPr>
      </w:pPr>
      <w:r w:rsidRPr="00EF59C5">
        <w:rPr>
          <w:rFonts w:ascii="Times New Roman" w:hAnsi="Times New Roman" w:cs="Times New Roman" w:hint="eastAsia"/>
          <w:color w:val="000000"/>
          <w:sz w:val="28"/>
          <w:szCs w:val="28"/>
        </w:rPr>
        <w:t>PUN:</w:t>
      </w:r>
      <w:r w:rsidRPr="00EF59C5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z w:val="28"/>
          <w:szCs w:val="28"/>
        </w:rPr>
        <w:t>p</w:t>
      </w:r>
      <w:r w:rsidRPr="00EF59C5">
        <w:rPr>
          <w:rFonts w:ascii="Times New Roman" w:hAnsi="Times New Roman" w:cs="Times New Roman"/>
          <w:color w:val="000000"/>
          <w:sz w:val="28"/>
          <w:szCs w:val="28"/>
        </w:rPr>
        <w:t>recuneus</w:t>
      </w:r>
      <w:proofErr w:type="spellEnd"/>
      <w:r w:rsidRPr="00EF59C5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; ACC: </w:t>
      </w:r>
      <w:r w:rsidRPr="00EF59C5">
        <w:rPr>
          <w:rFonts w:ascii="Times New Roman" w:hAnsi="Times New Roman"/>
          <w:color w:val="000000"/>
          <w:sz w:val="28"/>
          <w:szCs w:val="28"/>
        </w:rPr>
        <w:t xml:space="preserve">anterior </w:t>
      </w:r>
      <w:proofErr w:type="spellStart"/>
      <w:r w:rsidRPr="00EF59C5">
        <w:rPr>
          <w:rFonts w:ascii="Times New Roman" w:hAnsi="Times New Roman"/>
          <w:color w:val="000000"/>
          <w:sz w:val="28"/>
          <w:szCs w:val="28"/>
        </w:rPr>
        <w:t>cingulate</w:t>
      </w:r>
      <w:proofErr w:type="spellEnd"/>
      <w:r w:rsidRPr="00EF59C5">
        <w:rPr>
          <w:rFonts w:ascii="Times New Roman" w:hAnsi="Times New Roman"/>
          <w:color w:val="000000"/>
          <w:sz w:val="28"/>
          <w:szCs w:val="28"/>
        </w:rPr>
        <w:t xml:space="preserve"> cortex</w:t>
      </w:r>
      <w:r w:rsidRPr="00EF59C5">
        <w:rPr>
          <w:rFonts w:ascii="Times New Roman" w:hAnsi="Times New Roman" w:hint="eastAsia"/>
          <w:color w:val="000000"/>
          <w:sz w:val="28"/>
          <w:szCs w:val="28"/>
        </w:rPr>
        <w:t>; EN:</w:t>
      </w:r>
      <w:r w:rsidRPr="00EF59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xtra-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n</w:t>
      </w:r>
      <w:r w:rsidRPr="00EF59C5">
        <w:rPr>
          <w:rFonts w:ascii="Times New Roman" w:eastAsia="Times New Roman" w:hAnsi="Times New Roman" w:cs="Times New Roman"/>
          <w:color w:val="000000"/>
          <w:sz w:val="28"/>
          <w:szCs w:val="28"/>
        </w:rPr>
        <w:t>uclear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; R: right; L: left</w:t>
      </w:r>
    </w:p>
    <w:p w:rsidR="002B702F" w:rsidRPr="004001BB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2B702F" w:rsidRDefault="002B702F" w:rsidP="002B702F">
      <w:pPr>
        <w:rPr>
          <w:rFonts w:eastAsia="宋体"/>
        </w:rPr>
      </w:pPr>
    </w:p>
    <w:p w:rsidR="0070715C" w:rsidRDefault="0070715C"/>
    <w:tbl>
      <w:tblPr>
        <w:tblW w:w="10974" w:type="dxa"/>
        <w:tblInd w:w="108" w:type="dxa"/>
        <w:tblLayout w:type="fixed"/>
        <w:tblLook w:val="04A0"/>
      </w:tblPr>
      <w:tblGrid>
        <w:gridCol w:w="1440"/>
        <w:gridCol w:w="1260"/>
        <w:gridCol w:w="1260"/>
        <w:gridCol w:w="1260"/>
        <w:gridCol w:w="1260"/>
        <w:gridCol w:w="1260"/>
        <w:gridCol w:w="1350"/>
        <w:gridCol w:w="1884"/>
      </w:tblGrid>
      <w:tr w:rsidR="0002180F" w:rsidRPr="0002180F" w:rsidTr="00982CC1">
        <w:trPr>
          <w:trHeight w:val="480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982CC1" w:rsidRDefault="0002180F" w:rsidP="002B702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2C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Supplementary Table</w:t>
            </w:r>
            <w:r w:rsidR="002B702F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4</w:t>
            </w:r>
            <w:r w:rsidRPr="00982C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proofErr w:type="spellStart"/>
            <w:r w:rsidRPr="00161C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Subnetwork</w:t>
            </w:r>
            <w:proofErr w:type="spellEnd"/>
            <w:r w:rsidRPr="00161C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with 207 genes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SF3A3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LIPC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SUMO2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PSMB8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UBASH3B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NGEF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TRIM8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CHRM4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GGA3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MGRN1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PSMB3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GRHPR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PCF11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EIF2B4</w:t>
            </w:r>
          </w:p>
        </w:tc>
      </w:tr>
      <w:tr w:rsidR="0002180F" w:rsidRPr="0002180F" w:rsidTr="00982CC1">
        <w:trPr>
          <w:trHeight w:val="3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INPP5B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GLYCTK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EEF1A2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UBE2D2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DNAJA3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TSEN2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FANCL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PTBP2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SMARCD1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ZKSCAN4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RNF5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SERPING1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ZCCHC7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RRAS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ENO1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DNAJA1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PBRM1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HSPD1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EIF2AK2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IRF3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OTUD7B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DLST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PLCB2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LSM1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AMFR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PCGF6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ASH2L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ARHGAP1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RNF165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ALAS1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PLCL1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CLIC1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PTN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PSMD6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LASP1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L3MBTL2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ISYNA1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HLA-B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GPD1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BAG4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MED19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HIST1H1E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NUDT21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SEC11A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PRKCD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BCL2L12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MAGOH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EHMT2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CLP1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FANCA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TSSK6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HLA-G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CSNK2B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DFNA5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SETD8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RAF1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LTB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HLA-F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LSM2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GIGYF2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SETD7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PLEKHO1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VPS37B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HSPA1L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SREBF2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PRPF3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EP300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TAF5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ALDH5A1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DCP1B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NFKBIA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UBA52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SUPT7L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THOC7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NRGN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RBBP5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RPL13A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HIST1H4L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HIST1H2BF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PPM1G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ST13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CXXC1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NRBP1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PUF60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MYO5B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DHX16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CPNE7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CTNND1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PACSIN3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GTF2H4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FXR1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ZNF408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CDK2AP1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EIF4E2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ACTR1A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PPARG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HSPA1A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RFWD3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RPL29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NFKBIE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RANGAP1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ING1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PSME4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RPLP1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DCP1A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ACVR2B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GLG1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MKL1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RPS11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TNF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TRIM26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SFMBT1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DNAJB1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RPS13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SYNJ1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MDC1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TCF19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ATXN7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PRMT1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GNL3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ZBTB5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ADIPOR2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FSD2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NFX1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PSMA6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BAG1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SRF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HSPE1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F2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DDB2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HLA-C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HSP90AB1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RBX1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DENR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PBX3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CHCHD2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PIAS2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HSPA1B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CNTN2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IDH3B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NCAN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HIST1H2BB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CCHCR1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HIST1H3J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LIPG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PSPH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RBL2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CDC5L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VARS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YLPM1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DIP2A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PSMB9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TTC23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DGKI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MAD1L1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  <w:tr w:rsidR="0002180F" w:rsidRPr="0002180F" w:rsidTr="00982CC1">
        <w:trPr>
          <w:trHeight w:val="2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TRIM27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TAP1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DGKZ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EI24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0F" w:rsidRPr="0002180F" w:rsidRDefault="0002180F" w:rsidP="0002180F">
            <w:pPr>
              <w:widowControl/>
              <w:jc w:val="left"/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</w:pPr>
            <w:r w:rsidRPr="0002180F">
              <w:rPr>
                <w:rFonts w:ascii="Calibri" w:eastAsia="Times New Roman" w:hAnsi="Calibri" w:cs="Times New Roman"/>
                <w:color w:val="000000"/>
                <w:kern w:val="0"/>
                <w:sz w:val="22"/>
              </w:rPr>
              <w:t> </w:t>
            </w:r>
          </w:p>
        </w:tc>
      </w:tr>
    </w:tbl>
    <w:p w:rsidR="0002180F" w:rsidRDefault="0002180F"/>
    <w:p w:rsidR="00E94B13" w:rsidRDefault="00E94B13"/>
    <w:tbl>
      <w:tblPr>
        <w:tblW w:w="8020" w:type="dxa"/>
        <w:tblInd w:w="108" w:type="dxa"/>
        <w:tblLook w:val="04A0"/>
      </w:tblPr>
      <w:tblGrid>
        <w:gridCol w:w="1523"/>
        <w:gridCol w:w="1306"/>
        <w:gridCol w:w="1521"/>
        <w:gridCol w:w="1835"/>
        <w:gridCol w:w="1835"/>
      </w:tblGrid>
      <w:tr w:rsidR="00E94B13" w:rsidRPr="00ED2490" w:rsidTr="00AC72B5">
        <w:trPr>
          <w:trHeight w:val="360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2B702F">
            <w:pPr>
              <w:widowControl/>
              <w:jc w:val="left"/>
              <w:rPr>
                <w:rFonts w:ascii="Calibri" w:hAnsi="Calibri" w:cs="Times New Roman"/>
                <w:color w:val="000000" w:themeColor="text1"/>
                <w:kern w:val="0"/>
                <w:szCs w:val="24"/>
              </w:rPr>
            </w:pPr>
            <w:r w:rsidRPr="00ED2490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szCs w:val="24"/>
              </w:rPr>
              <w:t>Supplementary Table</w:t>
            </w:r>
            <w:r w:rsidR="002B702F" w:rsidRPr="00ED2490">
              <w:rPr>
                <w:rFonts w:ascii="Calibri" w:hAnsi="Calibri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5</w:t>
            </w: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4"/>
                <w:szCs w:val="24"/>
              </w:rPr>
              <w:t xml:space="preserve"> Genes in four modules</w:t>
            </w:r>
            <w:r w:rsidR="00F32C63" w:rsidRPr="00ED2490">
              <w:rPr>
                <w:rFonts w:ascii="Calibri" w:hAnsi="Calibri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for PGC-1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 w:hint="eastAsia"/>
                <w:color w:val="000000" w:themeColor="text1"/>
                <w:kern w:val="0"/>
                <w:sz w:val="22"/>
              </w:rPr>
              <w:t>Y</w:t>
            </w: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ellow module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 w:hint="eastAsia"/>
                <w:color w:val="000000" w:themeColor="text1"/>
                <w:kern w:val="0"/>
                <w:sz w:val="22"/>
              </w:rPr>
              <w:t>B</w:t>
            </w: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lue module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Brown module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Turquoise module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Turquoise module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BCL2L12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HSP90AB1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RPS11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EEF1A2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TAF5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CDK2AP1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DNAJA1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RPL29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LASP1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NFX1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CLIC1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CHCHD2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UBA52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ACTR1A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GIGYF2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DGKI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PSMB3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RPL13A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NCAN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MKL1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ENO1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MATR3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RPLP1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SREBF2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LIPG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GRHPR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NUDT21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RPS13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PBX3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PCF11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HLA-B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SUMO2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PPM1G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CTNND1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ZCCHC7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HLA-C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UBE2D2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PUF60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DNAJB1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CLP1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HLA-F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HSPD1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PRMT1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NGEF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PRPF3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HLA-G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PTBP2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RNF5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AMFR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CHEK1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IRF3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RBX1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LSM2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IDH3B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SETD8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L3MBTL2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EI24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ISYNA1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SMARCD1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DCP1B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LTB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ST13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CSNK2B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AKT3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MDC1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MICA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ALAS1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EHMT2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PBRM1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EIF2AK2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NFKBIA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TRIM8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PLEKHO1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ZBTB5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SFMBT1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PIAS2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GLG1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MED19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RANGAP1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ZKSCAN4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PSMB8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SF3A3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VPS37B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VARS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DFNA5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PSMB9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THOC7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CXXC1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RAF1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ACVR2B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PSPH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GNL3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ADIPOR2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NRBP1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FANCA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PTN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CDC5L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SEC11A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DLST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TSEN2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RRAS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LSM1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CNTN2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YLPM1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DIP2A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SERPING1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FXR1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TRIM26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RNF165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CPNE7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TAP1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HSPE1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GTF2H4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DNAJA3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DGKZ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TTC23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DENR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TRIM39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MGRN1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PLCB2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PSMA6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SUPT7L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SRF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HIST1H4E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EIF4E2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EIF2B4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RERE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GPD1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MAGOH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BAG4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NRGN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HIST1H2BC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ASH2L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MAD1L1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ING1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INHBA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RBBP5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NFKBIE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TRIM27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HIST1H4H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BAG1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DDB2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EP300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ATXN7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FANCL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SYNJ1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RBL2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PRKCD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ARHGAP1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ZNF408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GGA3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MYO5B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PSMD6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PLCL1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DHX16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TRIM54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SETD7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CCHCR1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ALDH5A1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PPARG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UBASH3B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HIST1H3D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PSME4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FSD2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PACSIN3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OTUD7B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CHRM4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INPP5B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HIST1H4I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TCF19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PCGF6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HIST1H2BF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RFWD3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GLYCTK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TSSK6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DCP1A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  <w:r w:rsidRPr="00ED2490"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 w:rsidR="00E94B13" w:rsidRPr="00ED2490" w:rsidTr="00AC72B5">
        <w:trPr>
          <w:trHeight w:val="2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3" w:rsidRPr="00ED2490" w:rsidRDefault="00E94B13" w:rsidP="00E94B13">
            <w:pPr>
              <w:widowControl/>
              <w:jc w:val="left"/>
              <w:rPr>
                <w:rFonts w:ascii="Calibri" w:eastAsia="Times New Roman" w:hAnsi="Calibri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E94B13" w:rsidRDefault="00E94B13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70715C" w:rsidRDefault="0070715C"/>
    <w:p w:rsidR="00BF19B2" w:rsidRDefault="00BF19B2"/>
    <w:p w:rsidR="00BF19B2" w:rsidRDefault="00BF19B2"/>
    <w:p w:rsidR="00BF19B2" w:rsidRDefault="00BF19B2"/>
    <w:p w:rsidR="00BF19B2" w:rsidRDefault="00BF19B2"/>
    <w:p w:rsidR="00BF19B2" w:rsidRDefault="00BF19B2"/>
    <w:p w:rsidR="00BF19B2" w:rsidRDefault="00BF19B2"/>
    <w:p w:rsidR="00BF19B2" w:rsidRDefault="00BF19B2"/>
    <w:p w:rsidR="0070715C" w:rsidRDefault="0070715C" w:rsidP="0070715C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161C49">
        <w:rPr>
          <w:rFonts w:ascii="Times New Roman" w:hAnsi="Times New Roman" w:cs="Times New Roman"/>
          <w:b/>
          <w:color w:val="000000"/>
          <w:sz w:val="22"/>
        </w:rPr>
        <w:t>Supplementary</w:t>
      </w:r>
      <w:r w:rsidRPr="002B10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 w:hint="eastAsia"/>
          <w:b/>
        </w:rPr>
        <w:t>6</w:t>
      </w:r>
      <w:r>
        <w:rPr>
          <w:rFonts w:ascii="Times New Roman" w:hAnsi="Times New Roman"/>
          <w:b/>
        </w:rPr>
        <w:t xml:space="preserve"> </w:t>
      </w:r>
      <w:r w:rsidRPr="002B10B4">
        <w:rPr>
          <w:rFonts w:ascii="Times New Roman" w:hAnsi="Times New Roman"/>
          <w:b/>
        </w:rPr>
        <w:t xml:space="preserve"> </w:t>
      </w:r>
      <w:r w:rsidRPr="002B10B4">
        <w:rPr>
          <w:rFonts w:ascii="Times New Roman" w:hAnsi="Times New Roman"/>
        </w:rPr>
        <w:t>GO Enrichment Analysis of Genes in each module</w:t>
      </w:r>
    </w:p>
    <w:tbl>
      <w:tblPr>
        <w:tblW w:w="11240" w:type="dxa"/>
        <w:tblInd w:w="93" w:type="dxa"/>
        <w:tblLook w:val="04A0"/>
      </w:tblPr>
      <w:tblGrid>
        <w:gridCol w:w="8300"/>
        <w:gridCol w:w="1540"/>
        <w:gridCol w:w="1400"/>
      </w:tblGrid>
      <w:tr w:rsidR="0070715C" w:rsidRPr="002B10B4" w:rsidTr="0070715C">
        <w:trPr>
          <w:trHeight w:val="300"/>
        </w:trPr>
        <w:tc>
          <w:tcPr>
            <w:tcW w:w="8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GO Terms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Raw </w:t>
            </w:r>
            <w:r w:rsidRPr="00B14E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value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Adjusted P Value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Yellow module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4E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4E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antigen processing and presentation of exogenous peptide antigen via MHC class I, TAP-dependent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1.60e-11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6.50e-09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antigen processing and presentation of exogenous peptide antigen via MHC class 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2.33e-11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9.46e-09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antigen processing and presentation of peptide antigen via MHC class 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1.26e-10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5.12e-08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innate immune response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3.15e-09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1.28e-06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MHC class I receptor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1.23e-08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7.87e-07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MHC class I protein complex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5.69e-11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4.38e-09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MHC protein complex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1.07e-09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8.24e-08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Blue module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lysine N-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0.0008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histone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-lysine N-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0.0008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macromolecular complex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8.77e-05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0.0006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Brown module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SRP-dependent 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cotranslational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protein targeting to membrane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3.68e-09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4.71e-07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viral infectious cycle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3.09e-08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2.17e-06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histonemethyltransferase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0.0029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proteinmethyltransferase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0.0043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0.0043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adenosylmethionine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-dependent 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0.0123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histone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-lysine N-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0.0199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lysine N-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0.0199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protein-lysine N-</w:t>
            </w: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0.0199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Turquoise module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15C" w:rsidRPr="00B14EC1" w:rsidRDefault="0070715C" w:rsidP="007071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RNA polymerase II core promoter proximal region sequence-specific DNA binding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0.0043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core promoter proximal region DNA binding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0.0092</w:t>
            </w:r>
          </w:p>
        </w:tc>
      </w:tr>
      <w:tr w:rsidR="0070715C" w:rsidRPr="002B10B4" w:rsidTr="0070715C">
        <w:trPr>
          <w:trHeight w:val="2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phosphotransferase</w:t>
            </w:r>
            <w:proofErr w:type="spellEnd"/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activity, alcohol group as acceptor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0.0158</w:t>
            </w:r>
          </w:p>
        </w:tc>
      </w:tr>
      <w:tr w:rsidR="0070715C" w:rsidRPr="002B10B4" w:rsidTr="0070715C">
        <w:trPr>
          <w:trHeight w:val="300"/>
        </w:trPr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intracellular organelle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9.98e-08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15C" w:rsidRDefault="0070715C" w:rsidP="0070715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14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1.77e-06</w:t>
            </w:r>
          </w:p>
        </w:tc>
      </w:tr>
    </w:tbl>
    <w:p w:rsidR="0070715C" w:rsidRPr="002B10B4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  <w:sectPr w:rsidR="0070715C" w:rsidRPr="002B10B4" w:rsidSect="0070715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7695B" w:rsidRDefault="0067695B" w:rsidP="0067695B">
      <w:pPr>
        <w:spacing w:line="360" w:lineRule="auto"/>
        <w:rPr>
          <w:rFonts w:ascii="Times New Roman" w:hAnsi="Times New Roman"/>
        </w:rPr>
      </w:pPr>
    </w:p>
    <w:p w:rsidR="0067695B" w:rsidRDefault="0067695B">
      <w:pPr>
        <w:rPr>
          <w:rFonts w:ascii="Times New Roman" w:hAnsi="Times New Roman" w:cs="Times New Roman"/>
          <w:b/>
          <w:color w:val="000000"/>
          <w:sz w:val="22"/>
        </w:rPr>
      </w:pPr>
    </w:p>
    <w:p w:rsidR="00010587" w:rsidRPr="00161C49" w:rsidRDefault="00010587">
      <w:pPr>
        <w:rPr>
          <w:rFonts w:ascii="Times New Roman" w:hAnsi="Times New Roman" w:cs="Times New Roman"/>
          <w:color w:val="000000"/>
          <w:sz w:val="22"/>
        </w:rPr>
      </w:pPr>
      <w:r w:rsidRPr="00161C49">
        <w:rPr>
          <w:rFonts w:ascii="Times New Roman" w:hAnsi="Times New Roman" w:cs="Times New Roman"/>
          <w:b/>
          <w:color w:val="000000"/>
          <w:sz w:val="22"/>
        </w:rPr>
        <w:t xml:space="preserve">Supplementary </w:t>
      </w:r>
      <w:r w:rsidRPr="00161C49">
        <w:rPr>
          <w:rFonts w:ascii="Times New Roman" w:eastAsia="宋体" w:hAnsi="Times New Roman" w:cs="Times New Roman"/>
          <w:b/>
          <w:color w:val="000000"/>
          <w:sz w:val="22"/>
        </w:rPr>
        <w:t>Figure 1</w:t>
      </w:r>
      <w:r w:rsidRPr="00161C49">
        <w:rPr>
          <w:rFonts w:ascii="Times New Roman" w:eastAsia="宋体" w:hAnsi="Times New Roman" w:cs="Times New Roman"/>
          <w:color w:val="000000"/>
          <w:sz w:val="22"/>
        </w:rPr>
        <w:t xml:space="preserve">  </w:t>
      </w:r>
      <w:r w:rsidR="00C605D5" w:rsidRPr="00161C49">
        <w:rPr>
          <w:rFonts w:ascii="Times New Roman" w:hAnsi="Times New Roman" w:cs="Times New Roman"/>
          <w:color w:val="000000"/>
          <w:sz w:val="22"/>
        </w:rPr>
        <w:t>The plot of the first two principal components of 93 patients with schizophrenia and 134 controls</w:t>
      </w:r>
    </w:p>
    <w:p w:rsidR="00010587" w:rsidRDefault="00010587">
      <w:pPr>
        <w:rPr>
          <w:rFonts w:eastAsia="宋体"/>
        </w:rPr>
      </w:pPr>
      <w:r>
        <w:rPr>
          <w:rFonts w:eastAsia="宋体"/>
          <w:noProof/>
        </w:rPr>
        <w:drawing>
          <wp:inline distT="0" distB="0" distL="0" distR="0">
            <wp:extent cx="3988746" cy="3185809"/>
            <wp:effectExtent l="19050" t="0" r="0" b="0"/>
            <wp:docPr id="2" name="图片 2" descr="E:\XB\美国的文章\PGC投稿资料\PC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XB\美国的文章\PGC投稿资料\PCA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52" cy="318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F9" w:rsidRDefault="001E0EF9">
      <w:pPr>
        <w:rPr>
          <w:rFonts w:eastAsia="宋体"/>
        </w:rPr>
      </w:pPr>
    </w:p>
    <w:p w:rsidR="001E0EF9" w:rsidRDefault="001E0EF9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2B10B4">
        <w:rPr>
          <w:rFonts w:ascii="Times New Roman" w:hAnsi="Times New Roman" w:cs="Times New Roman"/>
        </w:rPr>
        <w:t xml:space="preserve"> </w:t>
      </w: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Default="0067695B" w:rsidP="001E0E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67695B" w:rsidRPr="0067695B" w:rsidRDefault="0067695B" w:rsidP="0067695B">
      <w:p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161C49">
        <w:rPr>
          <w:rFonts w:ascii="Times New Roman" w:hAnsi="Times New Roman" w:cs="Times New Roman"/>
          <w:b/>
          <w:color w:val="000000"/>
          <w:sz w:val="22"/>
        </w:rPr>
        <w:t>Supplementary</w:t>
      </w:r>
      <w:r w:rsidRPr="002B10B4">
        <w:rPr>
          <w:rFonts w:ascii="Times New Roman" w:hAnsi="Times New Roman"/>
          <w:b/>
        </w:rPr>
        <w:t xml:space="preserve"> Figure </w:t>
      </w: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Pr="002B10B4">
        <w:rPr>
          <w:rFonts w:ascii="Times New Roman" w:hAnsi="Times New Roman"/>
        </w:rPr>
        <w:t xml:space="preserve"> </w:t>
      </w:r>
      <w:r w:rsidRPr="00AB7385">
        <w:rPr>
          <w:rFonts w:ascii="Times New Roman" w:hAnsi="Times New Roman"/>
          <w:color w:val="000000"/>
        </w:rPr>
        <w:t xml:space="preserve">FA </w:t>
      </w:r>
      <w:r w:rsidRPr="007C6BE1">
        <w:rPr>
          <w:rFonts w:ascii="Times New Roman" w:hAnsi="Times New Roman"/>
          <w:color w:val="000000"/>
        </w:rPr>
        <w:t xml:space="preserve">was significantly </w:t>
      </w:r>
      <w:r w:rsidRPr="00DA67E5">
        <w:rPr>
          <w:rFonts w:ascii="Times New Roman" w:hAnsi="Times New Roman"/>
          <w:color w:val="000000"/>
        </w:rPr>
        <w:t xml:space="preserve">reduced in </w:t>
      </w:r>
      <w:r w:rsidR="008E1817" w:rsidRPr="007C6BE1">
        <w:rPr>
          <w:rFonts w:ascii="Times New Roman" w:hAnsi="Times New Roman"/>
          <w:color w:val="000000"/>
        </w:rPr>
        <w:t>the left and right anterior cingulate cortex</w:t>
      </w:r>
      <w:r w:rsidR="008E1817" w:rsidRPr="00DA67E5">
        <w:rPr>
          <w:rFonts w:ascii="Times New Roman" w:hAnsi="Times New Roman"/>
          <w:color w:val="000000"/>
        </w:rPr>
        <w:t xml:space="preserve">, left and right </w:t>
      </w:r>
      <w:proofErr w:type="spellStart"/>
      <w:r w:rsidR="00B60947">
        <w:rPr>
          <w:rFonts w:ascii="Times New Roman" w:hAnsi="Times New Roman" w:hint="eastAsia"/>
          <w:color w:val="000000"/>
        </w:rPr>
        <w:t>p</w:t>
      </w:r>
      <w:r w:rsidR="008E1817" w:rsidRPr="0016145A">
        <w:rPr>
          <w:rFonts w:ascii="Times New Roman" w:hAnsi="Times New Roman" w:cs="Times New Roman"/>
          <w:color w:val="000000"/>
          <w:sz w:val="22"/>
        </w:rPr>
        <w:t>recuneus</w:t>
      </w:r>
      <w:proofErr w:type="spellEnd"/>
      <w:r w:rsidR="008E1817">
        <w:rPr>
          <w:rFonts w:ascii="Times New Roman" w:hAnsi="Times New Roman" w:hint="eastAsia"/>
          <w:color w:val="000000"/>
        </w:rPr>
        <w:t xml:space="preserve"> </w:t>
      </w:r>
      <w:r w:rsidR="008E1817" w:rsidRPr="00DA67E5">
        <w:rPr>
          <w:rFonts w:ascii="Times New Roman" w:hAnsi="Times New Roman"/>
          <w:color w:val="000000"/>
        </w:rPr>
        <w:t xml:space="preserve">and </w:t>
      </w:r>
      <w:r w:rsidR="00B60947">
        <w:rPr>
          <w:rFonts w:ascii="Times New Roman" w:hAnsi="Times New Roman" w:cs="Times New Roman" w:hint="eastAsia"/>
          <w:color w:val="000000"/>
          <w:sz w:val="22"/>
        </w:rPr>
        <w:t>e</w:t>
      </w:r>
      <w:r w:rsidR="00B60947">
        <w:rPr>
          <w:rFonts w:ascii="Times New Roman" w:eastAsia="Times New Roman" w:hAnsi="Times New Roman" w:cs="Times New Roman"/>
          <w:color w:val="000000"/>
          <w:sz w:val="22"/>
        </w:rPr>
        <w:t>xtra-</w:t>
      </w:r>
      <w:r w:rsidR="00B60947">
        <w:rPr>
          <w:rFonts w:ascii="Times New Roman" w:hAnsi="Times New Roman" w:cs="Times New Roman" w:hint="eastAsia"/>
          <w:color w:val="000000"/>
          <w:sz w:val="22"/>
        </w:rPr>
        <w:t>n</w:t>
      </w:r>
      <w:bookmarkStart w:id="5" w:name="_GoBack"/>
      <w:r w:rsidR="008E1817" w:rsidRPr="0016145A">
        <w:rPr>
          <w:rFonts w:ascii="Times New Roman" w:eastAsia="Times New Roman" w:hAnsi="Times New Roman" w:cs="Times New Roman"/>
          <w:color w:val="000000"/>
          <w:sz w:val="22"/>
        </w:rPr>
        <w:t>uclear</w:t>
      </w:r>
      <w:r w:rsidR="008E1817" w:rsidRPr="002B10B4">
        <w:rPr>
          <w:rFonts w:ascii="Times New Roman" w:hAnsi="Times New Roman"/>
        </w:rPr>
        <w:t xml:space="preserve"> </w:t>
      </w:r>
      <w:r w:rsidR="008E1817">
        <w:rPr>
          <w:rFonts w:ascii="Times New Roman" w:hAnsi="Times New Roman"/>
        </w:rPr>
        <w:t xml:space="preserve">in patients with schizophrenia </w:t>
      </w:r>
      <w:r w:rsidR="008E1817" w:rsidRPr="00AB7385">
        <w:rPr>
          <w:rFonts w:ascii="Times New Roman" w:hAnsi="Times New Roman"/>
          <w:color w:val="000000"/>
        </w:rPr>
        <w:t xml:space="preserve">compared </w:t>
      </w:r>
      <w:r w:rsidR="008E1817" w:rsidRPr="007C6BE1">
        <w:rPr>
          <w:rFonts w:ascii="Times New Roman" w:hAnsi="Times New Roman"/>
          <w:color w:val="000000"/>
        </w:rPr>
        <w:t xml:space="preserve">to </w:t>
      </w:r>
      <w:r w:rsidR="008E1817" w:rsidRPr="00DA67E5">
        <w:rPr>
          <w:rFonts w:ascii="Times New Roman" w:hAnsi="Times New Roman"/>
          <w:color w:val="000000"/>
        </w:rPr>
        <w:t>controls</w:t>
      </w:r>
      <w:r w:rsidRPr="00DA67E5">
        <w:rPr>
          <w:rFonts w:ascii="Times New Roman" w:hAnsi="Times New Roman"/>
          <w:color w:val="000000"/>
        </w:rPr>
        <w:t xml:space="preserve"> in schizophrenic patients</w:t>
      </w:r>
      <w:r w:rsidRPr="002B10B4">
        <w:rPr>
          <w:rFonts w:ascii="Times New Roman" w:hAnsi="Times New Roman"/>
        </w:rPr>
        <w:t xml:space="preserve"> </w:t>
      </w:r>
      <w:r w:rsidRPr="00AB7385">
        <w:rPr>
          <w:rFonts w:ascii="Times New Roman" w:hAnsi="Times New Roman"/>
          <w:color w:val="000000"/>
        </w:rPr>
        <w:t xml:space="preserve">compared </w:t>
      </w:r>
      <w:r w:rsidRPr="007C6BE1">
        <w:rPr>
          <w:rFonts w:ascii="Times New Roman" w:hAnsi="Times New Roman"/>
          <w:color w:val="000000"/>
        </w:rPr>
        <w:t xml:space="preserve">to controls (FDR corrected </w:t>
      </w:r>
      <w:r w:rsidRPr="00DA67E5">
        <w:rPr>
          <w:rFonts w:ascii="Times New Roman" w:hAnsi="Times New Roman"/>
          <w:i/>
          <w:color w:val="000000"/>
        </w:rPr>
        <w:t xml:space="preserve">p </w:t>
      </w:r>
      <w:r w:rsidRPr="00DA67E5">
        <w:rPr>
          <w:rFonts w:ascii="Times New Roman" w:hAnsi="Times New Roman"/>
          <w:color w:val="000000"/>
        </w:rPr>
        <w:t xml:space="preserve">&lt; </w:t>
      </w:r>
      <w:r w:rsidRPr="00DA67E5">
        <w:rPr>
          <w:rFonts w:ascii="Times New Roman" w:hAnsi="Times New Roman" w:hint="eastAsia"/>
          <w:color w:val="000000"/>
        </w:rPr>
        <w:t>0</w:t>
      </w:r>
      <w:r w:rsidR="008E1817">
        <w:rPr>
          <w:rFonts w:ascii="Times New Roman" w:hAnsi="Times New Roman"/>
          <w:color w:val="000000"/>
        </w:rPr>
        <w:t>.0</w:t>
      </w:r>
      <w:r w:rsidR="008E1817">
        <w:rPr>
          <w:rFonts w:ascii="Times New Roman" w:hAnsi="Times New Roman" w:hint="eastAsia"/>
          <w:color w:val="000000"/>
        </w:rPr>
        <w:t>1</w:t>
      </w:r>
      <w:r w:rsidRPr="00DA67E5">
        <w:rPr>
          <w:rFonts w:ascii="Times New Roman" w:hAnsi="Times New Roman"/>
          <w:color w:val="000000"/>
        </w:rPr>
        <w:t xml:space="preserve">, </w:t>
      </w:r>
      <w:r w:rsidRPr="002B10B4">
        <w:rPr>
          <w:rFonts w:ascii="Times New Roman" w:hAnsi="Times New Roman"/>
        </w:rPr>
        <w:t xml:space="preserve">cluster size </w:t>
      </w:r>
      <w:r w:rsidRPr="002B10B4">
        <w:rPr>
          <w:rFonts w:ascii="Times New Roman" w:eastAsia="MS Gothic" w:hAnsi="Times New Roman"/>
          <w:color w:val="000000"/>
        </w:rPr>
        <w:t xml:space="preserve">≥ </w:t>
      </w:r>
      <w:r w:rsidRPr="002B10B4">
        <w:rPr>
          <w:rFonts w:ascii="Times New Roman" w:hAnsi="Times New Roman"/>
        </w:rPr>
        <w:t>100).</w:t>
      </w:r>
      <w:bookmarkEnd w:id="5"/>
    </w:p>
    <w:p w:rsidR="0067695B" w:rsidRPr="0067695B" w:rsidRDefault="0067695B" w:rsidP="0067695B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67695B" w:rsidRDefault="008E1817" w:rsidP="0067695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86400" cy="2261235"/>
            <wp:effectExtent l="19050" t="0" r="0" b="0"/>
            <wp:docPr id="1" name="图片 0" descr="figure7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7_ne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5B" w:rsidRDefault="0067695B" w:rsidP="0067695B">
      <w:pPr>
        <w:rPr>
          <w:rFonts w:ascii="Times New Roman" w:hAnsi="Times New Roman" w:cs="Times New Roman"/>
          <w:b/>
          <w:color w:val="000000"/>
          <w:sz w:val="22"/>
        </w:rPr>
      </w:pPr>
    </w:p>
    <w:p w:rsidR="0067695B" w:rsidRDefault="0067695B" w:rsidP="0067695B">
      <w:pPr>
        <w:rPr>
          <w:rFonts w:ascii="Times New Roman" w:hAnsi="Times New Roman" w:cs="Times New Roman"/>
          <w:b/>
          <w:color w:val="000000"/>
          <w:sz w:val="22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:rsidR="0070715C" w:rsidRPr="0070715C" w:rsidRDefault="0070715C" w:rsidP="0070715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2"/>
        </w:rPr>
      </w:pPr>
      <w:r w:rsidRPr="00161C49">
        <w:rPr>
          <w:rFonts w:ascii="Times New Roman" w:hAnsi="Times New Roman" w:cs="Times New Roman"/>
          <w:b/>
          <w:color w:val="000000"/>
          <w:sz w:val="22"/>
        </w:rPr>
        <w:t>Supplementary</w:t>
      </w:r>
      <w:r w:rsidR="00A25F9D">
        <w:rPr>
          <w:rFonts w:ascii="Times New Roman" w:hAnsi="Times New Roman" w:cs="Times New Roman"/>
          <w:b/>
          <w:sz w:val="22"/>
        </w:rPr>
        <w:t xml:space="preserve"> Figure </w:t>
      </w:r>
      <w:r w:rsidR="0067695B">
        <w:rPr>
          <w:rFonts w:ascii="Times New Roman" w:hAnsi="Times New Roman" w:cs="Times New Roman" w:hint="eastAsia"/>
          <w:b/>
          <w:sz w:val="22"/>
        </w:rPr>
        <w:t>3</w:t>
      </w:r>
      <w:r w:rsidRPr="0070715C">
        <w:rPr>
          <w:rFonts w:ascii="Times New Roman" w:hAnsi="Times New Roman" w:cs="Times New Roman"/>
          <w:b/>
          <w:sz w:val="22"/>
        </w:rPr>
        <w:t xml:space="preserve"> </w:t>
      </w:r>
      <w:r w:rsidRPr="0070715C">
        <w:rPr>
          <w:rFonts w:ascii="Times New Roman" w:hAnsi="Times New Roman" w:cs="Times New Roman"/>
          <w:sz w:val="22"/>
        </w:rPr>
        <w:t xml:space="preserve">The histograms are colored based on different percentiles: 70% (cyan), 90% (pink) and 99% (red), red dashed line shows the parameters of the sub-network in question. </w:t>
      </w:r>
    </w:p>
    <w:p w:rsidR="0070715C" w:rsidRP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3600" cy="2734310"/>
            <wp:effectExtent l="0" t="0" r="0" b="8890"/>
            <wp:docPr id="3" name="图片 3" descr="说明: E:\PGC2\RGS\pgc1sz_science_0.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E:\PGC2\RGS\pgc1sz_science_0.00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Pr="0070715C" w:rsidRDefault="0070715C" w:rsidP="0070715C">
      <w:pPr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161C49">
        <w:rPr>
          <w:rFonts w:ascii="Times New Roman" w:hAnsi="Times New Roman" w:cs="Times New Roman"/>
          <w:b/>
          <w:color w:val="000000"/>
          <w:sz w:val="22"/>
        </w:rPr>
        <w:t>Supplementary</w:t>
      </w:r>
      <w:r w:rsidRPr="002B10B4">
        <w:rPr>
          <w:rFonts w:ascii="Times New Roman" w:hAnsi="Times New Roman"/>
          <w:b/>
        </w:rPr>
        <w:t xml:space="preserve"> Figure </w:t>
      </w:r>
      <w:r w:rsidR="0067695B">
        <w:rPr>
          <w:rFonts w:ascii="Times New Roman" w:hAnsi="Times New Roman" w:hint="eastAsia"/>
          <w:b/>
        </w:rPr>
        <w:t>4</w:t>
      </w:r>
      <w:r>
        <w:rPr>
          <w:rFonts w:ascii="Times" w:hAnsi="Times" w:cs="Times"/>
          <w:b/>
        </w:rPr>
        <w:t xml:space="preserve"> </w:t>
      </w:r>
      <w:r w:rsidRPr="002B10B4">
        <w:rPr>
          <w:rFonts w:ascii="Times New Roman" w:hAnsi="Times New Roman"/>
        </w:rPr>
        <w:t>Temporal patterns of gene expression as summarized by the average expression level of genes in each module.</w:t>
      </w:r>
    </w:p>
    <w:p w:rsidR="0070715C" w:rsidRPr="00A25F9D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13705" cy="2961640"/>
            <wp:effectExtent l="0" t="0" r="0" b="0"/>
            <wp:docPr id="4" name="图片 4" descr="figure2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2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70715C" w:rsidRDefault="0070715C" w:rsidP="0070715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1E0EF9" w:rsidRPr="001E0EF9" w:rsidRDefault="001E0EF9" w:rsidP="0070715C">
      <w:pPr>
        <w:rPr>
          <w:rFonts w:eastAsia="宋体"/>
        </w:rPr>
      </w:pPr>
    </w:p>
    <w:sectPr w:rsidR="001E0EF9" w:rsidRPr="001E0EF9" w:rsidSect="00975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BE" w:rsidRDefault="00D10CBE" w:rsidP="00CD64AE">
      <w:r>
        <w:separator/>
      </w:r>
    </w:p>
  </w:endnote>
  <w:endnote w:type="continuationSeparator" w:id="0">
    <w:p w:rsidR="00D10CBE" w:rsidRDefault="00D10CBE" w:rsidP="00CD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BE" w:rsidRDefault="00D10CBE" w:rsidP="00CD64AE">
      <w:r>
        <w:separator/>
      </w:r>
    </w:p>
  </w:footnote>
  <w:footnote w:type="continuationSeparator" w:id="0">
    <w:p w:rsidR="00D10CBE" w:rsidRDefault="00D10CBE" w:rsidP="00CD6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0D60"/>
    <w:multiLevelType w:val="hybridMultilevel"/>
    <w:tmpl w:val="746815D4"/>
    <w:lvl w:ilvl="0" w:tplc="0D2E0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Psychiatry&lt;/Style&gt;&lt;LeftDelim&gt;{&lt;/LeftDelim&gt;&lt;RightDelim&gt;}&lt;/RightDelim&gt;&lt;FontName&gt;Cambri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31EC8"/>
    <w:rsid w:val="00010587"/>
    <w:rsid w:val="000111CA"/>
    <w:rsid w:val="0002180F"/>
    <w:rsid w:val="00080A3D"/>
    <w:rsid w:val="00104FD7"/>
    <w:rsid w:val="00114DDB"/>
    <w:rsid w:val="00122F2C"/>
    <w:rsid w:val="00161C49"/>
    <w:rsid w:val="001E0EF9"/>
    <w:rsid w:val="002165D0"/>
    <w:rsid w:val="00234262"/>
    <w:rsid w:val="0029634A"/>
    <w:rsid w:val="002A10DA"/>
    <w:rsid w:val="002B702F"/>
    <w:rsid w:val="002C5C78"/>
    <w:rsid w:val="003C1903"/>
    <w:rsid w:val="004001BB"/>
    <w:rsid w:val="0042581D"/>
    <w:rsid w:val="00477BA8"/>
    <w:rsid w:val="00483B3A"/>
    <w:rsid w:val="004F0277"/>
    <w:rsid w:val="00524521"/>
    <w:rsid w:val="00531EC8"/>
    <w:rsid w:val="00604F2F"/>
    <w:rsid w:val="006052A7"/>
    <w:rsid w:val="006476B9"/>
    <w:rsid w:val="0066565A"/>
    <w:rsid w:val="0067695B"/>
    <w:rsid w:val="00696E34"/>
    <w:rsid w:val="006A6BEB"/>
    <w:rsid w:val="006B3BE5"/>
    <w:rsid w:val="0070715C"/>
    <w:rsid w:val="00732F9F"/>
    <w:rsid w:val="00734A7D"/>
    <w:rsid w:val="0077082F"/>
    <w:rsid w:val="007A4BF2"/>
    <w:rsid w:val="00806CDD"/>
    <w:rsid w:val="00810754"/>
    <w:rsid w:val="00836A30"/>
    <w:rsid w:val="00846338"/>
    <w:rsid w:val="008D5E05"/>
    <w:rsid w:val="008E1817"/>
    <w:rsid w:val="00957373"/>
    <w:rsid w:val="0097554B"/>
    <w:rsid w:val="00982CC1"/>
    <w:rsid w:val="00A25F9D"/>
    <w:rsid w:val="00A31FC9"/>
    <w:rsid w:val="00AA5FCA"/>
    <w:rsid w:val="00AC72B5"/>
    <w:rsid w:val="00B171BE"/>
    <w:rsid w:val="00B60947"/>
    <w:rsid w:val="00B934E1"/>
    <w:rsid w:val="00BF19B2"/>
    <w:rsid w:val="00C47A98"/>
    <w:rsid w:val="00C6007B"/>
    <w:rsid w:val="00C605D5"/>
    <w:rsid w:val="00C94F68"/>
    <w:rsid w:val="00CD64AE"/>
    <w:rsid w:val="00D10CBE"/>
    <w:rsid w:val="00D62705"/>
    <w:rsid w:val="00E000ED"/>
    <w:rsid w:val="00E11904"/>
    <w:rsid w:val="00E46163"/>
    <w:rsid w:val="00E71F94"/>
    <w:rsid w:val="00E94B13"/>
    <w:rsid w:val="00ED2490"/>
    <w:rsid w:val="00EE3CFC"/>
    <w:rsid w:val="00EF59C5"/>
    <w:rsid w:val="00F32C63"/>
    <w:rsid w:val="00F653A7"/>
    <w:rsid w:val="00FC7657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8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C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31EC8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rsid w:val="007A4BF2"/>
    <w:pPr>
      <w:jc w:val="center"/>
    </w:pPr>
    <w:rPr>
      <w:rFonts w:ascii="Cambria" w:hAnsi="Cambria"/>
      <w:sz w:val="20"/>
    </w:rPr>
  </w:style>
  <w:style w:type="paragraph" w:customStyle="1" w:styleId="EndNoteBibliography">
    <w:name w:val="EndNote Bibliography"/>
    <w:basedOn w:val="a"/>
    <w:rsid w:val="007A4BF2"/>
    <w:rPr>
      <w:rFonts w:ascii="Cambria" w:hAnsi="Cambria"/>
      <w:sz w:val="20"/>
    </w:rPr>
  </w:style>
  <w:style w:type="paragraph" w:styleId="a5">
    <w:name w:val="header"/>
    <w:basedOn w:val="a"/>
    <w:link w:val="Char"/>
    <w:uiPriority w:val="99"/>
    <w:unhideWhenUsed/>
    <w:rsid w:val="00CD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64AE"/>
    <w:rPr>
      <w:kern w:val="2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CD6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64AE"/>
    <w:rPr>
      <w:kern w:val="2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0105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0587"/>
    <w:rPr>
      <w:kern w:val="2"/>
      <w:sz w:val="18"/>
      <w:szCs w:val="18"/>
      <w:lang w:eastAsia="zh-CN"/>
    </w:rPr>
  </w:style>
  <w:style w:type="paragraph" w:styleId="a8">
    <w:name w:val="Normal (Web)"/>
    <w:basedOn w:val="a"/>
    <w:uiPriority w:val="99"/>
    <w:unhideWhenUsed/>
    <w:rsid w:val="0083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8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C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31EC8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rsid w:val="007A4BF2"/>
    <w:pPr>
      <w:jc w:val="center"/>
    </w:pPr>
    <w:rPr>
      <w:rFonts w:ascii="Cambria" w:hAnsi="Cambria"/>
      <w:sz w:val="20"/>
    </w:rPr>
  </w:style>
  <w:style w:type="paragraph" w:customStyle="1" w:styleId="EndNoteBibliography">
    <w:name w:val="EndNote Bibliography"/>
    <w:basedOn w:val="a"/>
    <w:rsid w:val="007A4BF2"/>
    <w:rPr>
      <w:rFonts w:ascii="Cambria" w:hAnsi="Cambria"/>
      <w:sz w:val="20"/>
    </w:rPr>
  </w:style>
  <w:style w:type="paragraph" w:styleId="a5">
    <w:name w:val="header"/>
    <w:basedOn w:val="a"/>
    <w:link w:val="Char"/>
    <w:uiPriority w:val="99"/>
    <w:unhideWhenUsed/>
    <w:rsid w:val="00CD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64AE"/>
    <w:rPr>
      <w:kern w:val="2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CD6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64AE"/>
    <w:rPr>
      <w:kern w:val="2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0105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0587"/>
    <w:rPr>
      <w:kern w:val="2"/>
      <w:sz w:val="18"/>
      <w:szCs w:val="18"/>
      <w:lang w:eastAsia="zh-CN"/>
    </w:rPr>
  </w:style>
  <w:style w:type="paragraph" w:styleId="a8">
    <w:name w:val="Normal (Web)"/>
    <w:basedOn w:val="a"/>
    <w:uiPriority w:val="99"/>
    <w:unhideWhenUsed/>
    <w:rsid w:val="0083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DFC7-43E3-41B2-9EA2-7965F5C4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2265</Words>
  <Characters>12914</Characters>
  <Application>Microsoft Office Word</Application>
  <DocSecurity>0</DocSecurity>
  <Lines>107</Lines>
  <Paragraphs>30</Paragraphs>
  <ScaleCrop>false</ScaleCrop>
  <Company>yale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Xiang</dc:creator>
  <cp:lastModifiedBy>dell</cp:lastModifiedBy>
  <cp:revision>4</cp:revision>
  <cp:lastPrinted>2017-04-05T05:54:00Z</cp:lastPrinted>
  <dcterms:created xsi:type="dcterms:W3CDTF">2018-11-14T01:38:00Z</dcterms:created>
  <dcterms:modified xsi:type="dcterms:W3CDTF">2018-11-14T01:39:00Z</dcterms:modified>
</cp:coreProperties>
</file>