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FC" w:rsidRPr="00753A11" w:rsidRDefault="000861FC" w:rsidP="000861FC">
      <w:pPr>
        <w:rPr>
          <w:rFonts w:cstheme="minorHAnsi"/>
          <w:b/>
          <w:sz w:val="21"/>
          <w:szCs w:val="21"/>
        </w:rPr>
      </w:pPr>
      <w:r w:rsidRPr="00753A11">
        <w:rPr>
          <w:rFonts w:cstheme="minorHAnsi"/>
          <w:b/>
          <w:sz w:val="21"/>
          <w:szCs w:val="21"/>
        </w:rPr>
        <w:t>SUPPLEMENTAL MATERIAL</w:t>
      </w:r>
    </w:p>
    <w:p w:rsidR="000861FC" w:rsidRPr="00753A11" w:rsidRDefault="000861FC" w:rsidP="000861FC">
      <w:pPr>
        <w:rPr>
          <w:rFonts w:cstheme="minorHAnsi"/>
          <w:b/>
          <w:sz w:val="21"/>
          <w:szCs w:val="21"/>
        </w:rPr>
      </w:pPr>
    </w:p>
    <w:p w:rsidR="000861FC" w:rsidRPr="00753A11" w:rsidRDefault="001940AA" w:rsidP="000861FC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Supplemental Table </w:t>
      </w:r>
      <w:bookmarkStart w:id="0" w:name="_GoBack"/>
      <w:bookmarkEnd w:id="0"/>
      <w:r w:rsidR="000861FC" w:rsidRPr="00753A11">
        <w:rPr>
          <w:rFonts w:cstheme="minorHAnsi"/>
          <w:b/>
          <w:sz w:val="21"/>
          <w:szCs w:val="21"/>
        </w:rPr>
        <w:t>1: Distribution of disordered eating behaviours by gender at all three time points</w:t>
      </w:r>
    </w:p>
    <w:tbl>
      <w:tblPr>
        <w:tblStyle w:val="TableGrid"/>
        <w:tblpPr w:leftFromText="180" w:rightFromText="180" w:vertAnchor="page" w:horzAnchor="margin" w:tblpY="2916"/>
        <w:tblW w:w="9758" w:type="dxa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442"/>
        <w:gridCol w:w="1676"/>
        <w:gridCol w:w="1673"/>
        <w:gridCol w:w="1907"/>
      </w:tblGrid>
      <w:tr w:rsidR="000861FC" w:rsidRPr="00753A11" w:rsidTr="003039A3">
        <w:trPr>
          <w:trHeight w:val="402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Time Points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Child’s sex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 xml:space="preserve">Disordered Eating behaviours </w:t>
            </w:r>
          </w:p>
        </w:tc>
      </w:tr>
      <w:tr w:rsidR="000861FC" w:rsidRPr="00753A11" w:rsidTr="003039A3">
        <w:trPr>
          <w:trHeight w:val="157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Binge-eating</w:t>
            </w:r>
          </w:p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  <w:vertAlign w:val="superscript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N</w:t>
            </w:r>
            <w:r w:rsidRPr="00753A11">
              <w:rPr>
                <w:rFonts w:cstheme="minorHAnsi"/>
                <w:b/>
                <w:sz w:val="21"/>
                <w:szCs w:val="21"/>
                <w:vertAlign w:val="superscript"/>
              </w:rPr>
              <w:t>a</w:t>
            </w:r>
          </w:p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n (%)</w:t>
            </w:r>
          </w:p>
        </w:tc>
        <w:tc>
          <w:tcPr>
            <w:tcW w:w="167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 xml:space="preserve">Purging </w:t>
            </w:r>
          </w:p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N</w:t>
            </w:r>
            <w:r w:rsidRPr="00753A11">
              <w:rPr>
                <w:rFonts w:cstheme="minorHAnsi"/>
                <w:b/>
                <w:sz w:val="21"/>
                <w:szCs w:val="21"/>
                <w:vertAlign w:val="superscript"/>
              </w:rPr>
              <w:t>a</w:t>
            </w:r>
          </w:p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</w:p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n (%)</w:t>
            </w:r>
          </w:p>
        </w:tc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 xml:space="preserve">Fasting </w:t>
            </w:r>
          </w:p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N</w:t>
            </w:r>
            <w:r w:rsidRPr="00753A11">
              <w:rPr>
                <w:rFonts w:cstheme="minorHAnsi"/>
                <w:b/>
                <w:sz w:val="21"/>
                <w:szCs w:val="21"/>
                <w:vertAlign w:val="superscript"/>
              </w:rPr>
              <w:t>a</w:t>
            </w:r>
          </w:p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</w:p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n (%)</w:t>
            </w:r>
          </w:p>
        </w:tc>
        <w:tc>
          <w:tcPr>
            <w:tcW w:w="1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Excessive Exercise</w:t>
            </w:r>
          </w:p>
          <w:p w:rsidR="000861FC" w:rsidRPr="00753A11" w:rsidRDefault="000861FC" w:rsidP="003039A3">
            <w:pPr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N</w:t>
            </w:r>
            <w:r w:rsidRPr="00753A11">
              <w:rPr>
                <w:rFonts w:cstheme="minorHAnsi"/>
                <w:b/>
                <w:sz w:val="21"/>
                <w:szCs w:val="21"/>
                <w:vertAlign w:val="superscript"/>
              </w:rPr>
              <w:t>a</w:t>
            </w:r>
          </w:p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n (%)</w:t>
            </w:r>
          </w:p>
        </w:tc>
      </w:tr>
      <w:tr w:rsidR="000861FC" w:rsidRPr="00753A11" w:rsidTr="003039A3">
        <w:trPr>
          <w:trHeight w:val="170"/>
        </w:trPr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Age 14 years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Boys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11 (0.6%)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 (0.6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40 (2.3%)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31 (1.8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</w:tr>
      <w:tr w:rsidR="000861FC" w:rsidRPr="00753A11" w:rsidTr="003039A3">
        <w:trPr>
          <w:trHeight w:val="74"/>
        </w:trPr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Girls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37</w:t>
            </w:r>
            <w:r w:rsidRPr="00753A11">
              <w:rPr>
                <w:rFonts w:cstheme="minorHAnsi"/>
                <w:sz w:val="21"/>
                <w:szCs w:val="21"/>
              </w:rPr>
              <w:t xml:space="preserve"> (1.7%)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52 (2.5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200 (9.4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49 (2.3%)</w:t>
            </w:r>
          </w:p>
        </w:tc>
      </w:tr>
      <w:tr w:rsidR="000861FC" w:rsidRPr="00753A11" w:rsidTr="003039A3">
        <w:trPr>
          <w:trHeight w:val="72"/>
        </w:trPr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Age 16 years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Boys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 (0.7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17 (1.2%)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40 (2.9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2</w:t>
            </w:r>
            <w:r>
              <w:rPr>
                <w:rFonts w:cstheme="minorHAnsi"/>
                <w:sz w:val="21"/>
                <w:szCs w:val="21"/>
              </w:rPr>
              <w:t>8</w:t>
            </w:r>
            <w:r w:rsidRPr="00753A11">
              <w:rPr>
                <w:rFonts w:cstheme="minorHAnsi"/>
                <w:sz w:val="21"/>
                <w:szCs w:val="21"/>
              </w:rPr>
              <w:t xml:space="preserve"> (2.1%)</w:t>
            </w:r>
          </w:p>
        </w:tc>
      </w:tr>
      <w:tr w:rsidR="000861FC" w:rsidRPr="00753A11" w:rsidTr="003039A3">
        <w:trPr>
          <w:trHeight w:val="260"/>
        </w:trPr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Girls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114 (5.9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1</w:t>
            </w:r>
            <w:r>
              <w:rPr>
                <w:rFonts w:cstheme="minorHAnsi"/>
                <w:sz w:val="21"/>
                <w:szCs w:val="21"/>
              </w:rPr>
              <w:t>80 (9.4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399 (20.9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60 (3.1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</w:tr>
      <w:tr w:rsidR="000861FC" w:rsidRPr="00753A11" w:rsidTr="003039A3">
        <w:trPr>
          <w:trHeight w:val="143"/>
        </w:trPr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Age 18 years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Boys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9 (1.1%)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14 (1.7%)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35 (4.2%)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14 (1.7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</w:tr>
      <w:tr w:rsidR="000861FC" w:rsidRPr="00753A11" w:rsidTr="003039A3">
        <w:trPr>
          <w:trHeight w:val="74"/>
        </w:trPr>
        <w:tc>
          <w:tcPr>
            <w:tcW w:w="1530" w:type="dxa"/>
            <w:tcBorders>
              <w:top w:val="nil"/>
              <w:bottom w:val="single" w:sz="18" w:space="0" w:color="000000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18" w:space="0" w:color="000000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rPr>
                <w:rFonts w:cstheme="minorHAnsi"/>
                <w:b/>
                <w:sz w:val="21"/>
                <w:szCs w:val="21"/>
              </w:rPr>
            </w:pPr>
            <w:r w:rsidRPr="00753A11">
              <w:rPr>
                <w:rFonts w:cstheme="minorHAnsi"/>
                <w:b/>
                <w:sz w:val="21"/>
                <w:szCs w:val="21"/>
              </w:rPr>
              <w:t>Girls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88 (6.2%)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127</w:t>
            </w:r>
            <w:r w:rsidRPr="00753A11">
              <w:rPr>
                <w:rFonts w:cstheme="minorHAnsi"/>
                <w:sz w:val="21"/>
                <w:szCs w:val="21"/>
              </w:rPr>
              <w:t xml:space="preserve"> (9.</w:t>
            </w:r>
            <w:r>
              <w:rPr>
                <w:rFonts w:cstheme="minorHAnsi"/>
                <w:sz w:val="21"/>
                <w:szCs w:val="21"/>
              </w:rPr>
              <w:t>1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 w:rsidRPr="00753A11">
              <w:rPr>
                <w:rFonts w:cstheme="minorHAnsi"/>
                <w:sz w:val="21"/>
                <w:szCs w:val="21"/>
              </w:rPr>
              <w:t>22</w:t>
            </w:r>
            <w:r>
              <w:rPr>
                <w:rFonts w:cstheme="minorHAnsi"/>
                <w:sz w:val="21"/>
                <w:szCs w:val="21"/>
              </w:rPr>
              <w:t>6 (16.1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vAlign w:val="center"/>
          </w:tcPr>
          <w:p w:rsidR="000861FC" w:rsidRPr="00753A11" w:rsidRDefault="000861FC" w:rsidP="003039A3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69 (4.9</w:t>
            </w:r>
            <w:r w:rsidRPr="00753A11">
              <w:rPr>
                <w:rFonts w:cstheme="minorHAnsi"/>
                <w:sz w:val="21"/>
                <w:szCs w:val="21"/>
              </w:rPr>
              <w:t>%)</w:t>
            </w:r>
          </w:p>
        </w:tc>
      </w:tr>
    </w:tbl>
    <w:p w:rsidR="000861FC" w:rsidRDefault="000861FC" w:rsidP="000861FC">
      <w:pPr>
        <w:rPr>
          <w:rFonts w:cstheme="minorHAnsi"/>
          <w:b/>
          <w:sz w:val="21"/>
          <w:szCs w:val="21"/>
        </w:rPr>
      </w:pPr>
    </w:p>
    <w:p w:rsidR="000861FC" w:rsidRDefault="000861FC" w:rsidP="000861FC">
      <w:pPr>
        <w:rPr>
          <w:rFonts w:cstheme="minorHAnsi"/>
          <w:b/>
          <w:sz w:val="21"/>
          <w:szCs w:val="21"/>
        </w:rPr>
      </w:pPr>
    </w:p>
    <w:p w:rsidR="000861FC" w:rsidRDefault="000861FC"/>
    <w:p w:rsidR="000861FC" w:rsidRDefault="000861FC">
      <w:r>
        <w:br w:type="page"/>
      </w:r>
    </w:p>
    <w:p w:rsidR="000861FC" w:rsidRDefault="000861FC">
      <w:pPr>
        <w:sectPr w:rsidR="000861F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861FC" w:rsidRPr="00F262F0" w:rsidRDefault="001940AA" w:rsidP="000861FC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lastRenderedPageBreak/>
        <w:t>Supplemental Figure 1</w:t>
      </w:r>
      <w:r w:rsidR="000861FC" w:rsidRPr="00753A11">
        <w:rPr>
          <w:rFonts w:cstheme="minorHAnsi"/>
          <w:b/>
          <w:sz w:val="21"/>
          <w:szCs w:val="21"/>
        </w:rPr>
        <w:t>:</w:t>
      </w:r>
      <w:r w:rsidR="000861FC" w:rsidRPr="00753A11">
        <w:rPr>
          <w:rFonts w:cstheme="minorHAnsi"/>
          <w:b/>
          <w:sz w:val="21"/>
          <w:szCs w:val="21"/>
          <w:lang w:val="en-US"/>
        </w:rPr>
        <w:t xml:space="preserve"> Association between SCZ PRS derived across SNPs p-value thresholds and binge eating</w:t>
      </w:r>
    </w:p>
    <w:p w:rsidR="000861FC" w:rsidRPr="00753A11" w:rsidRDefault="000861FC" w:rsidP="000861FC">
      <w:pPr>
        <w:rPr>
          <w:rFonts w:cstheme="minorHAnsi"/>
          <w:b/>
          <w:sz w:val="21"/>
          <w:szCs w:val="21"/>
        </w:rPr>
      </w:pPr>
    </w:p>
    <w:p w:rsidR="000861FC" w:rsidRPr="00753A11" w:rsidRDefault="000861FC" w:rsidP="000861FC">
      <w:pPr>
        <w:rPr>
          <w:rFonts w:cstheme="minorHAnsi"/>
          <w:b/>
          <w:sz w:val="21"/>
          <w:szCs w:val="21"/>
        </w:rPr>
      </w:pPr>
      <w:r w:rsidRPr="00190633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D407EE4" wp14:editId="5E50F53A">
            <wp:extent cx="8100926" cy="3563158"/>
            <wp:effectExtent l="0" t="0" r="1905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753A11">
        <w:rPr>
          <w:rFonts w:cstheme="minorHAnsi"/>
          <w:noProof/>
          <w:lang w:eastAsia="ja-JP"/>
        </w:rPr>
        <w:t xml:space="preserve"> </w:t>
      </w:r>
    </w:p>
    <w:p w:rsidR="000861FC" w:rsidRPr="00753A11" w:rsidRDefault="000861FC" w:rsidP="000861FC">
      <w:pPr>
        <w:rPr>
          <w:rFonts w:cstheme="minorHAnsi"/>
          <w:sz w:val="21"/>
          <w:szCs w:val="21"/>
        </w:rPr>
      </w:pPr>
    </w:p>
    <w:p w:rsidR="000861FC" w:rsidRPr="00753A11" w:rsidRDefault="000861FC" w:rsidP="000861FC">
      <w:pPr>
        <w:rPr>
          <w:rFonts w:cstheme="minorHAnsi"/>
          <w:sz w:val="21"/>
          <w:szCs w:val="21"/>
        </w:rPr>
      </w:pPr>
    </w:p>
    <w:p w:rsidR="000861FC" w:rsidRPr="00753A11" w:rsidRDefault="000861FC" w:rsidP="000861FC">
      <w:pPr>
        <w:rPr>
          <w:rFonts w:cstheme="minorHAnsi"/>
          <w:sz w:val="21"/>
          <w:szCs w:val="21"/>
        </w:rPr>
      </w:pPr>
    </w:p>
    <w:p w:rsidR="000861FC" w:rsidRPr="00753A11" w:rsidRDefault="000861FC" w:rsidP="000861FC">
      <w:pPr>
        <w:rPr>
          <w:rFonts w:cstheme="minorHAnsi"/>
          <w:b/>
          <w:sz w:val="21"/>
          <w:szCs w:val="21"/>
        </w:rPr>
      </w:pPr>
      <w:r w:rsidRPr="00753A11">
        <w:rPr>
          <w:rFonts w:cstheme="minorHAnsi"/>
          <w:b/>
          <w:sz w:val="21"/>
          <w:szCs w:val="21"/>
        </w:rPr>
        <w:br w:type="page"/>
      </w:r>
    </w:p>
    <w:p w:rsidR="000861FC" w:rsidRDefault="001940AA" w:rsidP="000861FC">
      <w:pPr>
        <w:rPr>
          <w:rFonts w:cstheme="minorHAnsi"/>
          <w:b/>
          <w:sz w:val="21"/>
          <w:szCs w:val="21"/>
          <w:lang w:val="en-US"/>
        </w:rPr>
      </w:pPr>
      <w:r>
        <w:rPr>
          <w:rFonts w:cstheme="minorHAnsi"/>
          <w:b/>
          <w:sz w:val="21"/>
          <w:szCs w:val="21"/>
        </w:rPr>
        <w:lastRenderedPageBreak/>
        <w:t>Supplemental Figure 2</w:t>
      </w:r>
      <w:r w:rsidR="000861FC" w:rsidRPr="00753A11">
        <w:rPr>
          <w:rFonts w:cstheme="minorHAnsi"/>
          <w:b/>
          <w:sz w:val="21"/>
          <w:szCs w:val="21"/>
        </w:rPr>
        <w:t xml:space="preserve">: </w:t>
      </w:r>
      <w:r w:rsidR="000861FC" w:rsidRPr="00753A11">
        <w:rPr>
          <w:rFonts w:cstheme="minorHAnsi"/>
          <w:b/>
          <w:sz w:val="21"/>
          <w:szCs w:val="21"/>
          <w:lang w:val="en-US"/>
        </w:rPr>
        <w:t>Association between SCZ PRS derived across SNPs p-value thresholds and BMI</w:t>
      </w:r>
    </w:p>
    <w:p w:rsidR="000861FC" w:rsidRDefault="000861FC" w:rsidP="000861FC">
      <w:pPr>
        <w:rPr>
          <w:rFonts w:cstheme="minorHAnsi"/>
          <w:b/>
          <w:sz w:val="21"/>
          <w:szCs w:val="21"/>
          <w:lang w:val="en-US"/>
        </w:rPr>
      </w:pPr>
    </w:p>
    <w:p w:rsidR="000861FC" w:rsidRPr="00753A11" w:rsidRDefault="000861FC" w:rsidP="000861FC">
      <w:pPr>
        <w:rPr>
          <w:rFonts w:cstheme="minorHAnsi"/>
          <w:b/>
          <w:sz w:val="21"/>
          <w:szCs w:val="21"/>
        </w:rPr>
      </w:pPr>
    </w:p>
    <w:p w:rsidR="0010689A" w:rsidRDefault="000861FC" w:rsidP="000861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C8A69" wp14:editId="41B6BDE7">
                <wp:simplePos x="0" y="0"/>
                <wp:positionH relativeFrom="column">
                  <wp:posOffset>789641</wp:posOffset>
                </wp:positionH>
                <wp:positionV relativeFrom="paragraph">
                  <wp:posOffset>5780031</wp:posOffset>
                </wp:positionV>
                <wp:extent cx="6684579" cy="15765"/>
                <wp:effectExtent l="0" t="0" r="2159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579" cy="157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1EF67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455.1pt" to="588.55pt,4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" strokecolor="black [3213]" strokeweight="1.5pt">
                <v:stroke dashstyle="3 1" joinstyle="miter"/>
              </v:line>
            </w:pict>
          </mc:Fallback>
        </mc:AlternateContent>
      </w:r>
      <w:r w:rsidRPr="006823FA">
        <w:rPr>
          <w:noProof/>
          <w:lang w:eastAsia="ja-JP"/>
        </w:rPr>
        <w:t xml:space="preserve"> </w:t>
      </w:r>
      <w:r w:rsidRPr="00753A11">
        <w:rPr>
          <w:rFonts w:cstheme="minorHAnsi"/>
          <w:b/>
          <w:sz w:val="21"/>
          <w:szCs w:val="21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AA02601" wp14:editId="0CDEBB19">
            <wp:extent cx="8199062" cy="3635433"/>
            <wp:effectExtent l="0" t="0" r="5715" b="222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0689A" w:rsidSect="000861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FC"/>
    <w:rsid w:val="000861FC"/>
    <w:rsid w:val="001940AA"/>
    <w:rsid w:val="00BB72EC"/>
    <w:rsid w:val="00C347AE"/>
    <w:rsid w:val="00F2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91A0"/>
  <w15:chartTrackingRefBased/>
  <w15:docId w15:val="{87E32F80-0760-4ACB-8F05-7755A1E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francescasolmi\Dropbox\ALSPAC\PRS%20ED\Submission\BJPsych\Figures%20BJP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francescasolmi\Dropbox\ALSPAC\PRS%20ED\Submission\BJPsych\Figures%20BJ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Binge</a:t>
            </a:r>
            <a:r>
              <a:rPr lang="en-US" baseline="0"/>
              <a:t> eating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OR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Sheet1!$H$6:$H$18</c:f>
                <c:numCache>
                  <c:formatCode>General</c:formatCode>
                  <c:ptCount val="13"/>
                  <c:pt idx="0">
                    <c:v>0.194719</c:v>
                  </c:pt>
                  <c:pt idx="1">
                    <c:v>0.21</c:v>
                  </c:pt>
                  <c:pt idx="2">
                    <c:v>0.21</c:v>
                  </c:pt>
                  <c:pt idx="3">
                    <c:v>0.19</c:v>
                  </c:pt>
                  <c:pt idx="4">
                    <c:v>0.22</c:v>
                  </c:pt>
                  <c:pt idx="5">
                    <c:v>0.22</c:v>
                  </c:pt>
                  <c:pt idx="6">
                    <c:v>0.24</c:v>
                  </c:pt>
                  <c:pt idx="7">
                    <c:v>0.24</c:v>
                  </c:pt>
                  <c:pt idx="8">
                    <c:v>0.24</c:v>
                  </c:pt>
                  <c:pt idx="9">
                    <c:v>0.25</c:v>
                  </c:pt>
                  <c:pt idx="10">
                    <c:v>0.25</c:v>
                  </c:pt>
                  <c:pt idx="11">
                    <c:v>0.24</c:v>
                  </c:pt>
                </c:numCache>
              </c:numRef>
            </c:plus>
            <c:minus>
              <c:numRef>
                <c:f>Sheet1!$G$6:$G$18</c:f>
                <c:numCache>
                  <c:formatCode>General</c:formatCode>
                  <c:ptCount val="13"/>
                  <c:pt idx="0">
                    <c:v>0.16528100000000001</c:v>
                  </c:pt>
                  <c:pt idx="1">
                    <c:v>0.18</c:v>
                  </c:pt>
                  <c:pt idx="2">
                    <c:v>0.17</c:v>
                  </c:pt>
                  <c:pt idx="3">
                    <c:v>0.18</c:v>
                  </c:pt>
                  <c:pt idx="4">
                    <c:v>0.18</c:v>
                  </c:pt>
                  <c:pt idx="5">
                    <c:v>0.2</c:v>
                  </c:pt>
                  <c:pt idx="6">
                    <c:v>0.2</c:v>
                  </c:pt>
                  <c:pt idx="7">
                    <c:v>0.2</c:v>
                  </c:pt>
                  <c:pt idx="8">
                    <c:v>0.2</c:v>
                  </c:pt>
                  <c:pt idx="9">
                    <c:v>0.21</c:v>
                  </c:pt>
                  <c:pt idx="10">
                    <c:v>0.21</c:v>
                  </c:pt>
                  <c:pt idx="11">
                    <c:v>0.21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bg1">
                    <a:lumMod val="50000"/>
                  </a:schemeClr>
                </a:solidFill>
                <a:round/>
              </a:ln>
              <a:effectLst/>
            </c:spPr>
          </c:errBars>
          <c:cat>
            <c:numRef>
              <c:f>Sheet1!$C$6:$C$17</c:f>
              <c:numCache>
                <c:formatCode>General</c:formatCode>
                <c:ptCount val="12"/>
                <c:pt idx="0">
                  <c:v>9.9999999999999995E-8</c:v>
                </c:pt>
                <c:pt idx="1">
                  <c:v>9.9999999999999995E-7</c:v>
                </c:pt>
                <c:pt idx="2">
                  <c:v>1.0000000000000001E-5</c:v>
                </c:pt>
                <c:pt idx="3">
                  <c:v>1E-4</c:v>
                </c:pt>
                <c:pt idx="4">
                  <c:v>1E-3</c:v>
                </c:pt>
                <c:pt idx="5">
                  <c:v>0.01</c:v>
                </c:pt>
                <c:pt idx="6">
                  <c:v>0.05</c:v>
                </c:pt>
                <c:pt idx="7">
                  <c:v>0.1</c:v>
                </c:pt>
                <c:pt idx="8">
                  <c:v>0.2</c:v>
                </c:pt>
                <c:pt idx="9">
                  <c:v>0.3</c:v>
                </c:pt>
                <c:pt idx="10">
                  <c:v>0.4</c:v>
                </c:pt>
                <c:pt idx="11">
                  <c:v>0.5</c:v>
                </c:pt>
              </c:numCache>
            </c:numRef>
          </c:cat>
          <c:val>
            <c:numRef>
              <c:f>Sheet1!$D$6:$D$17</c:f>
              <c:numCache>
                <c:formatCode>0.00</c:formatCode>
                <c:ptCount val="12"/>
                <c:pt idx="0">
                  <c:v>1.105281</c:v>
                </c:pt>
                <c:pt idx="1">
                  <c:v>1.2</c:v>
                </c:pt>
                <c:pt idx="2">
                  <c:v>1.18</c:v>
                </c:pt>
                <c:pt idx="3">
                  <c:v>1.1599999999999999</c:v>
                </c:pt>
                <c:pt idx="4">
                  <c:v>1.24</c:v>
                </c:pt>
                <c:pt idx="5">
                  <c:v>1.28</c:v>
                </c:pt>
                <c:pt idx="6">
                  <c:v>1.36</c:v>
                </c:pt>
                <c:pt idx="7">
                  <c:v>1.33</c:v>
                </c:pt>
                <c:pt idx="8">
                  <c:v>1.36</c:v>
                </c:pt>
                <c:pt idx="9">
                  <c:v>1.37</c:v>
                </c:pt>
                <c:pt idx="10">
                  <c:v>1.38</c:v>
                </c:pt>
                <c:pt idx="11">
                  <c:v>1.37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E8-4261-9741-D80516737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6496784"/>
        <c:axId val="-88541488"/>
      </c:barChart>
      <c:catAx>
        <c:axId val="-17649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8541488"/>
        <c:crosses val="autoZero"/>
        <c:auto val="1"/>
        <c:lblAlgn val="ctr"/>
        <c:lblOffset val="100"/>
        <c:noMultiLvlLbl val="0"/>
      </c:catAx>
      <c:valAx>
        <c:axId val="-88541488"/>
        <c:scaling>
          <c:orientation val="minMax"/>
          <c:min val="0.8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  <a:alpha val="2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Odds Ratio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76496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Body Mass Index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Sheet1!$D$22</c:f>
              <c:strCache>
                <c:ptCount val="1"/>
                <c:pt idx="0">
                  <c:v>Coefficient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Sheet1!$H$23:$H$35</c:f>
                <c:numCache>
                  <c:formatCode>General</c:formatCode>
                  <c:ptCount val="13"/>
                  <c:pt idx="0">
                    <c:v>2.8739000000000001E-2</c:v>
                  </c:pt>
                  <c:pt idx="1">
                    <c:v>2.8789800000000001E-2</c:v>
                  </c:pt>
                  <c:pt idx="2">
                    <c:v>2.8833999999999999E-2</c:v>
                  </c:pt>
                  <c:pt idx="3">
                    <c:v>2.86918E-2</c:v>
                  </c:pt>
                  <c:pt idx="4">
                    <c:v>2.8585599999999999E-2</c:v>
                  </c:pt>
                  <c:pt idx="5">
                    <c:v>2.86182E-2</c:v>
                  </c:pt>
                  <c:pt idx="6">
                    <c:v>2.86111E-2</c:v>
                  </c:pt>
                  <c:pt idx="7">
                    <c:v>2.8593500000000001E-2</c:v>
                  </c:pt>
                  <c:pt idx="8">
                    <c:v>2.8672400000000001E-2</c:v>
                  </c:pt>
                  <c:pt idx="9">
                    <c:v>2.86486E-2</c:v>
                  </c:pt>
                  <c:pt idx="10">
                    <c:v>2.86041E-2</c:v>
                  </c:pt>
                  <c:pt idx="11">
                    <c:v>2.8616599999999999E-2</c:v>
                  </c:pt>
                  <c:pt idx="12">
                    <c:v>2.9872599999999999E-2</c:v>
                  </c:pt>
                </c:numCache>
              </c:numRef>
            </c:plus>
            <c:minus>
              <c:numRef>
                <c:f>Sheet1!$G$23:$G$35</c:f>
                <c:numCache>
                  <c:formatCode>General</c:formatCode>
                  <c:ptCount val="13"/>
                  <c:pt idx="0">
                    <c:v>2.8738900000000001E-2</c:v>
                  </c:pt>
                  <c:pt idx="1">
                    <c:v>2.8789800000000001E-2</c:v>
                  </c:pt>
                  <c:pt idx="2">
                    <c:v>2.8833999999999999E-2</c:v>
                  </c:pt>
                  <c:pt idx="3">
                    <c:v>2.8691700000000001E-2</c:v>
                  </c:pt>
                  <c:pt idx="4">
                    <c:v>2.8585599999999999E-2</c:v>
                  </c:pt>
                  <c:pt idx="5">
                    <c:v>2.8618299999999999E-2</c:v>
                  </c:pt>
                  <c:pt idx="6">
                    <c:v>2.86111E-2</c:v>
                  </c:pt>
                  <c:pt idx="7">
                    <c:v>2.8593400000000001E-2</c:v>
                  </c:pt>
                  <c:pt idx="8">
                    <c:v>2.8672300000000001E-2</c:v>
                  </c:pt>
                  <c:pt idx="9">
                    <c:v>2.8648699999999999E-2</c:v>
                  </c:pt>
                  <c:pt idx="10">
                    <c:v>2.86041E-2</c:v>
                  </c:pt>
                  <c:pt idx="11">
                    <c:v>2.8616699999999998E-2</c:v>
                  </c:pt>
                  <c:pt idx="12">
                    <c:v>2.98725E-2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bg1">
                    <a:lumMod val="50000"/>
                  </a:schemeClr>
                </a:solidFill>
                <a:round/>
              </a:ln>
              <a:effectLst/>
            </c:spPr>
          </c:errBars>
          <c:cat>
            <c:numRef>
              <c:f>Sheet1!$C$23:$C$34</c:f>
              <c:numCache>
                <c:formatCode>General</c:formatCode>
                <c:ptCount val="12"/>
                <c:pt idx="0">
                  <c:v>9.9999999999999995E-8</c:v>
                </c:pt>
                <c:pt idx="1">
                  <c:v>9.9999999999999995E-7</c:v>
                </c:pt>
                <c:pt idx="2">
                  <c:v>1.0000000000000001E-5</c:v>
                </c:pt>
                <c:pt idx="3">
                  <c:v>1E-4</c:v>
                </c:pt>
                <c:pt idx="4">
                  <c:v>1E-3</c:v>
                </c:pt>
                <c:pt idx="5">
                  <c:v>0.01</c:v>
                </c:pt>
                <c:pt idx="6">
                  <c:v>0.05</c:v>
                </c:pt>
                <c:pt idx="7">
                  <c:v>0.1</c:v>
                </c:pt>
                <c:pt idx="8">
                  <c:v>0.2</c:v>
                </c:pt>
                <c:pt idx="9">
                  <c:v>0.3</c:v>
                </c:pt>
                <c:pt idx="10">
                  <c:v>0.4</c:v>
                </c:pt>
                <c:pt idx="11">
                  <c:v>0.5</c:v>
                </c:pt>
              </c:numCache>
            </c:numRef>
          </c:cat>
          <c:val>
            <c:numRef>
              <c:f>Sheet1!$D$23:$D$34</c:f>
              <c:numCache>
                <c:formatCode>0.000</c:formatCode>
                <c:ptCount val="12"/>
                <c:pt idx="0">
                  <c:v>-1.4134900000000001E-2</c:v>
                </c:pt>
                <c:pt idx="1">
                  <c:v>-2.6075899999999999E-2</c:v>
                </c:pt>
                <c:pt idx="2">
                  <c:v>-4.0972000000000001E-2</c:v>
                </c:pt>
                <c:pt idx="3">
                  <c:v>-3.10835E-2</c:v>
                </c:pt>
                <c:pt idx="4">
                  <c:v>-3.3205499999999999E-2</c:v>
                </c:pt>
                <c:pt idx="5">
                  <c:v>-3.1089200000000001E-2</c:v>
                </c:pt>
                <c:pt idx="6">
                  <c:v>-3.3182000000000003E-2</c:v>
                </c:pt>
                <c:pt idx="7">
                  <c:v>-2.86935E-2</c:v>
                </c:pt>
                <c:pt idx="8">
                  <c:v>-2.73428E-2</c:v>
                </c:pt>
                <c:pt idx="9">
                  <c:v>-2.7101099999999999E-2</c:v>
                </c:pt>
                <c:pt idx="10">
                  <c:v>-2.8255800000000001E-2</c:v>
                </c:pt>
                <c:pt idx="11">
                  <c:v>-2.75269E-2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CD-4D02-9CAF-D2A7BD5145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2000848"/>
        <c:axId val="-91264848"/>
      </c:barChart>
      <c:catAx>
        <c:axId val="-9200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1264848"/>
        <c:crosses val="autoZero"/>
        <c:auto val="1"/>
        <c:lblAlgn val="ctr"/>
        <c:lblOffset val="100"/>
        <c:noMultiLvlLbl val="0"/>
      </c:catAx>
      <c:valAx>
        <c:axId val="-9126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  <a:alpha val="2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Mean</a:t>
                </a:r>
                <a:r>
                  <a:rPr lang="en-GB" baseline="0"/>
                  <a:t> difference</a:t>
                </a:r>
                <a:endParaRPr lang="en-GB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charset="0"/>
                <a:ea typeface="Calibri" charset="0"/>
                <a:cs typeface="Calibri" charset="0"/>
              </a:defRPr>
            </a:pPr>
            <a:endParaRPr lang="en-US"/>
          </a:p>
        </c:txPr>
        <c:crossAx val="-920008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charset="0"/>
                <a:ea typeface="Calibri" charset="0"/>
                <a:cs typeface="Calibri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0.08602</cdr:x>
      <cdr:y>0.71133</cdr:y>
    </cdr:from>
    <cdr:to>
      <cdr:x>0.97416</cdr:x>
      <cdr:y>0.71133</cdr:y>
    </cdr:to>
    <cdr:cxnSp macro="">
      <cdr:nvCxnSpPr>
        <cdr:cNvPr id="2" name="Straight Connector 1"/>
        <cdr:cNvCxnSpPr/>
      </cdr:nvCxnSpPr>
      <cdr:spPr>
        <a:xfrm xmlns:a="http://schemas.openxmlformats.org/drawingml/2006/main">
          <a:off x="696826" y="2534458"/>
          <a:ext cx="7194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Solmi</dc:creator>
  <cp:keywords/>
  <dc:description/>
  <cp:lastModifiedBy>Francesca Solmi</cp:lastModifiedBy>
  <cp:revision>3</cp:revision>
  <dcterms:created xsi:type="dcterms:W3CDTF">2018-12-18T14:53:00Z</dcterms:created>
  <dcterms:modified xsi:type="dcterms:W3CDTF">2018-12-18T14:55:00Z</dcterms:modified>
</cp:coreProperties>
</file>