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6BD" w:rsidRDefault="00A076BD" w:rsidP="00B8321C">
      <w:pPr>
        <w:spacing w:line="360" w:lineRule="auto"/>
        <w:jc w:val="both"/>
        <w:rPr>
          <w:b/>
        </w:rPr>
      </w:pPr>
      <w:r>
        <w:rPr>
          <w:b/>
        </w:rPr>
        <w:t xml:space="preserve">Supplementary File </w:t>
      </w:r>
      <w:bookmarkStart w:id="0" w:name="_GoBack"/>
      <w:bookmarkEnd w:id="0"/>
      <w:r>
        <w:rPr>
          <w:b/>
        </w:rPr>
        <w:t>1</w:t>
      </w:r>
    </w:p>
    <w:p w:rsidR="003B160D" w:rsidRPr="00B8321C" w:rsidRDefault="00B8321C" w:rsidP="00B8321C">
      <w:pPr>
        <w:spacing w:line="360" w:lineRule="auto"/>
        <w:jc w:val="both"/>
        <w:rPr>
          <w:b/>
        </w:rPr>
      </w:pPr>
      <w:r>
        <w:rPr>
          <w:b/>
        </w:rPr>
        <w:t xml:space="preserve">Additional </w:t>
      </w:r>
      <w:r w:rsidRPr="00B8321C">
        <w:rPr>
          <w:b/>
        </w:rPr>
        <w:t xml:space="preserve">Reading </w:t>
      </w:r>
    </w:p>
    <w:p w:rsidR="00522C30" w:rsidRDefault="00522C30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Lambert PA, </w:t>
      </w:r>
      <w:proofErr w:type="spellStart"/>
      <w:r>
        <w:t>Carraz</w:t>
      </w:r>
      <w:proofErr w:type="spellEnd"/>
      <w:r>
        <w:t xml:space="preserve"> G, </w:t>
      </w:r>
      <w:proofErr w:type="spellStart"/>
      <w:r>
        <w:t>Borselli</w:t>
      </w:r>
      <w:proofErr w:type="spellEnd"/>
      <w:r>
        <w:t xml:space="preserve"> S, </w:t>
      </w:r>
      <w:proofErr w:type="spellStart"/>
      <w:r>
        <w:t>Carbel</w:t>
      </w:r>
      <w:proofErr w:type="spellEnd"/>
      <w:r>
        <w:t xml:space="preserve"> S. Action neuro-</w:t>
      </w:r>
      <w:proofErr w:type="spellStart"/>
      <w:r>
        <w:t>psychotrope</w:t>
      </w:r>
      <w:proofErr w:type="spellEnd"/>
      <w:r>
        <w:t xml:space="preserve"> d’un </w:t>
      </w:r>
      <w:proofErr w:type="spellStart"/>
      <w:r>
        <w:t>nouvel</w:t>
      </w:r>
      <w:proofErr w:type="spellEnd"/>
      <w:r>
        <w:t xml:space="preserve"> anti-</w:t>
      </w:r>
      <w:proofErr w:type="spellStart"/>
      <w:proofErr w:type="gramStart"/>
      <w:r>
        <w:t>epileptique</w:t>
      </w:r>
      <w:proofErr w:type="spellEnd"/>
      <w:r>
        <w:t xml:space="preserve"> :</w:t>
      </w:r>
      <w:proofErr w:type="gramEnd"/>
      <w:r>
        <w:t xml:space="preserve"> le </w:t>
      </w:r>
      <w:proofErr w:type="spellStart"/>
      <w:r>
        <w:t>depamide</w:t>
      </w:r>
      <w:proofErr w:type="spellEnd"/>
      <w:r>
        <w:t xml:space="preserve">. </w:t>
      </w:r>
      <w:r w:rsidRPr="00FF31C5">
        <w:rPr>
          <w:i/>
        </w:rPr>
        <w:t xml:space="preserve">Ann Med </w:t>
      </w:r>
      <w:proofErr w:type="spellStart"/>
      <w:r w:rsidRPr="00FF31C5">
        <w:rPr>
          <w:i/>
        </w:rPr>
        <w:t>Psychol</w:t>
      </w:r>
      <w:proofErr w:type="spellEnd"/>
      <w:r w:rsidRPr="00FF31C5">
        <w:rPr>
          <w:i/>
        </w:rPr>
        <w:t xml:space="preserve"> (Paris)</w:t>
      </w:r>
      <w:r>
        <w:t xml:space="preserve"> 1966 </w:t>
      </w:r>
      <w:proofErr w:type="gramStart"/>
      <w:r w:rsidRPr="00FF31C5">
        <w:rPr>
          <w:b/>
        </w:rPr>
        <w:t>124</w:t>
      </w:r>
      <w:r>
        <w:t xml:space="preserve"> :</w:t>
      </w:r>
      <w:proofErr w:type="gramEnd"/>
      <w:r>
        <w:t xml:space="preserve"> 707 – 710.</w:t>
      </w:r>
    </w:p>
    <w:p w:rsidR="00762ED6" w:rsidRDefault="00762ED6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Hayes J, </w:t>
      </w:r>
      <w:proofErr w:type="spellStart"/>
      <w:r>
        <w:t>Prah</w:t>
      </w:r>
      <w:proofErr w:type="spellEnd"/>
      <w:r>
        <w:t xml:space="preserve"> P, Nazareth I, King M, Walters K, Petersen I et al. Prescribing trends in bipolar </w:t>
      </w:r>
      <w:proofErr w:type="gramStart"/>
      <w:r>
        <w:t>disorder :</w:t>
      </w:r>
      <w:proofErr w:type="gramEnd"/>
      <w:r>
        <w:t xml:space="preserve"> cohort study in the United Kingdom THIN primary care database 1995-2009. </w:t>
      </w:r>
      <w:proofErr w:type="spellStart"/>
      <w:r w:rsidRPr="00E62733">
        <w:rPr>
          <w:i/>
        </w:rPr>
        <w:t>PloS</w:t>
      </w:r>
      <w:proofErr w:type="spellEnd"/>
      <w:r w:rsidRPr="00E62733">
        <w:rPr>
          <w:i/>
        </w:rPr>
        <w:t xml:space="preserve"> One</w:t>
      </w:r>
      <w:r>
        <w:t xml:space="preserve">, 2011 </w:t>
      </w:r>
      <w:proofErr w:type="gramStart"/>
      <w:r w:rsidRPr="00E62733">
        <w:rPr>
          <w:b/>
        </w:rPr>
        <w:t>6</w:t>
      </w:r>
      <w:r>
        <w:t xml:space="preserve"> :</w:t>
      </w:r>
      <w:proofErr w:type="gramEnd"/>
      <w:r>
        <w:t xml:space="preserve"> e28725. doi:10.1371/journal/pone.0028725.</w:t>
      </w:r>
    </w:p>
    <w:p w:rsidR="00762ED6" w:rsidRDefault="00762ED6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Grover S, </w:t>
      </w:r>
      <w:proofErr w:type="spellStart"/>
      <w:r>
        <w:t>Nebhinani</w:t>
      </w:r>
      <w:proofErr w:type="spellEnd"/>
      <w:r>
        <w:t xml:space="preserve"> N, Chakrabarti S, </w:t>
      </w:r>
      <w:proofErr w:type="spellStart"/>
      <w:r>
        <w:t>Avasthi</w:t>
      </w:r>
      <w:proofErr w:type="spellEnd"/>
      <w:r>
        <w:t xml:space="preserve"> A, </w:t>
      </w:r>
      <w:proofErr w:type="spellStart"/>
      <w:r>
        <w:t>Mattoo</w:t>
      </w:r>
      <w:proofErr w:type="spellEnd"/>
      <w:r>
        <w:t xml:space="preserve"> SK, </w:t>
      </w:r>
      <w:proofErr w:type="spellStart"/>
      <w:r>
        <w:t>Basu</w:t>
      </w:r>
      <w:proofErr w:type="spellEnd"/>
      <w:r>
        <w:t xml:space="preserve"> D et al. Evaluation of psychotropic prescription patterns at the time of discharge from inpatient unit of a tertiary care general hospital psychiatric unit. </w:t>
      </w:r>
      <w:r w:rsidRPr="00E62733">
        <w:rPr>
          <w:i/>
        </w:rPr>
        <w:t xml:space="preserve">J </w:t>
      </w:r>
      <w:proofErr w:type="spellStart"/>
      <w:r w:rsidRPr="00E62733">
        <w:rPr>
          <w:i/>
        </w:rPr>
        <w:t>Ment</w:t>
      </w:r>
      <w:proofErr w:type="spellEnd"/>
      <w:r w:rsidRPr="00E62733">
        <w:rPr>
          <w:i/>
        </w:rPr>
        <w:t xml:space="preserve"> Health Human </w:t>
      </w:r>
      <w:proofErr w:type="spellStart"/>
      <w:r w:rsidRPr="00E62733">
        <w:rPr>
          <w:i/>
        </w:rPr>
        <w:t>Behav</w:t>
      </w:r>
      <w:proofErr w:type="spellEnd"/>
      <w:r>
        <w:t xml:space="preserve">, 2016. </w:t>
      </w:r>
      <w:proofErr w:type="gramStart"/>
      <w:r w:rsidRPr="00E62733">
        <w:rPr>
          <w:b/>
        </w:rPr>
        <w:t>21</w:t>
      </w:r>
      <w:r>
        <w:t xml:space="preserve"> :</w:t>
      </w:r>
      <w:proofErr w:type="gramEnd"/>
      <w:r>
        <w:t xml:space="preserve"> 48 – 54.</w:t>
      </w:r>
    </w:p>
    <w:p w:rsidR="00542AE6" w:rsidRDefault="00542AE6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Wisner KL, </w:t>
      </w:r>
      <w:proofErr w:type="spellStart"/>
      <w:r>
        <w:t>Leckman</w:t>
      </w:r>
      <w:proofErr w:type="spellEnd"/>
      <w:r>
        <w:t xml:space="preserve">-Westin E, Finnerty M, </w:t>
      </w:r>
      <w:proofErr w:type="spellStart"/>
      <w:r>
        <w:t>Essock</w:t>
      </w:r>
      <w:proofErr w:type="spellEnd"/>
      <w:r>
        <w:t xml:space="preserve"> SM. Valproate prescription prevalence among women of childbearing age. </w:t>
      </w:r>
      <w:proofErr w:type="spellStart"/>
      <w:r w:rsidRPr="00542AE6">
        <w:rPr>
          <w:i/>
        </w:rPr>
        <w:t>Psychiatr</w:t>
      </w:r>
      <w:proofErr w:type="spellEnd"/>
      <w:r w:rsidRPr="00542AE6">
        <w:rPr>
          <w:i/>
        </w:rPr>
        <w:t xml:space="preserve"> </w:t>
      </w:r>
      <w:proofErr w:type="spellStart"/>
      <w:r w:rsidRPr="00542AE6">
        <w:rPr>
          <w:i/>
        </w:rPr>
        <w:t>Serv</w:t>
      </w:r>
      <w:proofErr w:type="spellEnd"/>
      <w:r>
        <w:t xml:space="preserve">, 2011, </w:t>
      </w:r>
      <w:proofErr w:type="gramStart"/>
      <w:r w:rsidRPr="00542AE6">
        <w:rPr>
          <w:b/>
        </w:rPr>
        <w:t>62</w:t>
      </w:r>
      <w:r>
        <w:t xml:space="preserve"> :</w:t>
      </w:r>
      <w:proofErr w:type="gramEnd"/>
      <w:r>
        <w:t xml:space="preserve"> 281 – 220.</w:t>
      </w:r>
    </w:p>
    <w:p w:rsidR="00762ED6" w:rsidRDefault="00762ED6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>
        <w:t>Grunze</w:t>
      </w:r>
      <w:proofErr w:type="spellEnd"/>
      <w:r>
        <w:t xml:space="preserve"> H, Vieta E, Goodwin GM, Bowden C, Licht RW, Moller H-J et al. The World Federation of Societies of Biological Psychiatry (WFSBP) Guidelines for the Biological Treatment of Bipolar </w:t>
      </w:r>
      <w:proofErr w:type="gramStart"/>
      <w:r w:rsidR="00991202">
        <w:t>Disorders :</w:t>
      </w:r>
      <w:proofErr w:type="gramEnd"/>
      <w:r w:rsidR="00991202">
        <w:t xml:space="preserve"> update 2009 on the t</w:t>
      </w:r>
      <w:r>
        <w:t>reat</w:t>
      </w:r>
      <w:r w:rsidR="00991202">
        <w:t>ment of acute m</w:t>
      </w:r>
      <w:r>
        <w:t xml:space="preserve">ania. </w:t>
      </w:r>
      <w:r w:rsidRPr="00762ED6">
        <w:rPr>
          <w:i/>
        </w:rPr>
        <w:t xml:space="preserve">World J </w:t>
      </w:r>
      <w:proofErr w:type="spellStart"/>
      <w:r w:rsidRPr="00762ED6">
        <w:rPr>
          <w:i/>
        </w:rPr>
        <w:t>Biol</w:t>
      </w:r>
      <w:proofErr w:type="spellEnd"/>
      <w:r w:rsidRPr="00762ED6">
        <w:rPr>
          <w:i/>
        </w:rPr>
        <w:t xml:space="preserve"> </w:t>
      </w:r>
      <w:proofErr w:type="spellStart"/>
      <w:r w:rsidRPr="00762ED6">
        <w:rPr>
          <w:i/>
        </w:rPr>
        <w:t>Psychiat</w:t>
      </w:r>
      <w:proofErr w:type="spellEnd"/>
      <w:r>
        <w:t xml:space="preserve">, 2009, </w:t>
      </w:r>
      <w:proofErr w:type="gramStart"/>
      <w:r w:rsidRPr="00762ED6">
        <w:rPr>
          <w:b/>
        </w:rPr>
        <w:t>10</w:t>
      </w:r>
      <w:r>
        <w:t xml:space="preserve"> :</w:t>
      </w:r>
      <w:proofErr w:type="gramEnd"/>
      <w:r>
        <w:t xml:space="preserve"> 85 – 116.</w:t>
      </w:r>
    </w:p>
    <w:p w:rsidR="000439EC" w:rsidRPr="000439EC" w:rsidRDefault="000439EC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 w:rsidRPr="000439EC">
        <w:t xml:space="preserve">Geddes JR, Goodwin GM, Rendell J, </w:t>
      </w:r>
      <w:proofErr w:type="spellStart"/>
      <w:r w:rsidRPr="000439EC">
        <w:t>Azorin</w:t>
      </w:r>
      <w:proofErr w:type="spellEnd"/>
      <w:r w:rsidRPr="000439EC">
        <w:t xml:space="preserve"> JM, Cipriani A, </w:t>
      </w:r>
      <w:proofErr w:type="spellStart"/>
      <w:r w:rsidRPr="000439EC">
        <w:t>Ostacher</w:t>
      </w:r>
      <w:proofErr w:type="spellEnd"/>
      <w:r w:rsidRPr="000439EC">
        <w:t xml:space="preserve"> MJ et al. Lithium plus valproate combination therapy versus monotherapy for relapse prevention in bipolar 1 disorder (BALANCE</w:t>
      </w:r>
      <w:proofErr w:type="gramStart"/>
      <w:r w:rsidRPr="000439EC">
        <w:t>) :</w:t>
      </w:r>
      <w:proofErr w:type="gramEnd"/>
      <w:r w:rsidRPr="000439EC">
        <w:t xml:space="preserve"> a randomised open-label trial. </w:t>
      </w:r>
      <w:r w:rsidRPr="000439EC">
        <w:rPr>
          <w:i/>
        </w:rPr>
        <w:t>Lancet</w:t>
      </w:r>
      <w:r w:rsidRPr="000439EC">
        <w:t xml:space="preserve">, 2010, </w:t>
      </w:r>
      <w:proofErr w:type="gramStart"/>
      <w:r w:rsidRPr="000439EC">
        <w:t>375 :</w:t>
      </w:r>
      <w:proofErr w:type="gramEnd"/>
      <w:r w:rsidRPr="000439EC">
        <w:t xml:space="preserve"> 385 – 395. </w:t>
      </w:r>
    </w:p>
    <w:p w:rsidR="000439EC" w:rsidRPr="000439EC" w:rsidRDefault="000439EC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 w:rsidRPr="000439EC">
        <w:t xml:space="preserve">Cipriani A, Reid K, Young AH, </w:t>
      </w:r>
      <w:proofErr w:type="spellStart"/>
      <w:r w:rsidRPr="000439EC">
        <w:t>Macritchie</w:t>
      </w:r>
      <w:proofErr w:type="spellEnd"/>
      <w:r w:rsidRPr="000439EC">
        <w:t xml:space="preserve"> K, Geddes J. Valproic acid, valproate and divalproex in the maintenance treatment of bipolar disorder. </w:t>
      </w:r>
      <w:r w:rsidRPr="000439EC">
        <w:rPr>
          <w:i/>
        </w:rPr>
        <w:t xml:space="preserve">Cochrane Database </w:t>
      </w:r>
      <w:proofErr w:type="spellStart"/>
      <w:r w:rsidRPr="000439EC">
        <w:rPr>
          <w:i/>
        </w:rPr>
        <w:t>Syst</w:t>
      </w:r>
      <w:proofErr w:type="spellEnd"/>
      <w:r w:rsidRPr="000439EC">
        <w:rPr>
          <w:i/>
        </w:rPr>
        <w:t xml:space="preserve"> Rev</w:t>
      </w:r>
      <w:r w:rsidRPr="000439EC">
        <w:t>, (2013) Oct 17;(</w:t>
      </w:r>
      <w:r w:rsidRPr="00971309">
        <w:rPr>
          <w:b/>
        </w:rPr>
        <w:t>10</w:t>
      </w:r>
      <w:r w:rsidRPr="000439EC">
        <w:t>): CD003196. Doi: 10:1002/14651858. CD003196.pub2.</w:t>
      </w:r>
    </w:p>
    <w:p w:rsidR="00991202" w:rsidRDefault="00991202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Weinstein </w:t>
      </w:r>
      <w:r w:rsidR="003A5293">
        <w:t xml:space="preserve">MR, Goldfield M. Cardiovascular malformations with lithium use during pregnancy. </w:t>
      </w:r>
      <w:r w:rsidR="003A5293" w:rsidRPr="003A5293">
        <w:rPr>
          <w:i/>
        </w:rPr>
        <w:t>Am J Psychiatry</w:t>
      </w:r>
      <w:r w:rsidR="003A5293">
        <w:t xml:space="preserve">, 1975, </w:t>
      </w:r>
      <w:proofErr w:type="gramStart"/>
      <w:r w:rsidR="003A5293" w:rsidRPr="003A5293">
        <w:rPr>
          <w:b/>
        </w:rPr>
        <w:t>132</w:t>
      </w:r>
      <w:r w:rsidR="003A5293">
        <w:t xml:space="preserve"> :</w:t>
      </w:r>
      <w:proofErr w:type="gramEnd"/>
      <w:r w:rsidR="003A5293">
        <w:t xml:space="preserve"> 529 – 531.</w:t>
      </w:r>
    </w:p>
    <w:p w:rsidR="0050293D" w:rsidRDefault="0050293D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Giles JJ, Brannigan JG. Teratogenic and developmental effects of lithium. </w:t>
      </w:r>
      <w:proofErr w:type="spellStart"/>
      <w:r w:rsidRPr="00255F36">
        <w:rPr>
          <w:i/>
        </w:rPr>
        <w:t>Curr</w:t>
      </w:r>
      <w:proofErr w:type="spellEnd"/>
      <w:r w:rsidRPr="00255F36">
        <w:rPr>
          <w:i/>
        </w:rPr>
        <w:t xml:space="preserve"> Pharm Des</w:t>
      </w:r>
      <w:r>
        <w:t xml:space="preserve">, 2006, </w:t>
      </w:r>
      <w:proofErr w:type="gramStart"/>
      <w:r w:rsidRPr="0050293D">
        <w:rPr>
          <w:b/>
        </w:rPr>
        <w:t>12</w:t>
      </w:r>
      <w:r>
        <w:t xml:space="preserve"> :</w:t>
      </w:r>
      <w:proofErr w:type="gramEnd"/>
      <w:r>
        <w:t xml:space="preserve"> 1531 – 1541.</w:t>
      </w:r>
    </w:p>
    <w:p w:rsidR="00255F36" w:rsidRDefault="00255F36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Robert E, </w:t>
      </w:r>
      <w:proofErr w:type="spellStart"/>
      <w:r>
        <w:t>Guibaud</w:t>
      </w:r>
      <w:proofErr w:type="spellEnd"/>
      <w:r>
        <w:t xml:space="preserve"> P. Maternal valproic acid and congenital neural tube defects</w:t>
      </w:r>
      <w:r w:rsidRPr="003B7BF8">
        <w:rPr>
          <w:i/>
        </w:rPr>
        <w:t>. Lancet</w:t>
      </w:r>
      <w:r>
        <w:t xml:space="preserve">, 1982, </w:t>
      </w:r>
      <w:proofErr w:type="gramStart"/>
      <w:r w:rsidR="003B7BF8" w:rsidRPr="003B7BF8">
        <w:rPr>
          <w:b/>
        </w:rPr>
        <w:t>2</w:t>
      </w:r>
      <w:r w:rsidR="003B7BF8">
        <w:t xml:space="preserve"> :</w:t>
      </w:r>
      <w:proofErr w:type="gramEnd"/>
      <w:r w:rsidR="003B7BF8">
        <w:t xml:space="preserve"> 937.</w:t>
      </w:r>
    </w:p>
    <w:p w:rsidR="003B7BF8" w:rsidRDefault="003B7BF8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>
        <w:t>Werler</w:t>
      </w:r>
      <w:proofErr w:type="spellEnd"/>
      <w:r>
        <w:t xml:space="preserve"> MM, Ahrens KA, Bosco JL, Mitchell AA, </w:t>
      </w:r>
      <w:proofErr w:type="spellStart"/>
      <w:r>
        <w:t>Anderka</w:t>
      </w:r>
      <w:proofErr w:type="spellEnd"/>
      <w:r>
        <w:t xml:space="preserve"> MT, Gilboa SM et al. Use of antiepileptic medications in pregnancy in relation to risks of birth defects. </w:t>
      </w:r>
      <w:r w:rsidRPr="003B7BF8">
        <w:rPr>
          <w:i/>
        </w:rPr>
        <w:t xml:space="preserve">Ann </w:t>
      </w:r>
      <w:proofErr w:type="spellStart"/>
      <w:r w:rsidRPr="003B7BF8">
        <w:rPr>
          <w:i/>
        </w:rPr>
        <w:t>Epidemiol</w:t>
      </w:r>
      <w:proofErr w:type="spellEnd"/>
      <w:r>
        <w:t xml:space="preserve">, 2011, </w:t>
      </w:r>
      <w:proofErr w:type="gramStart"/>
      <w:r w:rsidRPr="003B7BF8">
        <w:rPr>
          <w:b/>
        </w:rPr>
        <w:t>21</w:t>
      </w:r>
      <w:r>
        <w:t xml:space="preserve"> :</w:t>
      </w:r>
      <w:proofErr w:type="gramEnd"/>
      <w:r>
        <w:t xml:space="preserve"> 842 – 850.</w:t>
      </w:r>
    </w:p>
    <w:p w:rsidR="003B7BF8" w:rsidRDefault="003B7BF8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lastRenderedPageBreak/>
        <w:t xml:space="preserve">Tomson T, </w:t>
      </w:r>
      <w:proofErr w:type="spellStart"/>
      <w:r>
        <w:t>Battino</w:t>
      </w:r>
      <w:proofErr w:type="spellEnd"/>
      <w:r>
        <w:t xml:space="preserve"> D, </w:t>
      </w:r>
      <w:proofErr w:type="spellStart"/>
      <w:r>
        <w:t>Bonizzoni</w:t>
      </w:r>
      <w:proofErr w:type="spellEnd"/>
      <w:r>
        <w:t xml:space="preserve"> E, Craig J, </w:t>
      </w:r>
      <w:proofErr w:type="spellStart"/>
      <w:r>
        <w:t>Lindhout</w:t>
      </w:r>
      <w:proofErr w:type="spellEnd"/>
      <w:r>
        <w:t xml:space="preserve"> D, </w:t>
      </w:r>
      <w:proofErr w:type="spellStart"/>
      <w:r>
        <w:t>Sabers</w:t>
      </w:r>
      <w:proofErr w:type="spellEnd"/>
      <w:r>
        <w:t xml:space="preserve"> A et al. Dose-dependent risk of malformations with antiepileptic </w:t>
      </w:r>
      <w:proofErr w:type="gramStart"/>
      <w:r>
        <w:t>drugs :</w:t>
      </w:r>
      <w:proofErr w:type="gramEnd"/>
      <w:r>
        <w:t xml:space="preserve"> an analysis of data from the EURAP epilepsy and pregnancy registry. </w:t>
      </w:r>
      <w:r w:rsidRPr="00FF31C5">
        <w:rPr>
          <w:i/>
        </w:rPr>
        <w:t xml:space="preserve">Lancet </w:t>
      </w:r>
      <w:proofErr w:type="spellStart"/>
      <w:r w:rsidRPr="00FF31C5">
        <w:rPr>
          <w:i/>
        </w:rPr>
        <w:t>Neurol</w:t>
      </w:r>
      <w:proofErr w:type="spellEnd"/>
      <w:r>
        <w:t xml:space="preserve"> 2011, </w:t>
      </w:r>
      <w:proofErr w:type="gramStart"/>
      <w:r w:rsidRPr="00FF31C5">
        <w:rPr>
          <w:b/>
        </w:rPr>
        <w:t>10</w:t>
      </w:r>
      <w:r>
        <w:t xml:space="preserve"> :</w:t>
      </w:r>
      <w:proofErr w:type="gramEnd"/>
      <w:r>
        <w:t xml:space="preserve"> 609 – 617.</w:t>
      </w:r>
    </w:p>
    <w:p w:rsidR="0087255E" w:rsidRDefault="00E53570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Johannessen Landmark C, Burns ML, </w:t>
      </w:r>
      <w:proofErr w:type="spellStart"/>
      <w:r>
        <w:t>Baftiu</w:t>
      </w:r>
      <w:proofErr w:type="spellEnd"/>
      <w:r>
        <w:t xml:space="preserve"> A, </w:t>
      </w:r>
      <w:proofErr w:type="spellStart"/>
      <w:r>
        <w:t>Farmen</w:t>
      </w:r>
      <w:proofErr w:type="spellEnd"/>
      <w:r>
        <w:t xml:space="preserve"> AH, </w:t>
      </w:r>
      <w:proofErr w:type="spellStart"/>
      <w:r>
        <w:t>Lossius</w:t>
      </w:r>
      <w:proofErr w:type="spellEnd"/>
      <w:r>
        <w:t xml:space="preserve"> MI, Johannessen SI et al. Pharmacokinetic variability of valproate in women of childbearing age. </w:t>
      </w:r>
      <w:proofErr w:type="spellStart"/>
      <w:r w:rsidRPr="00E62733">
        <w:rPr>
          <w:i/>
        </w:rPr>
        <w:t>Epilepsia</w:t>
      </w:r>
      <w:proofErr w:type="spellEnd"/>
      <w:r>
        <w:t xml:space="preserve">, 2017, Oct; </w:t>
      </w:r>
      <w:r w:rsidRPr="00E62733">
        <w:rPr>
          <w:b/>
        </w:rPr>
        <w:t>58</w:t>
      </w:r>
      <w:r>
        <w:t xml:space="preserve"> (10</w:t>
      </w:r>
      <w:proofErr w:type="gramStart"/>
      <w:r>
        <w:t>) :</w:t>
      </w:r>
      <w:proofErr w:type="gramEnd"/>
      <w:r>
        <w:t xml:space="preserve"> e142 – e146. </w:t>
      </w:r>
      <w:proofErr w:type="spellStart"/>
      <w:r>
        <w:t>doi</w:t>
      </w:r>
      <w:proofErr w:type="spellEnd"/>
      <w:r>
        <w:t xml:space="preserve">: 10.1111/epi.13872. </w:t>
      </w:r>
      <w:proofErr w:type="spellStart"/>
      <w:r>
        <w:t>Epub</w:t>
      </w:r>
      <w:proofErr w:type="spellEnd"/>
      <w:r>
        <w:t xml:space="preserve"> 2017 Aug 22.</w:t>
      </w:r>
    </w:p>
    <w:p w:rsidR="00E53570" w:rsidRDefault="0087255E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>
        <w:t>Veroniki</w:t>
      </w:r>
      <w:proofErr w:type="spellEnd"/>
      <w:r>
        <w:t xml:space="preserve"> AA, Rios P, </w:t>
      </w:r>
      <w:proofErr w:type="spellStart"/>
      <w:r>
        <w:t>Cogo</w:t>
      </w:r>
      <w:proofErr w:type="spellEnd"/>
      <w:r>
        <w:t xml:space="preserve"> E, Straus SE, Finkelstein Y, Kealey R et al. Comparative safety of antiepileptic drugs for neurological development in children exposed during pregnancy and breast </w:t>
      </w:r>
      <w:proofErr w:type="gramStart"/>
      <w:r>
        <w:t>feeding :</w:t>
      </w:r>
      <w:proofErr w:type="gramEnd"/>
      <w:r>
        <w:t xml:space="preserve"> a systematic review and network meta-analysis. </w:t>
      </w:r>
      <w:r w:rsidRPr="0087255E">
        <w:rPr>
          <w:i/>
        </w:rPr>
        <w:t>BMJ Open</w:t>
      </w:r>
      <w:r>
        <w:t xml:space="preserve">, </w:t>
      </w:r>
      <w:proofErr w:type="gramStart"/>
      <w:r>
        <w:t>2017 :</w:t>
      </w:r>
      <w:proofErr w:type="gramEnd"/>
      <w:r>
        <w:t xml:space="preserve"> </w:t>
      </w:r>
      <w:r w:rsidRPr="0087255E">
        <w:rPr>
          <w:b/>
        </w:rPr>
        <w:t>7</w:t>
      </w:r>
      <w:r>
        <w:t xml:space="preserve">:e017248. </w:t>
      </w:r>
      <w:proofErr w:type="spellStart"/>
      <w:proofErr w:type="gramStart"/>
      <w:r>
        <w:t>doi</w:t>
      </w:r>
      <w:proofErr w:type="spellEnd"/>
      <w:r>
        <w:t xml:space="preserve"> :</w:t>
      </w:r>
      <w:proofErr w:type="gramEnd"/>
      <w:r>
        <w:t xml:space="preserve"> 10.1136/bmjopen-2017-017248. </w:t>
      </w:r>
      <w:r w:rsidR="00E53570">
        <w:t xml:space="preserve"> </w:t>
      </w:r>
    </w:p>
    <w:p w:rsidR="003B7BF8" w:rsidRDefault="003B7BF8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 </w:t>
      </w:r>
      <w:r w:rsidR="00720504">
        <w:t xml:space="preserve">Haskey C, </w:t>
      </w:r>
      <w:proofErr w:type="spellStart"/>
      <w:r w:rsidR="00720504">
        <w:t>Galbally</w:t>
      </w:r>
      <w:proofErr w:type="spellEnd"/>
      <w:r w:rsidR="00720504">
        <w:t xml:space="preserve"> M. Mood stabilisers in pregnancy and child development </w:t>
      </w:r>
      <w:proofErr w:type="gramStart"/>
      <w:r w:rsidR="00720504">
        <w:t>outcomes :</w:t>
      </w:r>
      <w:proofErr w:type="gramEnd"/>
      <w:r w:rsidR="00720504">
        <w:t xml:space="preserve"> a systematic review. </w:t>
      </w:r>
      <w:proofErr w:type="spellStart"/>
      <w:r w:rsidR="00720504" w:rsidRPr="00720504">
        <w:rPr>
          <w:i/>
        </w:rPr>
        <w:t>Aust</w:t>
      </w:r>
      <w:proofErr w:type="spellEnd"/>
      <w:r w:rsidR="00720504" w:rsidRPr="00720504">
        <w:rPr>
          <w:i/>
        </w:rPr>
        <w:t xml:space="preserve"> N Zeal J </w:t>
      </w:r>
      <w:proofErr w:type="spellStart"/>
      <w:r w:rsidR="00720504" w:rsidRPr="00720504">
        <w:rPr>
          <w:i/>
        </w:rPr>
        <w:t>Psychiat</w:t>
      </w:r>
      <w:proofErr w:type="spellEnd"/>
      <w:r w:rsidR="00720504">
        <w:t xml:space="preserve">, 2017, </w:t>
      </w:r>
      <w:proofErr w:type="gramStart"/>
      <w:r w:rsidR="00720504" w:rsidRPr="00720504">
        <w:rPr>
          <w:b/>
        </w:rPr>
        <w:t>51</w:t>
      </w:r>
      <w:r w:rsidR="00720504">
        <w:t xml:space="preserve"> :</w:t>
      </w:r>
      <w:proofErr w:type="gramEnd"/>
      <w:r w:rsidR="00720504">
        <w:t xml:space="preserve"> 1087 – 1097.</w:t>
      </w:r>
    </w:p>
    <w:p w:rsidR="007D6860" w:rsidRDefault="007D6860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Christensen J, </w:t>
      </w:r>
      <w:proofErr w:type="spellStart"/>
      <w:r>
        <w:t>Gronborg</w:t>
      </w:r>
      <w:proofErr w:type="spellEnd"/>
      <w:r>
        <w:t xml:space="preserve"> TK, Sorensen MJ, Schendel K, </w:t>
      </w:r>
      <w:proofErr w:type="spellStart"/>
      <w:r>
        <w:t>Parner</w:t>
      </w:r>
      <w:proofErr w:type="spellEnd"/>
      <w:r>
        <w:t xml:space="preserve"> ET</w:t>
      </w:r>
      <w:r w:rsidR="00E611D9">
        <w:t xml:space="preserve">, Pedersen LH et al. Prenatal valproate exposure and risk of autism spectrum disorders and childhood autism. </w:t>
      </w:r>
      <w:r w:rsidR="00E611D9" w:rsidRPr="00E611D9">
        <w:rPr>
          <w:i/>
        </w:rPr>
        <w:t>JAMA</w:t>
      </w:r>
      <w:r w:rsidR="00E611D9">
        <w:t xml:space="preserve">, 2013, </w:t>
      </w:r>
      <w:proofErr w:type="gramStart"/>
      <w:r w:rsidR="00E611D9" w:rsidRPr="00E611D9">
        <w:rPr>
          <w:b/>
        </w:rPr>
        <w:t>309</w:t>
      </w:r>
      <w:r w:rsidR="00E611D9">
        <w:t xml:space="preserve"> :</w:t>
      </w:r>
      <w:proofErr w:type="gramEnd"/>
      <w:r w:rsidR="00E611D9">
        <w:t xml:space="preserve"> 1696 – 1703.</w:t>
      </w:r>
    </w:p>
    <w:p w:rsidR="00F30114" w:rsidRDefault="00E611D9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Cohen MJ, Meador KJ, Browning N, Baker GA, Clayton-Smith J, </w:t>
      </w:r>
      <w:proofErr w:type="spellStart"/>
      <w:r>
        <w:t>Kalayjian</w:t>
      </w:r>
      <w:proofErr w:type="spellEnd"/>
      <w:r>
        <w:t xml:space="preserve"> LA et al. </w:t>
      </w:r>
      <w:proofErr w:type="spellStart"/>
      <w:r>
        <w:t>Fetal</w:t>
      </w:r>
      <w:proofErr w:type="spellEnd"/>
      <w:r>
        <w:t xml:space="preserve"> antiepileptic drug </w:t>
      </w:r>
      <w:proofErr w:type="gramStart"/>
      <w:r>
        <w:t>exposure :</w:t>
      </w:r>
      <w:proofErr w:type="gramEnd"/>
      <w:r>
        <w:t xml:space="preserve"> motor, </w:t>
      </w:r>
      <w:proofErr w:type="spellStart"/>
      <w:r>
        <w:t>adatptive</w:t>
      </w:r>
      <w:proofErr w:type="spellEnd"/>
      <w:r>
        <w:t xml:space="preserve"> and emotional/behavioural functioning at age 3 years. </w:t>
      </w:r>
      <w:r w:rsidRPr="00E611D9">
        <w:rPr>
          <w:i/>
        </w:rPr>
        <w:t xml:space="preserve">Epilepsy </w:t>
      </w:r>
      <w:proofErr w:type="spellStart"/>
      <w:r w:rsidRPr="00E611D9">
        <w:rPr>
          <w:i/>
        </w:rPr>
        <w:t>Behav</w:t>
      </w:r>
      <w:proofErr w:type="spellEnd"/>
      <w:r>
        <w:t xml:space="preserve">. 2011, </w:t>
      </w:r>
      <w:proofErr w:type="gramStart"/>
      <w:r w:rsidRPr="00E611D9">
        <w:rPr>
          <w:b/>
        </w:rPr>
        <w:t>22</w:t>
      </w:r>
      <w:r>
        <w:t xml:space="preserve"> :</w:t>
      </w:r>
      <w:proofErr w:type="gramEnd"/>
      <w:r>
        <w:t xml:space="preserve"> 240 – 246.</w:t>
      </w:r>
    </w:p>
    <w:p w:rsidR="00692C81" w:rsidRDefault="00692C81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Boden R, Lundgren M, Brandt L, </w:t>
      </w:r>
      <w:proofErr w:type="spellStart"/>
      <w:r>
        <w:t>Reutfors</w:t>
      </w:r>
      <w:proofErr w:type="spellEnd"/>
      <w:r>
        <w:t xml:space="preserve"> J, Anderson M, </w:t>
      </w:r>
      <w:proofErr w:type="spellStart"/>
      <w:r>
        <w:t>Kieler</w:t>
      </w:r>
      <w:proofErr w:type="spellEnd"/>
      <w:r>
        <w:t xml:space="preserve"> H. Risks of adverse pregnancy and birth outcomes in women treated or not treated with mood stabilisers for bipolar </w:t>
      </w:r>
      <w:proofErr w:type="gramStart"/>
      <w:r>
        <w:t>disorder :</w:t>
      </w:r>
      <w:proofErr w:type="gramEnd"/>
      <w:r>
        <w:t xml:space="preserve"> population based cohort study. </w:t>
      </w:r>
      <w:r w:rsidRPr="00692C81">
        <w:rPr>
          <w:i/>
        </w:rPr>
        <w:t>BMJ</w:t>
      </w:r>
      <w:r>
        <w:t xml:space="preserve">, 2012, </w:t>
      </w:r>
      <w:r w:rsidRPr="00692C81">
        <w:rPr>
          <w:b/>
        </w:rPr>
        <w:t>345</w:t>
      </w:r>
      <w:r>
        <w:t xml:space="preserve">: e7085 </w:t>
      </w:r>
      <w:proofErr w:type="spellStart"/>
      <w:r>
        <w:t>doi</w:t>
      </w:r>
      <w:proofErr w:type="spellEnd"/>
      <w:r>
        <w:t>: 10.1136.bmj.37085.</w:t>
      </w:r>
    </w:p>
    <w:p w:rsidR="00F30114" w:rsidRDefault="00F30114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James L, Paton C, </w:t>
      </w:r>
      <w:proofErr w:type="spellStart"/>
      <w:r>
        <w:t>Lelliott</w:t>
      </w:r>
      <w:proofErr w:type="spellEnd"/>
      <w:r>
        <w:t xml:space="preserve"> P, Barnes TRE, Taylor D. Mood stabilisers and teratogenicity – prescribing practice and awareness amongst practising psychiatrists</w:t>
      </w:r>
      <w:r w:rsidRPr="00C41986">
        <w:rPr>
          <w:i/>
        </w:rPr>
        <w:t xml:space="preserve">. J </w:t>
      </w:r>
      <w:proofErr w:type="spellStart"/>
      <w:r w:rsidRPr="00C41986">
        <w:rPr>
          <w:i/>
        </w:rPr>
        <w:t>Men</w:t>
      </w:r>
      <w:r>
        <w:rPr>
          <w:i/>
        </w:rPr>
        <w:t>t</w:t>
      </w:r>
      <w:proofErr w:type="spellEnd"/>
      <w:r w:rsidRPr="00C41986">
        <w:rPr>
          <w:i/>
        </w:rPr>
        <w:t xml:space="preserve"> Health</w:t>
      </w:r>
      <w:r>
        <w:t xml:space="preserve">, 2009. </w:t>
      </w:r>
      <w:proofErr w:type="gramStart"/>
      <w:r w:rsidRPr="00C41986">
        <w:rPr>
          <w:b/>
        </w:rPr>
        <w:t>18</w:t>
      </w:r>
      <w:r>
        <w:t xml:space="preserve"> :</w:t>
      </w:r>
      <w:proofErr w:type="gramEnd"/>
      <w:r>
        <w:t xml:space="preserve"> 137 – 143.</w:t>
      </w:r>
    </w:p>
    <w:p w:rsidR="00D27C44" w:rsidRDefault="00D27C44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 w:rsidRPr="00D27C44">
        <w:t xml:space="preserve">Paton C, Cookson J, Ferrier IN, Bhatti S, Fagan E, Barnes TRE. A UK clinical audit addressing the quality of prescribing of sodium valproate for bipolar disorder in women of childbearing age. </w:t>
      </w:r>
      <w:r w:rsidRPr="00D27C44">
        <w:rPr>
          <w:i/>
        </w:rPr>
        <w:t>BMJ Open</w:t>
      </w:r>
      <w:r w:rsidRPr="00D27C44">
        <w:t xml:space="preserve">, 2018, </w:t>
      </w:r>
      <w:proofErr w:type="gramStart"/>
      <w:r w:rsidRPr="00971309">
        <w:rPr>
          <w:b/>
        </w:rPr>
        <w:t>8:</w:t>
      </w:r>
      <w:r w:rsidRPr="00D27C44">
        <w:t>e</w:t>
      </w:r>
      <w:proofErr w:type="gramEnd"/>
      <w:r w:rsidRPr="00D27C44">
        <w:t>020450. doi:10.1136/bmjopen-2017-020450.</w:t>
      </w:r>
    </w:p>
    <w:p w:rsidR="00BF3537" w:rsidRDefault="002456B8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Drug Safety Update, volume </w:t>
      </w:r>
      <w:r w:rsidRPr="00971309">
        <w:rPr>
          <w:b/>
        </w:rPr>
        <w:t>11</w:t>
      </w:r>
      <w:r>
        <w:t xml:space="preserve">, issue </w:t>
      </w:r>
      <w:proofErr w:type="gramStart"/>
      <w:r>
        <w:t>9 :</w:t>
      </w:r>
      <w:proofErr w:type="gramEnd"/>
      <w:r>
        <w:t xml:space="preserve"> April 2018 : 1.</w:t>
      </w:r>
    </w:p>
    <w:p w:rsidR="00F30114" w:rsidRPr="00CE6508" w:rsidRDefault="00F30114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Cipriani A, </w:t>
      </w:r>
      <w:proofErr w:type="spellStart"/>
      <w:r>
        <w:t>Barbui</w:t>
      </w:r>
      <w:proofErr w:type="spellEnd"/>
      <w:r>
        <w:t xml:space="preserve"> C, </w:t>
      </w:r>
      <w:proofErr w:type="spellStart"/>
      <w:r>
        <w:t>Salanti</w:t>
      </w:r>
      <w:proofErr w:type="spellEnd"/>
      <w:r>
        <w:t xml:space="preserve"> G, Rendell J, Brown R, Stockton S et al. Comparative efficacy and acceptability of antimanic drugs in acute </w:t>
      </w:r>
      <w:proofErr w:type="gramStart"/>
      <w:r>
        <w:t>mania :</w:t>
      </w:r>
      <w:proofErr w:type="gramEnd"/>
      <w:r>
        <w:t xml:space="preserve"> a multiple-treatments meta-analysis. </w:t>
      </w:r>
      <w:r w:rsidRPr="00B558BE">
        <w:rPr>
          <w:i/>
        </w:rPr>
        <w:t>Lancet</w:t>
      </w:r>
      <w:r>
        <w:t xml:space="preserve">, 2011, </w:t>
      </w:r>
      <w:proofErr w:type="gramStart"/>
      <w:r w:rsidRPr="00B558BE">
        <w:rPr>
          <w:b/>
        </w:rPr>
        <w:t>378</w:t>
      </w:r>
      <w:r>
        <w:t xml:space="preserve"> :</w:t>
      </w:r>
      <w:proofErr w:type="gramEnd"/>
      <w:r>
        <w:t xml:space="preserve"> 1306 – 1315.</w:t>
      </w:r>
    </w:p>
    <w:p w:rsidR="00FF563E" w:rsidRDefault="00E611D9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 </w:t>
      </w:r>
      <w:proofErr w:type="spellStart"/>
      <w:r w:rsidR="00FF563E">
        <w:t>Calaway</w:t>
      </w:r>
      <w:proofErr w:type="spellEnd"/>
      <w:r w:rsidR="00FF563E">
        <w:t xml:space="preserve"> K, </w:t>
      </w:r>
      <w:proofErr w:type="spellStart"/>
      <w:r w:rsidR="00FF563E">
        <w:t>Coshal</w:t>
      </w:r>
      <w:proofErr w:type="spellEnd"/>
      <w:r w:rsidR="00FF563E">
        <w:t xml:space="preserve"> S, Jones K, Coverdale J, Livingston R. A systematic review of the safety of electroconvulsive therapy use during the first trimester of pregnancy. </w:t>
      </w:r>
      <w:r w:rsidR="00FF563E" w:rsidRPr="00C41986">
        <w:rPr>
          <w:i/>
        </w:rPr>
        <w:t>J ECT</w:t>
      </w:r>
      <w:r w:rsidR="00FF563E">
        <w:t xml:space="preserve">, 2016, </w:t>
      </w:r>
      <w:proofErr w:type="gramStart"/>
      <w:r w:rsidR="00FF563E" w:rsidRPr="00C41986">
        <w:rPr>
          <w:b/>
        </w:rPr>
        <w:t>32</w:t>
      </w:r>
      <w:r w:rsidR="00FF563E">
        <w:t xml:space="preserve"> :</w:t>
      </w:r>
      <w:proofErr w:type="gramEnd"/>
      <w:r w:rsidR="00FF563E">
        <w:t xml:space="preserve"> 230 – 235.</w:t>
      </w:r>
    </w:p>
    <w:p w:rsidR="00E611D9" w:rsidRDefault="00AA2E87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lastRenderedPageBreak/>
        <w:t xml:space="preserve">Bowden CL, </w:t>
      </w:r>
      <w:proofErr w:type="spellStart"/>
      <w:r>
        <w:t>Mosolov</w:t>
      </w:r>
      <w:proofErr w:type="spellEnd"/>
      <w:r>
        <w:t xml:space="preserve"> S, </w:t>
      </w:r>
      <w:proofErr w:type="spellStart"/>
      <w:r>
        <w:t>Hranov</w:t>
      </w:r>
      <w:proofErr w:type="spellEnd"/>
      <w:r>
        <w:t xml:space="preserve"> L, Chen E, </w:t>
      </w:r>
      <w:proofErr w:type="spellStart"/>
      <w:r>
        <w:t>Habil</w:t>
      </w:r>
      <w:proofErr w:type="spellEnd"/>
      <w:r>
        <w:t xml:space="preserve"> H, </w:t>
      </w:r>
      <w:proofErr w:type="spellStart"/>
      <w:r>
        <w:t>Kongsakon</w:t>
      </w:r>
      <w:proofErr w:type="spellEnd"/>
      <w:r>
        <w:t xml:space="preserve"> R et al. Efficacy of valproate versus lithium in mania or mixed </w:t>
      </w:r>
      <w:proofErr w:type="gramStart"/>
      <w:r>
        <w:t>mania :</w:t>
      </w:r>
      <w:proofErr w:type="gramEnd"/>
      <w:r>
        <w:t xml:space="preserve"> a randomised, open 12-week trial. </w:t>
      </w:r>
      <w:r w:rsidRPr="00AA2E87">
        <w:rPr>
          <w:i/>
        </w:rPr>
        <w:t xml:space="preserve">Int J </w:t>
      </w:r>
      <w:proofErr w:type="spellStart"/>
      <w:r w:rsidRPr="00AA2E87">
        <w:rPr>
          <w:i/>
        </w:rPr>
        <w:t>Psychopharmacol</w:t>
      </w:r>
      <w:proofErr w:type="spellEnd"/>
      <w:r w:rsidRPr="00AA2E87">
        <w:rPr>
          <w:i/>
        </w:rPr>
        <w:t>,</w:t>
      </w:r>
      <w:r>
        <w:t xml:space="preserve"> 2010, </w:t>
      </w:r>
      <w:proofErr w:type="gramStart"/>
      <w:r w:rsidRPr="00AA2E87">
        <w:rPr>
          <w:b/>
        </w:rPr>
        <w:t>25</w:t>
      </w:r>
      <w:r>
        <w:t xml:space="preserve"> :</w:t>
      </w:r>
      <w:proofErr w:type="gramEnd"/>
      <w:r>
        <w:t xml:space="preserve"> 60 – 67.</w:t>
      </w:r>
    </w:p>
    <w:p w:rsidR="00AA2E87" w:rsidRDefault="00AA2E87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Harrell NB, </w:t>
      </w:r>
      <w:proofErr w:type="spellStart"/>
      <w:r>
        <w:t>Teachey</w:t>
      </w:r>
      <w:proofErr w:type="spellEnd"/>
      <w:r>
        <w:t xml:space="preserve"> MK, Gifford NJ, Henriksen EJ. Essential role of p38 MAPK for activation of skeletal muscle glucose transport by lithium. </w:t>
      </w:r>
      <w:r w:rsidRPr="00E62733">
        <w:rPr>
          <w:i/>
        </w:rPr>
        <w:t xml:space="preserve">Arch </w:t>
      </w:r>
      <w:proofErr w:type="spellStart"/>
      <w:r w:rsidRPr="00E62733">
        <w:rPr>
          <w:i/>
        </w:rPr>
        <w:t>Physiol</w:t>
      </w:r>
      <w:proofErr w:type="spellEnd"/>
      <w:r w:rsidRPr="00E62733">
        <w:rPr>
          <w:i/>
        </w:rPr>
        <w:t xml:space="preserve"> </w:t>
      </w:r>
      <w:proofErr w:type="spellStart"/>
      <w:r w:rsidRPr="00E62733">
        <w:rPr>
          <w:i/>
        </w:rPr>
        <w:t>Biochem</w:t>
      </w:r>
      <w:proofErr w:type="spellEnd"/>
      <w:r>
        <w:t xml:space="preserve">, 2007, </w:t>
      </w:r>
      <w:proofErr w:type="gramStart"/>
      <w:r w:rsidRPr="00E62733">
        <w:rPr>
          <w:b/>
        </w:rPr>
        <w:t>113</w:t>
      </w:r>
      <w:r>
        <w:t xml:space="preserve"> :</w:t>
      </w:r>
      <w:proofErr w:type="gramEnd"/>
      <w:r>
        <w:t xml:space="preserve"> 221 – 227.</w:t>
      </w:r>
    </w:p>
    <w:p w:rsidR="00AA2E87" w:rsidRDefault="00AA2E87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Tabata I, Schluter J, </w:t>
      </w:r>
      <w:proofErr w:type="spellStart"/>
      <w:r>
        <w:t>Guive</w:t>
      </w:r>
      <w:proofErr w:type="spellEnd"/>
      <w:r>
        <w:t xml:space="preserve"> EA, </w:t>
      </w:r>
      <w:proofErr w:type="spellStart"/>
      <w:r>
        <w:t>Holloszy</w:t>
      </w:r>
      <w:proofErr w:type="spellEnd"/>
      <w:r>
        <w:t xml:space="preserve"> JO. Lithium increases susceptibility of muscle glucose transport to stimulation by various agents. </w:t>
      </w:r>
      <w:r w:rsidRPr="00FF31C5">
        <w:rPr>
          <w:i/>
        </w:rPr>
        <w:t>Diabetes</w:t>
      </w:r>
      <w:r>
        <w:t xml:space="preserve">, 1994, </w:t>
      </w:r>
      <w:proofErr w:type="gramStart"/>
      <w:r w:rsidRPr="00FF31C5">
        <w:rPr>
          <w:b/>
        </w:rPr>
        <w:t>43</w:t>
      </w:r>
      <w:r>
        <w:t xml:space="preserve"> :</w:t>
      </w:r>
      <w:proofErr w:type="gramEnd"/>
      <w:r>
        <w:t xml:space="preserve"> 903 – 907.</w:t>
      </w:r>
    </w:p>
    <w:p w:rsidR="0035114E" w:rsidRDefault="0035114E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Maison C, Bailly D, Peters AH, </w:t>
      </w:r>
      <w:proofErr w:type="spellStart"/>
      <w:r>
        <w:t>Quivy</w:t>
      </w:r>
      <w:proofErr w:type="spellEnd"/>
      <w:r>
        <w:t xml:space="preserve"> JP, Roche D, </w:t>
      </w:r>
      <w:proofErr w:type="spellStart"/>
      <w:r>
        <w:t>Taddel</w:t>
      </w:r>
      <w:proofErr w:type="spellEnd"/>
      <w:r>
        <w:t xml:space="preserve"> A et al. Higher-order structure in pericentric heterochromatin involves a distinct pattern of histone modification and an RNA component. </w:t>
      </w:r>
      <w:r w:rsidRPr="0035114E">
        <w:rPr>
          <w:i/>
        </w:rPr>
        <w:t>Nat Genet</w:t>
      </w:r>
      <w:r>
        <w:t xml:space="preserve">. 2002, </w:t>
      </w:r>
      <w:proofErr w:type="gramStart"/>
      <w:r w:rsidRPr="0035114E">
        <w:rPr>
          <w:b/>
        </w:rPr>
        <w:t>30</w:t>
      </w:r>
      <w:r>
        <w:t xml:space="preserve"> :</w:t>
      </w:r>
      <w:proofErr w:type="gramEnd"/>
      <w:r>
        <w:t xml:space="preserve"> 329 – 334.</w:t>
      </w:r>
    </w:p>
    <w:p w:rsidR="0035114E" w:rsidRDefault="0035114E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>
        <w:t>Ganguly</w:t>
      </w:r>
      <w:proofErr w:type="spellEnd"/>
      <w:r>
        <w:t xml:space="preserve"> S, Seth S. A translational perspective on histone acetylation modulators in psychiatric disorders. </w:t>
      </w:r>
      <w:r w:rsidRPr="00E62733">
        <w:rPr>
          <w:i/>
        </w:rPr>
        <w:t>Psychopharmacology</w:t>
      </w:r>
      <w:r>
        <w:t xml:space="preserve">, 2018, </w:t>
      </w:r>
      <w:proofErr w:type="gramStart"/>
      <w:r w:rsidRPr="00E62733">
        <w:rPr>
          <w:b/>
        </w:rPr>
        <w:t>235</w:t>
      </w:r>
      <w:r>
        <w:t xml:space="preserve"> :</w:t>
      </w:r>
      <w:proofErr w:type="gramEnd"/>
      <w:r>
        <w:t xml:space="preserve"> 1867 – 1873.</w:t>
      </w:r>
    </w:p>
    <w:p w:rsidR="002D2D6B" w:rsidRDefault="0057453A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Sun G, Jiang M, Zhou T, Guo Y, Cui Y, Guo X et al. Insights into the lysine acetylproteome of human sperm. </w:t>
      </w:r>
      <w:r w:rsidRPr="0057453A">
        <w:rPr>
          <w:i/>
        </w:rPr>
        <w:t>J Proteomics</w:t>
      </w:r>
      <w:r>
        <w:t xml:space="preserve">, 2014, </w:t>
      </w:r>
      <w:proofErr w:type="gramStart"/>
      <w:r w:rsidRPr="0057453A">
        <w:rPr>
          <w:b/>
        </w:rPr>
        <w:t>109</w:t>
      </w:r>
      <w:r>
        <w:t xml:space="preserve"> :</w:t>
      </w:r>
      <w:proofErr w:type="gramEnd"/>
      <w:r>
        <w:t xml:space="preserve"> 199 – 211.</w:t>
      </w:r>
    </w:p>
    <w:p w:rsidR="00487FC3" w:rsidRDefault="002D2D6B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>
        <w:t>Ve</w:t>
      </w:r>
      <w:r w:rsidR="00487FC3">
        <w:t>r</w:t>
      </w:r>
      <w:r>
        <w:t>rotti</w:t>
      </w:r>
      <w:proofErr w:type="spellEnd"/>
      <w:r w:rsidR="00487FC3">
        <w:t xml:space="preserve"> A, </w:t>
      </w:r>
      <w:proofErr w:type="spellStart"/>
      <w:r w:rsidR="00487FC3">
        <w:t>Loiacono</w:t>
      </w:r>
      <w:proofErr w:type="spellEnd"/>
      <w:r w:rsidR="00487FC3">
        <w:t xml:space="preserve"> G, </w:t>
      </w:r>
      <w:proofErr w:type="spellStart"/>
      <w:r w:rsidR="00487FC3">
        <w:t>Laus</w:t>
      </w:r>
      <w:proofErr w:type="spellEnd"/>
      <w:r w:rsidR="00487FC3">
        <w:t xml:space="preserve"> M, Coppola G, Chiarelli F, </w:t>
      </w:r>
      <w:proofErr w:type="spellStart"/>
      <w:r w:rsidR="00487FC3">
        <w:t>Tiboni</w:t>
      </w:r>
      <w:proofErr w:type="spellEnd"/>
      <w:r w:rsidR="00487FC3">
        <w:t xml:space="preserve"> GM. Hormonal and reproductive disturbances in epileptic male </w:t>
      </w:r>
      <w:proofErr w:type="gramStart"/>
      <w:r w:rsidR="00487FC3">
        <w:t>patients :</w:t>
      </w:r>
      <w:proofErr w:type="gramEnd"/>
      <w:r w:rsidR="00487FC3">
        <w:t xml:space="preserve"> emerging issues. </w:t>
      </w:r>
      <w:proofErr w:type="spellStart"/>
      <w:r w:rsidR="00487FC3" w:rsidRPr="00487FC3">
        <w:rPr>
          <w:i/>
        </w:rPr>
        <w:t>Reprod</w:t>
      </w:r>
      <w:proofErr w:type="spellEnd"/>
      <w:r w:rsidR="00487FC3" w:rsidRPr="00487FC3">
        <w:rPr>
          <w:i/>
        </w:rPr>
        <w:t xml:space="preserve"> </w:t>
      </w:r>
      <w:proofErr w:type="spellStart"/>
      <w:r w:rsidR="00487FC3" w:rsidRPr="00487FC3">
        <w:rPr>
          <w:i/>
        </w:rPr>
        <w:t>Toxicol</w:t>
      </w:r>
      <w:proofErr w:type="spellEnd"/>
      <w:r w:rsidR="00487FC3">
        <w:t xml:space="preserve">, 2011, </w:t>
      </w:r>
      <w:proofErr w:type="gramStart"/>
      <w:r w:rsidR="00487FC3" w:rsidRPr="00487FC3">
        <w:rPr>
          <w:b/>
        </w:rPr>
        <w:t>31</w:t>
      </w:r>
      <w:r w:rsidR="00487FC3">
        <w:t xml:space="preserve"> :</w:t>
      </w:r>
      <w:proofErr w:type="gramEnd"/>
      <w:r w:rsidR="00487FC3">
        <w:t xml:space="preserve"> 519 – 527.</w:t>
      </w:r>
    </w:p>
    <w:p w:rsidR="00647329" w:rsidRDefault="00487FC3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>
        <w:t>Isojarvi</w:t>
      </w:r>
      <w:proofErr w:type="spellEnd"/>
      <w:r>
        <w:t xml:space="preserve"> JI, </w:t>
      </w:r>
      <w:proofErr w:type="spellStart"/>
      <w:r>
        <w:t>Laatikainenl</w:t>
      </w:r>
      <w:proofErr w:type="spellEnd"/>
      <w:r>
        <w:t xml:space="preserve"> TJ, </w:t>
      </w:r>
      <w:proofErr w:type="spellStart"/>
      <w:r>
        <w:t>Pakarinen</w:t>
      </w:r>
      <w:proofErr w:type="spellEnd"/>
      <w:r>
        <w:t xml:space="preserve"> AJ, </w:t>
      </w:r>
      <w:proofErr w:type="spellStart"/>
      <w:r>
        <w:t>Juntunen</w:t>
      </w:r>
      <w:proofErr w:type="spellEnd"/>
      <w:r>
        <w:t xml:space="preserve"> KT, </w:t>
      </w:r>
      <w:proofErr w:type="spellStart"/>
      <w:r>
        <w:t>Myllyla</w:t>
      </w:r>
      <w:proofErr w:type="spellEnd"/>
      <w:r>
        <w:t xml:space="preserve"> VV. Polycystic ovaries and hyperandrogenism in women taking valproate for epilepsy. </w:t>
      </w:r>
      <w:r w:rsidRPr="00647329">
        <w:rPr>
          <w:i/>
        </w:rPr>
        <w:t xml:space="preserve">N </w:t>
      </w:r>
      <w:proofErr w:type="spellStart"/>
      <w:r w:rsidRPr="00647329">
        <w:rPr>
          <w:i/>
        </w:rPr>
        <w:t>Eng</w:t>
      </w:r>
      <w:proofErr w:type="spellEnd"/>
      <w:r w:rsidRPr="00647329">
        <w:rPr>
          <w:i/>
        </w:rPr>
        <w:t xml:space="preserve"> J Med</w:t>
      </w:r>
      <w:r>
        <w:t xml:space="preserve">, </w:t>
      </w:r>
      <w:proofErr w:type="gramStart"/>
      <w:r w:rsidR="00647329">
        <w:t>1993 :</w:t>
      </w:r>
      <w:proofErr w:type="gramEnd"/>
      <w:r w:rsidR="00647329">
        <w:t xml:space="preserve"> </w:t>
      </w:r>
      <w:r w:rsidR="00647329" w:rsidRPr="00647329">
        <w:rPr>
          <w:b/>
        </w:rPr>
        <w:t>329,</w:t>
      </w:r>
      <w:r w:rsidR="00647329">
        <w:t xml:space="preserve"> 1383 – 1388.</w:t>
      </w:r>
      <w:r w:rsidR="002D2D6B">
        <w:t xml:space="preserve"> </w:t>
      </w:r>
    </w:p>
    <w:p w:rsidR="00976B04" w:rsidRDefault="00976B04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Zhang L, Li H, Li S, Zou X. Reproductive and metabolic abnormalities in women taking valproate for bipolar </w:t>
      </w:r>
      <w:proofErr w:type="gramStart"/>
      <w:r>
        <w:t>disorder :</w:t>
      </w:r>
      <w:proofErr w:type="gramEnd"/>
      <w:r>
        <w:t xml:space="preserve"> a meta-analysis. </w:t>
      </w:r>
      <w:r w:rsidRPr="00976B04">
        <w:rPr>
          <w:i/>
        </w:rPr>
        <w:t xml:space="preserve">Eur J </w:t>
      </w:r>
      <w:proofErr w:type="spellStart"/>
      <w:r w:rsidRPr="00976B04">
        <w:rPr>
          <w:i/>
        </w:rPr>
        <w:t>Obs</w:t>
      </w:r>
      <w:proofErr w:type="spellEnd"/>
      <w:r w:rsidRPr="00976B04">
        <w:rPr>
          <w:i/>
        </w:rPr>
        <w:t xml:space="preserve"> </w:t>
      </w:r>
      <w:proofErr w:type="spellStart"/>
      <w:r w:rsidRPr="00976B04">
        <w:rPr>
          <w:i/>
        </w:rPr>
        <w:t>Gynaecol</w:t>
      </w:r>
      <w:proofErr w:type="spellEnd"/>
      <w:r w:rsidRPr="00976B04">
        <w:rPr>
          <w:i/>
        </w:rPr>
        <w:t xml:space="preserve"> </w:t>
      </w:r>
      <w:proofErr w:type="spellStart"/>
      <w:r w:rsidRPr="00976B04">
        <w:rPr>
          <w:i/>
        </w:rPr>
        <w:t>Reprod</w:t>
      </w:r>
      <w:proofErr w:type="spellEnd"/>
      <w:r w:rsidRPr="00976B04">
        <w:rPr>
          <w:i/>
        </w:rPr>
        <w:t xml:space="preserve"> </w:t>
      </w:r>
      <w:proofErr w:type="spellStart"/>
      <w:r w:rsidRPr="00976B04">
        <w:rPr>
          <w:i/>
        </w:rPr>
        <w:t>Biol</w:t>
      </w:r>
      <w:proofErr w:type="spellEnd"/>
      <w:r>
        <w:t xml:space="preserve">, 2016, </w:t>
      </w:r>
      <w:proofErr w:type="gramStart"/>
      <w:r w:rsidRPr="00976B04">
        <w:rPr>
          <w:b/>
        </w:rPr>
        <w:t>202</w:t>
      </w:r>
      <w:r>
        <w:t xml:space="preserve"> :</w:t>
      </w:r>
      <w:proofErr w:type="gramEnd"/>
      <w:r>
        <w:t xml:space="preserve"> 26 – 31.</w:t>
      </w:r>
    </w:p>
    <w:p w:rsidR="006B35EB" w:rsidRDefault="00976B04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>Joffe H, Cohen LS,</w:t>
      </w:r>
      <w:r w:rsidR="006B35EB">
        <w:t xml:space="preserve"> </w:t>
      </w:r>
      <w:proofErr w:type="spellStart"/>
      <w:r w:rsidR="006B35EB">
        <w:t>Suppes</w:t>
      </w:r>
      <w:proofErr w:type="spellEnd"/>
      <w:r w:rsidR="006B35EB">
        <w:t xml:space="preserve"> T, McLaughlin WL, </w:t>
      </w:r>
      <w:proofErr w:type="spellStart"/>
      <w:r w:rsidR="006B35EB">
        <w:t>Lavori</w:t>
      </w:r>
      <w:proofErr w:type="spellEnd"/>
      <w:r w:rsidR="006B35EB">
        <w:t xml:space="preserve"> P, Adams JM, Hwang CH et al. Valproate is associated with new-onset </w:t>
      </w:r>
      <w:proofErr w:type="spellStart"/>
      <w:r w:rsidR="006B35EB">
        <w:t>oligoamenorrhea</w:t>
      </w:r>
      <w:proofErr w:type="spellEnd"/>
      <w:r w:rsidR="006B35EB">
        <w:t xml:space="preserve"> and hyperandrogenism in women with bipolar disorder. </w:t>
      </w:r>
      <w:proofErr w:type="spellStart"/>
      <w:r w:rsidR="006B35EB" w:rsidRPr="006B35EB">
        <w:rPr>
          <w:i/>
        </w:rPr>
        <w:t>Biol</w:t>
      </w:r>
      <w:proofErr w:type="spellEnd"/>
      <w:r w:rsidR="006B35EB" w:rsidRPr="006B35EB">
        <w:rPr>
          <w:i/>
        </w:rPr>
        <w:t xml:space="preserve"> Psychiatry</w:t>
      </w:r>
      <w:r w:rsidR="006B35EB">
        <w:t xml:space="preserve">, </w:t>
      </w:r>
      <w:proofErr w:type="gramStart"/>
      <w:r w:rsidR="006B35EB">
        <w:t>2006 :</w:t>
      </w:r>
      <w:proofErr w:type="gramEnd"/>
      <w:r w:rsidR="006B35EB">
        <w:t xml:space="preserve"> </w:t>
      </w:r>
      <w:r w:rsidR="006B35EB" w:rsidRPr="006B35EB">
        <w:rPr>
          <w:b/>
        </w:rPr>
        <w:t>59</w:t>
      </w:r>
      <w:r w:rsidR="006B35EB">
        <w:t xml:space="preserve"> : 1078 – 1086.</w:t>
      </w:r>
    </w:p>
    <w:p w:rsidR="00C70468" w:rsidRPr="009D3808" w:rsidRDefault="006B35EB" w:rsidP="00B8321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Talib HJ, Alderman EM. Gynaecologic and reproductive health concerns of adolescents using selected psychotropic medications. </w:t>
      </w:r>
      <w:proofErr w:type="spellStart"/>
      <w:r w:rsidR="00317DE2" w:rsidRPr="00317DE2">
        <w:rPr>
          <w:i/>
        </w:rPr>
        <w:t>Pediatr</w:t>
      </w:r>
      <w:proofErr w:type="spellEnd"/>
      <w:r w:rsidR="00317DE2" w:rsidRPr="00317DE2">
        <w:rPr>
          <w:i/>
        </w:rPr>
        <w:t xml:space="preserve"> </w:t>
      </w:r>
      <w:proofErr w:type="spellStart"/>
      <w:r w:rsidR="00317DE2" w:rsidRPr="00317DE2">
        <w:rPr>
          <w:i/>
        </w:rPr>
        <w:t>Adolesc</w:t>
      </w:r>
      <w:proofErr w:type="spellEnd"/>
      <w:r w:rsidR="00317DE2" w:rsidRPr="00317DE2">
        <w:rPr>
          <w:i/>
        </w:rPr>
        <w:t xml:space="preserve"> </w:t>
      </w:r>
      <w:proofErr w:type="spellStart"/>
      <w:r w:rsidR="00317DE2" w:rsidRPr="00317DE2">
        <w:rPr>
          <w:i/>
        </w:rPr>
        <w:t>Gynecol</w:t>
      </w:r>
      <w:proofErr w:type="spellEnd"/>
      <w:r w:rsidR="00317DE2">
        <w:t xml:space="preserve">, 2013, </w:t>
      </w:r>
      <w:proofErr w:type="gramStart"/>
      <w:r w:rsidR="00317DE2" w:rsidRPr="00317DE2">
        <w:rPr>
          <w:b/>
        </w:rPr>
        <w:t>26</w:t>
      </w:r>
      <w:r w:rsidR="00317DE2">
        <w:t xml:space="preserve"> :</w:t>
      </w:r>
      <w:proofErr w:type="gramEnd"/>
      <w:r w:rsidR="00317DE2">
        <w:t xml:space="preserve"> 7 – 15.</w:t>
      </w:r>
      <w:r w:rsidR="0057453A">
        <w:t xml:space="preserve"> </w:t>
      </w:r>
      <w:r w:rsidR="00165478">
        <w:t xml:space="preserve"> </w:t>
      </w:r>
    </w:p>
    <w:sectPr w:rsidR="00C70468" w:rsidRPr="009D3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9A" w:rsidRDefault="00736A9A" w:rsidP="00522C30">
      <w:pPr>
        <w:spacing w:after="0" w:line="240" w:lineRule="auto"/>
      </w:pPr>
      <w:r>
        <w:separator/>
      </w:r>
    </w:p>
  </w:endnote>
  <w:endnote w:type="continuationSeparator" w:id="0">
    <w:p w:rsidR="00736A9A" w:rsidRDefault="00736A9A" w:rsidP="0052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9A" w:rsidRDefault="00736A9A" w:rsidP="00522C30">
      <w:pPr>
        <w:spacing w:after="0" w:line="240" w:lineRule="auto"/>
      </w:pPr>
      <w:r>
        <w:separator/>
      </w:r>
    </w:p>
  </w:footnote>
  <w:footnote w:type="continuationSeparator" w:id="0">
    <w:p w:rsidR="00736A9A" w:rsidRDefault="00736A9A" w:rsidP="00522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370"/>
    <w:multiLevelType w:val="hybridMultilevel"/>
    <w:tmpl w:val="EBA6B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64FB"/>
    <w:multiLevelType w:val="hybridMultilevel"/>
    <w:tmpl w:val="76D2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68"/>
    <w:rsid w:val="0003784D"/>
    <w:rsid w:val="000439EC"/>
    <w:rsid w:val="00044E4F"/>
    <w:rsid w:val="000625D1"/>
    <w:rsid w:val="00064689"/>
    <w:rsid w:val="00081212"/>
    <w:rsid w:val="000A0436"/>
    <w:rsid w:val="000B02F3"/>
    <w:rsid w:val="000B74CD"/>
    <w:rsid w:val="000C641A"/>
    <w:rsid w:val="000D715E"/>
    <w:rsid w:val="000E30A7"/>
    <w:rsid w:val="000E3146"/>
    <w:rsid w:val="000E398A"/>
    <w:rsid w:val="000F0DBA"/>
    <w:rsid w:val="000F1E5A"/>
    <w:rsid w:val="00130252"/>
    <w:rsid w:val="00132CB1"/>
    <w:rsid w:val="00137F1E"/>
    <w:rsid w:val="001441ED"/>
    <w:rsid w:val="00144DA6"/>
    <w:rsid w:val="00147E96"/>
    <w:rsid w:val="00155783"/>
    <w:rsid w:val="00157F6F"/>
    <w:rsid w:val="00165478"/>
    <w:rsid w:val="001757B6"/>
    <w:rsid w:val="001A1A36"/>
    <w:rsid w:val="001D2251"/>
    <w:rsid w:val="001D29EA"/>
    <w:rsid w:val="00202839"/>
    <w:rsid w:val="00207B78"/>
    <w:rsid w:val="002119F4"/>
    <w:rsid w:val="00230484"/>
    <w:rsid w:val="00232602"/>
    <w:rsid w:val="00240E03"/>
    <w:rsid w:val="00242DB5"/>
    <w:rsid w:val="002456B8"/>
    <w:rsid w:val="00255F36"/>
    <w:rsid w:val="002A68ED"/>
    <w:rsid w:val="002B3365"/>
    <w:rsid w:val="002C3798"/>
    <w:rsid w:val="002D2D6B"/>
    <w:rsid w:val="002D61A5"/>
    <w:rsid w:val="002D6490"/>
    <w:rsid w:val="002E4425"/>
    <w:rsid w:val="00303E3E"/>
    <w:rsid w:val="00317DE2"/>
    <w:rsid w:val="0035114E"/>
    <w:rsid w:val="00351647"/>
    <w:rsid w:val="0035298D"/>
    <w:rsid w:val="003644F6"/>
    <w:rsid w:val="003723AC"/>
    <w:rsid w:val="00374D24"/>
    <w:rsid w:val="003A5293"/>
    <w:rsid w:val="003B160D"/>
    <w:rsid w:val="003B7BF8"/>
    <w:rsid w:val="003D76BE"/>
    <w:rsid w:val="003E5B65"/>
    <w:rsid w:val="003F14DB"/>
    <w:rsid w:val="00410EAE"/>
    <w:rsid w:val="00414C43"/>
    <w:rsid w:val="00424D4A"/>
    <w:rsid w:val="00424D56"/>
    <w:rsid w:val="00424F75"/>
    <w:rsid w:val="00457B55"/>
    <w:rsid w:val="00462822"/>
    <w:rsid w:val="0047153D"/>
    <w:rsid w:val="004727C3"/>
    <w:rsid w:val="0047429D"/>
    <w:rsid w:val="00487FC3"/>
    <w:rsid w:val="00495068"/>
    <w:rsid w:val="004A10E2"/>
    <w:rsid w:val="004B0D29"/>
    <w:rsid w:val="004B3160"/>
    <w:rsid w:val="004B608C"/>
    <w:rsid w:val="004C79CF"/>
    <w:rsid w:val="004D5DDC"/>
    <w:rsid w:val="004F69C1"/>
    <w:rsid w:val="0050293D"/>
    <w:rsid w:val="005060EA"/>
    <w:rsid w:val="0051517C"/>
    <w:rsid w:val="0052096F"/>
    <w:rsid w:val="00522C30"/>
    <w:rsid w:val="00527FD8"/>
    <w:rsid w:val="00532002"/>
    <w:rsid w:val="00542AE6"/>
    <w:rsid w:val="005433F4"/>
    <w:rsid w:val="00552DFB"/>
    <w:rsid w:val="00565A1B"/>
    <w:rsid w:val="00565DAF"/>
    <w:rsid w:val="0057453A"/>
    <w:rsid w:val="0059550E"/>
    <w:rsid w:val="005A5BDB"/>
    <w:rsid w:val="005C6B9A"/>
    <w:rsid w:val="00601DE6"/>
    <w:rsid w:val="00603859"/>
    <w:rsid w:val="0060795A"/>
    <w:rsid w:val="006130DB"/>
    <w:rsid w:val="0061435E"/>
    <w:rsid w:val="00617D09"/>
    <w:rsid w:val="00620DDE"/>
    <w:rsid w:val="00627D79"/>
    <w:rsid w:val="00640C9C"/>
    <w:rsid w:val="006471C2"/>
    <w:rsid w:val="00647329"/>
    <w:rsid w:val="00650E4E"/>
    <w:rsid w:val="00653B84"/>
    <w:rsid w:val="00666B97"/>
    <w:rsid w:val="00670003"/>
    <w:rsid w:val="00692C81"/>
    <w:rsid w:val="00693D43"/>
    <w:rsid w:val="006B1683"/>
    <w:rsid w:val="006B35EB"/>
    <w:rsid w:val="006C402D"/>
    <w:rsid w:val="006C66B1"/>
    <w:rsid w:val="006D79EB"/>
    <w:rsid w:val="006D7C57"/>
    <w:rsid w:val="006E3ADB"/>
    <w:rsid w:val="006E44CE"/>
    <w:rsid w:val="006F616A"/>
    <w:rsid w:val="00720504"/>
    <w:rsid w:val="00724094"/>
    <w:rsid w:val="00733E4D"/>
    <w:rsid w:val="007359F1"/>
    <w:rsid w:val="00736A9A"/>
    <w:rsid w:val="0076106E"/>
    <w:rsid w:val="00762E68"/>
    <w:rsid w:val="00762ED6"/>
    <w:rsid w:val="007650F8"/>
    <w:rsid w:val="00766E9D"/>
    <w:rsid w:val="0078476C"/>
    <w:rsid w:val="00792A37"/>
    <w:rsid w:val="007C0192"/>
    <w:rsid w:val="007D6860"/>
    <w:rsid w:val="007F288C"/>
    <w:rsid w:val="007F32C7"/>
    <w:rsid w:val="007F71EC"/>
    <w:rsid w:val="00817566"/>
    <w:rsid w:val="0083515E"/>
    <w:rsid w:val="00845CB0"/>
    <w:rsid w:val="00847921"/>
    <w:rsid w:val="00853C3C"/>
    <w:rsid w:val="00861207"/>
    <w:rsid w:val="00867A30"/>
    <w:rsid w:val="0087255E"/>
    <w:rsid w:val="00883BC5"/>
    <w:rsid w:val="008C11B4"/>
    <w:rsid w:val="008C55DE"/>
    <w:rsid w:val="00904428"/>
    <w:rsid w:val="0091072F"/>
    <w:rsid w:val="0091425E"/>
    <w:rsid w:val="00914A26"/>
    <w:rsid w:val="009234CD"/>
    <w:rsid w:val="00931436"/>
    <w:rsid w:val="00942D12"/>
    <w:rsid w:val="00952D65"/>
    <w:rsid w:val="009537AE"/>
    <w:rsid w:val="00956ED0"/>
    <w:rsid w:val="00960FB3"/>
    <w:rsid w:val="00964AAC"/>
    <w:rsid w:val="00971309"/>
    <w:rsid w:val="00971DCB"/>
    <w:rsid w:val="00976B04"/>
    <w:rsid w:val="00990AC2"/>
    <w:rsid w:val="00991202"/>
    <w:rsid w:val="00997EE3"/>
    <w:rsid w:val="009B6AFF"/>
    <w:rsid w:val="009C70AD"/>
    <w:rsid w:val="009D141B"/>
    <w:rsid w:val="009D3808"/>
    <w:rsid w:val="00A01D9B"/>
    <w:rsid w:val="00A034EC"/>
    <w:rsid w:val="00A076BD"/>
    <w:rsid w:val="00A07A4E"/>
    <w:rsid w:val="00A11F74"/>
    <w:rsid w:val="00A1618E"/>
    <w:rsid w:val="00A25BBA"/>
    <w:rsid w:val="00A33B47"/>
    <w:rsid w:val="00A41657"/>
    <w:rsid w:val="00A42EEA"/>
    <w:rsid w:val="00A47E7F"/>
    <w:rsid w:val="00A64457"/>
    <w:rsid w:val="00A64520"/>
    <w:rsid w:val="00A84BEB"/>
    <w:rsid w:val="00A95948"/>
    <w:rsid w:val="00AA2E87"/>
    <w:rsid w:val="00AB0FD8"/>
    <w:rsid w:val="00AB2752"/>
    <w:rsid w:val="00AC000B"/>
    <w:rsid w:val="00AC492A"/>
    <w:rsid w:val="00AC5F85"/>
    <w:rsid w:val="00AD1C0D"/>
    <w:rsid w:val="00AE2F0A"/>
    <w:rsid w:val="00AE47F4"/>
    <w:rsid w:val="00AE590C"/>
    <w:rsid w:val="00B10023"/>
    <w:rsid w:val="00B12C05"/>
    <w:rsid w:val="00B22172"/>
    <w:rsid w:val="00B3190D"/>
    <w:rsid w:val="00B4382E"/>
    <w:rsid w:val="00B558BE"/>
    <w:rsid w:val="00B80A94"/>
    <w:rsid w:val="00B80CCB"/>
    <w:rsid w:val="00B8321C"/>
    <w:rsid w:val="00B87DD0"/>
    <w:rsid w:val="00B9501D"/>
    <w:rsid w:val="00BC31B0"/>
    <w:rsid w:val="00BC7A44"/>
    <w:rsid w:val="00BC7C16"/>
    <w:rsid w:val="00BD0AA3"/>
    <w:rsid w:val="00BD5867"/>
    <w:rsid w:val="00BE1AB4"/>
    <w:rsid w:val="00BF1436"/>
    <w:rsid w:val="00BF3537"/>
    <w:rsid w:val="00BF4321"/>
    <w:rsid w:val="00C04C6B"/>
    <w:rsid w:val="00C31F13"/>
    <w:rsid w:val="00C41986"/>
    <w:rsid w:val="00C4682E"/>
    <w:rsid w:val="00C6339C"/>
    <w:rsid w:val="00C70468"/>
    <w:rsid w:val="00C80181"/>
    <w:rsid w:val="00CA6F24"/>
    <w:rsid w:val="00CB0506"/>
    <w:rsid w:val="00CE4AB4"/>
    <w:rsid w:val="00CE6508"/>
    <w:rsid w:val="00D03C92"/>
    <w:rsid w:val="00D06CF0"/>
    <w:rsid w:val="00D20771"/>
    <w:rsid w:val="00D27C44"/>
    <w:rsid w:val="00D372B1"/>
    <w:rsid w:val="00D40845"/>
    <w:rsid w:val="00D44E02"/>
    <w:rsid w:val="00D45B16"/>
    <w:rsid w:val="00D47104"/>
    <w:rsid w:val="00D65D36"/>
    <w:rsid w:val="00D66759"/>
    <w:rsid w:val="00D70FBF"/>
    <w:rsid w:val="00D80875"/>
    <w:rsid w:val="00D93B3D"/>
    <w:rsid w:val="00D96DF2"/>
    <w:rsid w:val="00DC0AA0"/>
    <w:rsid w:val="00DD4731"/>
    <w:rsid w:val="00E13610"/>
    <w:rsid w:val="00E257B9"/>
    <w:rsid w:val="00E43379"/>
    <w:rsid w:val="00E4593F"/>
    <w:rsid w:val="00E52DAE"/>
    <w:rsid w:val="00E53570"/>
    <w:rsid w:val="00E544AD"/>
    <w:rsid w:val="00E611D9"/>
    <w:rsid w:val="00E62733"/>
    <w:rsid w:val="00E932BD"/>
    <w:rsid w:val="00E96D01"/>
    <w:rsid w:val="00EA4B3F"/>
    <w:rsid w:val="00EA6106"/>
    <w:rsid w:val="00EB3D49"/>
    <w:rsid w:val="00EB7478"/>
    <w:rsid w:val="00EC60BA"/>
    <w:rsid w:val="00EC6AB9"/>
    <w:rsid w:val="00EC772B"/>
    <w:rsid w:val="00F01021"/>
    <w:rsid w:val="00F0290A"/>
    <w:rsid w:val="00F22E0B"/>
    <w:rsid w:val="00F244FC"/>
    <w:rsid w:val="00F30114"/>
    <w:rsid w:val="00F35E7C"/>
    <w:rsid w:val="00F43A4C"/>
    <w:rsid w:val="00F56336"/>
    <w:rsid w:val="00F6597F"/>
    <w:rsid w:val="00F77A73"/>
    <w:rsid w:val="00F808B9"/>
    <w:rsid w:val="00F83D7F"/>
    <w:rsid w:val="00FA5249"/>
    <w:rsid w:val="00FC4B38"/>
    <w:rsid w:val="00FC5E9D"/>
    <w:rsid w:val="00FF31C5"/>
    <w:rsid w:val="00FF4D31"/>
    <w:rsid w:val="00FF563E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7FFD"/>
  <w15:chartTrackingRefBased/>
  <w15:docId w15:val="{8D83293A-8F91-4906-98E5-AF435D2F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7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2C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C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2C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9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F9C1-AA98-4D52-8774-6AB4D03D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 David</dc:creator>
  <cp:keywords/>
  <dc:description/>
  <cp:lastModifiedBy>Annalisa Welch</cp:lastModifiedBy>
  <cp:revision>3</cp:revision>
  <cp:lastPrinted>2019-01-08T11:43:00Z</cp:lastPrinted>
  <dcterms:created xsi:type="dcterms:W3CDTF">2019-05-29T18:28:00Z</dcterms:created>
  <dcterms:modified xsi:type="dcterms:W3CDTF">2019-05-29T18:28:00Z</dcterms:modified>
</cp:coreProperties>
</file>