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CBE58" w14:textId="14389EA0" w:rsidR="00CC5621" w:rsidRDefault="008109F0" w:rsidP="00AB53EA">
      <w:pPr>
        <w:widowControl w:val="0"/>
        <w:autoSpaceDE w:val="0"/>
        <w:autoSpaceDN w:val="0"/>
        <w:adjustRightInd w:val="0"/>
        <w:spacing w:line="480" w:lineRule="auto"/>
        <w:rPr>
          <w:lang w:eastAsia="en-GB"/>
        </w:rPr>
      </w:pPr>
      <w:r w:rsidRPr="008109F0">
        <w:rPr>
          <w:lang w:eastAsia="en-GB"/>
        </w:rPr>
        <w:t>Search Strategy of the Review</w:t>
      </w:r>
      <w:r w:rsidR="00C179D1">
        <w:rPr>
          <w:lang w:eastAsia="en-GB"/>
        </w:rPr>
        <w:t xml:space="preserve"> </w:t>
      </w:r>
      <w:r w:rsidR="00AA7249">
        <w:rPr>
          <w:lang w:eastAsia="en-GB"/>
        </w:rPr>
        <w:t xml:space="preserve">for </w:t>
      </w:r>
      <w:r w:rsidR="00450643">
        <w:rPr>
          <w:lang w:eastAsia="en-GB"/>
        </w:rPr>
        <w:t>M</w:t>
      </w:r>
      <w:r w:rsidR="00C179D1" w:rsidRPr="00AA7249">
        <w:rPr>
          <w:lang w:eastAsia="en-GB"/>
        </w:rPr>
        <w:t>edline</w:t>
      </w:r>
    </w:p>
    <w:p w14:paraId="4BBD7060" w14:textId="77777777" w:rsidR="002628A8" w:rsidRDefault="002628A8" w:rsidP="002628A8">
      <w:pPr>
        <w:widowControl w:val="0"/>
        <w:autoSpaceDE w:val="0"/>
        <w:autoSpaceDN w:val="0"/>
        <w:adjustRightInd w:val="0"/>
        <w:spacing w:line="480" w:lineRule="auto"/>
        <w:ind w:left="-567" w:firstLine="567"/>
        <w:rPr>
          <w:lang w:eastAsia="en-GB"/>
        </w:rPr>
      </w:pPr>
    </w:p>
    <w:p w14:paraId="71826D41" w14:textId="77777777" w:rsidR="005E7E8E" w:rsidRDefault="005E7E8E" w:rsidP="005E7E8E">
      <w:pPr>
        <w:spacing w:line="276" w:lineRule="auto"/>
        <w:rPr>
          <w:rFonts w:eastAsia="Arial Unicode MS"/>
          <w:color w:val="000000" w:themeColor="text1"/>
          <w:lang w:val="en-US"/>
        </w:rPr>
      </w:pPr>
      <w:r w:rsidRPr="00DD7782">
        <w:rPr>
          <w:rFonts w:eastAsia="Arial Unicode MS"/>
          <w:color w:val="000000" w:themeColor="text1"/>
          <w:lang w:val="en-US"/>
        </w:rPr>
        <w:t>1</w:t>
      </w:r>
      <w:r>
        <w:rPr>
          <w:rFonts w:eastAsia="Arial Unicode MS"/>
          <w:color w:val="000000" w:themeColor="text1"/>
          <w:lang w:val="en-US"/>
        </w:rPr>
        <w:t>.</w:t>
      </w:r>
      <w:r w:rsidRPr="00DD7782">
        <w:rPr>
          <w:rFonts w:eastAsia="Arial Unicode MS"/>
          <w:color w:val="000000" w:themeColor="text1"/>
          <w:lang w:val="en-US"/>
        </w:rPr>
        <w:t xml:space="preserve"> flashback*</w:t>
      </w:r>
      <w:r>
        <w:rPr>
          <w:rFonts w:eastAsia="Arial Unicode MS"/>
          <w:color w:val="000000" w:themeColor="text1"/>
          <w:lang w:val="en-US"/>
        </w:rPr>
        <w:t>.</w:t>
      </w:r>
      <w:proofErr w:type="spellStart"/>
      <w:r>
        <w:rPr>
          <w:rFonts w:eastAsia="Arial Unicode MS"/>
          <w:color w:val="000000" w:themeColor="text1"/>
          <w:lang w:val="en-US"/>
        </w:rPr>
        <w:t>mp</w:t>
      </w:r>
      <w:proofErr w:type="spellEnd"/>
      <w:r>
        <w:rPr>
          <w:rFonts w:eastAsia="Arial Unicode MS"/>
          <w:color w:val="000000" w:themeColor="text1"/>
          <w:lang w:val="en-US"/>
        </w:rPr>
        <w:t>.</w:t>
      </w:r>
    </w:p>
    <w:p w14:paraId="33A65B9D" w14:textId="77777777" w:rsidR="005E7E8E" w:rsidRDefault="005E7E8E" w:rsidP="005E7E8E">
      <w:pPr>
        <w:spacing w:line="276" w:lineRule="auto"/>
        <w:rPr>
          <w:rFonts w:eastAsia="Arial Unicode MS"/>
          <w:color w:val="000000" w:themeColor="text1"/>
          <w:lang w:val="en-US"/>
        </w:rPr>
      </w:pPr>
      <w:r>
        <w:rPr>
          <w:rFonts w:eastAsia="Arial Unicode MS"/>
          <w:color w:val="000000" w:themeColor="text1"/>
          <w:lang w:val="en-US"/>
        </w:rPr>
        <w:t>2.</w:t>
      </w:r>
      <w:r w:rsidRPr="00DD7782">
        <w:rPr>
          <w:rFonts w:eastAsia="Arial Unicode MS"/>
          <w:color w:val="000000" w:themeColor="text1"/>
          <w:lang w:val="en-US"/>
        </w:rPr>
        <w:t xml:space="preserve"> disaster*</w:t>
      </w:r>
      <w:r>
        <w:rPr>
          <w:rFonts w:eastAsia="Arial Unicode MS"/>
          <w:color w:val="000000" w:themeColor="text1"/>
          <w:lang w:val="en-US"/>
        </w:rPr>
        <w:t>.</w:t>
      </w:r>
      <w:proofErr w:type="spellStart"/>
      <w:r>
        <w:rPr>
          <w:rFonts w:eastAsia="Arial Unicode MS"/>
          <w:color w:val="000000" w:themeColor="text1"/>
          <w:lang w:val="en-US"/>
        </w:rPr>
        <w:t>mp</w:t>
      </w:r>
      <w:proofErr w:type="spellEnd"/>
      <w:r>
        <w:rPr>
          <w:rFonts w:eastAsia="Arial Unicode MS"/>
          <w:color w:val="000000" w:themeColor="text1"/>
          <w:lang w:val="en-US"/>
        </w:rPr>
        <w:t>.</w:t>
      </w:r>
    </w:p>
    <w:p w14:paraId="10155966" w14:textId="77777777" w:rsidR="005E7E8E" w:rsidRDefault="005E7E8E" w:rsidP="005E7E8E">
      <w:pPr>
        <w:spacing w:line="276" w:lineRule="auto"/>
        <w:rPr>
          <w:rFonts w:eastAsia="Arial Unicode MS"/>
          <w:color w:val="000000" w:themeColor="text1"/>
          <w:lang w:val="en-US"/>
        </w:rPr>
      </w:pPr>
      <w:r>
        <w:rPr>
          <w:rFonts w:eastAsia="Arial Unicode MS"/>
          <w:color w:val="000000" w:themeColor="text1"/>
          <w:lang w:val="en-US"/>
        </w:rPr>
        <w:t xml:space="preserve">3. </w:t>
      </w:r>
      <w:r w:rsidRPr="00DD7782">
        <w:rPr>
          <w:rFonts w:eastAsia="Arial Unicode MS"/>
          <w:color w:val="000000" w:themeColor="text1"/>
          <w:lang w:val="en-US"/>
        </w:rPr>
        <w:t>victim*</w:t>
      </w:r>
      <w:r>
        <w:rPr>
          <w:rFonts w:eastAsia="Arial Unicode MS"/>
          <w:color w:val="000000" w:themeColor="text1"/>
          <w:lang w:val="en-US"/>
        </w:rPr>
        <w:t>.</w:t>
      </w:r>
      <w:proofErr w:type="spellStart"/>
      <w:r>
        <w:rPr>
          <w:rFonts w:eastAsia="Arial Unicode MS"/>
          <w:color w:val="000000" w:themeColor="text1"/>
          <w:lang w:val="en-US"/>
        </w:rPr>
        <w:t>mp</w:t>
      </w:r>
      <w:proofErr w:type="spellEnd"/>
      <w:r>
        <w:rPr>
          <w:rFonts w:eastAsia="Arial Unicode MS"/>
          <w:color w:val="000000" w:themeColor="text1"/>
          <w:lang w:val="en-US"/>
        </w:rPr>
        <w:t>.</w:t>
      </w:r>
      <w:r w:rsidRPr="00DD7782">
        <w:rPr>
          <w:rFonts w:eastAsia="Arial Unicode MS"/>
          <w:color w:val="000000" w:themeColor="text1"/>
          <w:lang w:val="en-US"/>
        </w:rPr>
        <w:t xml:space="preserve"> </w:t>
      </w:r>
    </w:p>
    <w:p w14:paraId="1E135CD9" w14:textId="77777777" w:rsidR="005E7E8E" w:rsidRDefault="005E7E8E" w:rsidP="005E7E8E">
      <w:pPr>
        <w:spacing w:line="276" w:lineRule="auto"/>
        <w:rPr>
          <w:rFonts w:eastAsia="Arial Unicode MS"/>
          <w:color w:val="000000" w:themeColor="text1"/>
          <w:lang w:val="en-US"/>
        </w:rPr>
      </w:pPr>
      <w:r>
        <w:rPr>
          <w:rFonts w:eastAsia="Arial Unicode MS"/>
          <w:color w:val="000000" w:themeColor="text1"/>
          <w:lang w:val="en-US"/>
        </w:rPr>
        <w:t>4. “</w:t>
      </w:r>
      <w:r w:rsidRPr="00DD7782">
        <w:rPr>
          <w:rFonts w:eastAsia="Arial Unicode MS"/>
          <w:color w:val="000000" w:themeColor="text1"/>
          <w:lang w:val="en-US"/>
        </w:rPr>
        <w:t>stress disorder*"</w:t>
      </w:r>
      <w:r>
        <w:rPr>
          <w:rFonts w:eastAsia="Arial Unicode MS"/>
          <w:color w:val="000000" w:themeColor="text1"/>
          <w:lang w:val="en-US"/>
        </w:rPr>
        <w:t>.</w:t>
      </w:r>
      <w:proofErr w:type="spellStart"/>
      <w:r>
        <w:rPr>
          <w:rFonts w:eastAsia="Arial Unicode MS"/>
          <w:color w:val="000000" w:themeColor="text1"/>
          <w:lang w:val="en-US"/>
        </w:rPr>
        <w:t>mp</w:t>
      </w:r>
      <w:proofErr w:type="spellEnd"/>
      <w:r>
        <w:rPr>
          <w:rFonts w:eastAsia="Arial Unicode MS"/>
          <w:color w:val="000000" w:themeColor="text1"/>
          <w:lang w:val="en-US"/>
        </w:rPr>
        <w:t>.</w:t>
      </w:r>
    </w:p>
    <w:p w14:paraId="67DDAC8C" w14:textId="77777777" w:rsidR="005E7E8E" w:rsidRDefault="005E7E8E" w:rsidP="005E7E8E">
      <w:pPr>
        <w:spacing w:line="276" w:lineRule="auto"/>
        <w:rPr>
          <w:rFonts w:eastAsia="Arial Unicode MS"/>
          <w:color w:val="000000" w:themeColor="text1"/>
          <w:lang w:val="en-US"/>
        </w:rPr>
      </w:pPr>
      <w:r>
        <w:rPr>
          <w:rFonts w:eastAsia="Arial Unicode MS"/>
          <w:color w:val="000000" w:themeColor="text1"/>
          <w:lang w:val="en-US"/>
        </w:rPr>
        <w:t xml:space="preserve">5. </w:t>
      </w:r>
      <w:r w:rsidRPr="00DD7782">
        <w:rPr>
          <w:rFonts w:eastAsia="Arial Unicode MS"/>
          <w:color w:val="000000" w:themeColor="text1"/>
          <w:lang w:val="en-US"/>
        </w:rPr>
        <w:t>"acute stress*"</w:t>
      </w:r>
      <w:r>
        <w:rPr>
          <w:rFonts w:eastAsia="Arial Unicode MS"/>
          <w:color w:val="000000" w:themeColor="text1"/>
          <w:lang w:val="en-US"/>
        </w:rPr>
        <w:t>.</w:t>
      </w:r>
      <w:proofErr w:type="spellStart"/>
      <w:r>
        <w:rPr>
          <w:rFonts w:eastAsia="Arial Unicode MS"/>
          <w:color w:val="000000" w:themeColor="text1"/>
          <w:lang w:val="en-US"/>
        </w:rPr>
        <w:t>mp</w:t>
      </w:r>
      <w:proofErr w:type="spellEnd"/>
      <w:r>
        <w:rPr>
          <w:rFonts w:eastAsia="Arial Unicode MS"/>
          <w:color w:val="000000" w:themeColor="text1"/>
          <w:lang w:val="en-US"/>
        </w:rPr>
        <w:t>.</w:t>
      </w:r>
      <w:r w:rsidRPr="00DD7782">
        <w:rPr>
          <w:rFonts w:eastAsia="Arial Unicode MS"/>
          <w:color w:val="000000" w:themeColor="text1"/>
          <w:lang w:val="en-US"/>
        </w:rPr>
        <w:t xml:space="preserve"> </w:t>
      </w:r>
    </w:p>
    <w:p w14:paraId="3E316E25" w14:textId="77777777" w:rsidR="005E7E8E" w:rsidRPr="00DD7782" w:rsidRDefault="005E7E8E" w:rsidP="005E7E8E">
      <w:pPr>
        <w:spacing w:line="276" w:lineRule="auto"/>
        <w:rPr>
          <w:rFonts w:eastAsia="Arial Unicode MS"/>
          <w:color w:val="000000" w:themeColor="text1"/>
          <w:lang w:val="en-US"/>
        </w:rPr>
      </w:pPr>
      <w:r>
        <w:rPr>
          <w:rFonts w:eastAsia="Arial Unicode MS"/>
          <w:color w:val="000000" w:themeColor="text1"/>
          <w:lang w:val="en-US"/>
        </w:rPr>
        <w:t>6. (</w:t>
      </w:r>
      <w:r w:rsidRPr="00DD7782">
        <w:rPr>
          <w:rFonts w:eastAsia="Arial Unicode MS"/>
          <w:color w:val="000000" w:themeColor="text1"/>
          <w:lang w:val="en-US"/>
        </w:rPr>
        <w:t xml:space="preserve">PTSD or </w:t>
      </w:r>
      <w:proofErr w:type="spellStart"/>
      <w:r w:rsidRPr="00DD7782">
        <w:rPr>
          <w:rFonts w:eastAsia="Arial Unicode MS"/>
          <w:color w:val="000000" w:themeColor="text1"/>
          <w:lang w:val="en-US"/>
        </w:rPr>
        <w:t>post?traumatic</w:t>
      </w:r>
      <w:proofErr w:type="spellEnd"/>
      <w:r w:rsidRPr="00DD7782">
        <w:rPr>
          <w:rFonts w:eastAsia="Arial Unicode MS"/>
          <w:color w:val="000000" w:themeColor="text1"/>
          <w:lang w:val="en-US"/>
        </w:rPr>
        <w:t>* or "vicarious trauma*" or "complex trauma*").</w:t>
      </w:r>
      <w:proofErr w:type="spellStart"/>
      <w:r w:rsidRPr="00DD7782">
        <w:rPr>
          <w:rFonts w:eastAsia="Arial Unicode MS"/>
          <w:color w:val="000000" w:themeColor="text1"/>
          <w:lang w:val="en-US"/>
        </w:rPr>
        <w:t>mp</w:t>
      </w:r>
      <w:proofErr w:type="spellEnd"/>
      <w:r w:rsidRPr="00DD7782">
        <w:rPr>
          <w:rFonts w:eastAsia="Arial Unicode MS"/>
          <w:color w:val="000000" w:themeColor="text1"/>
          <w:lang w:val="en-US"/>
        </w:rPr>
        <w:t xml:space="preserve">. </w:t>
      </w:r>
    </w:p>
    <w:p w14:paraId="095B61E1" w14:textId="77777777" w:rsidR="005E7E8E" w:rsidRPr="00DD7782" w:rsidRDefault="005E7E8E" w:rsidP="005E7E8E">
      <w:pPr>
        <w:spacing w:line="276" w:lineRule="auto"/>
        <w:rPr>
          <w:rFonts w:eastAsia="Arial Unicode MS"/>
          <w:color w:val="000000" w:themeColor="text1"/>
          <w:lang w:val="en-US"/>
        </w:rPr>
      </w:pPr>
      <w:r>
        <w:rPr>
          <w:rFonts w:eastAsia="Arial Unicode MS"/>
          <w:color w:val="000000" w:themeColor="text1"/>
          <w:lang w:val="en-US"/>
        </w:rPr>
        <w:t>7.</w:t>
      </w:r>
      <w:r w:rsidRPr="00DD7782">
        <w:rPr>
          <w:rFonts w:eastAsia="Arial Unicode MS"/>
          <w:color w:val="000000" w:themeColor="text1"/>
          <w:lang w:val="en-US"/>
        </w:rPr>
        <w:t xml:space="preserve"> exp combat disorders/ or exp psychological trauma/ or exp stress disorders, post-traumatic/ or exp stress disorders, traumatic, acute/ or exp Battered Child Syndrome/ or exp natural disasters/ or exp child abuse, sexual/ or exp human trafficking/ or exp rape/ or exp violence/ or exp adverse childhood experiences/ or exp domestic violence/ or exp gender-based violence/ or exp gun violence/ or exp intimate partner violence/ or exp physical abuse/ or exp terrorism/ or exp torture/ or exp workplace violence/ or exp war crimes/ or exp genocide/ or exp "adult survivors of child adverse events"/ or exp "adult survivors of child abuse"/ or exp Dissociative Disorders/ </w:t>
      </w:r>
    </w:p>
    <w:p w14:paraId="11C69F73" w14:textId="77777777" w:rsidR="005E7E8E" w:rsidRPr="00DD7782" w:rsidRDefault="005E7E8E" w:rsidP="005E7E8E">
      <w:pPr>
        <w:spacing w:line="276" w:lineRule="auto"/>
        <w:rPr>
          <w:rFonts w:eastAsia="Arial Unicode MS"/>
          <w:color w:val="000000" w:themeColor="text1"/>
          <w:lang w:val="en-US"/>
        </w:rPr>
      </w:pPr>
      <w:r>
        <w:rPr>
          <w:rFonts w:eastAsia="Arial Unicode MS"/>
          <w:color w:val="000000" w:themeColor="text1"/>
          <w:lang w:val="en-US"/>
        </w:rPr>
        <w:t>8.</w:t>
      </w:r>
      <w:r w:rsidRPr="00DD7782">
        <w:rPr>
          <w:rFonts w:eastAsia="Arial Unicode MS"/>
          <w:color w:val="000000" w:themeColor="text1"/>
          <w:lang w:val="en-US"/>
        </w:rPr>
        <w:t xml:space="preserve"> 1 or 2 </w:t>
      </w:r>
      <w:r>
        <w:rPr>
          <w:rFonts w:eastAsia="Arial Unicode MS"/>
          <w:color w:val="000000" w:themeColor="text1"/>
          <w:lang w:val="en-US"/>
        </w:rPr>
        <w:t>or 3 or 4 or 5 or 6 or 7</w:t>
      </w:r>
    </w:p>
    <w:p w14:paraId="0BDFC6C9" w14:textId="77777777" w:rsidR="005E7E8E" w:rsidRDefault="005E7E8E" w:rsidP="005E7E8E">
      <w:pPr>
        <w:spacing w:line="276" w:lineRule="auto"/>
        <w:rPr>
          <w:rFonts w:eastAsia="Arial Unicode MS"/>
          <w:color w:val="000000" w:themeColor="text1"/>
          <w:lang w:val="en-US"/>
        </w:rPr>
      </w:pPr>
      <w:r>
        <w:rPr>
          <w:rFonts w:eastAsia="Arial Unicode MS"/>
          <w:color w:val="000000" w:themeColor="text1"/>
          <w:lang w:val="en-US"/>
        </w:rPr>
        <w:t xml:space="preserve">9. </w:t>
      </w:r>
      <w:r w:rsidRPr="00DD7782">
        <w:rPr>
          <w:rFonts w:eastAsia="Arial Unicode MS"/>
          <w:color w:val="000000" w:themeColor="text1"/>
          <w:lang w:val="en-US"/>
        </w:rPr>
        <w:t>Dement*</w:t>
      </w:r>
      <w:r>
        <w:rPr>
          <w:rFonts w:eastAsia="Arial Unicode MS"/>
          <w:color w:val="000000" w:themeColor="text1"/>
          <w:lang w:val="en-US"/>
        </w:rPr>
        <w:t>.</w:t>
      </w:r>
      <w:proofErr w:type="spellStart"/>
      <w:r>
        <w:rPr>
          <w:rFonts w:eastAsia="Arial Unicode MS"/>
          <w:color w:val="000000" w:themeColor="text1"/>
          <w:lang w:val="en-US"/>
        </w:rPr>
        <w:t>mp</w:t>
      </w:r>
      <w:proofErr w:type="spellEnd"/>
      <w:r>
        <w:rPr>
          <w:rFonts w:eastAsia="Arial Unicode MS"/>
          <w:color w:val="000000" w:themeColor="text1"/>
          <w:lang w:val="en-US"/>
        </w:rPr>
        <w:t>.</w:t>
      </w:r>
    </w:p>
    <w:p w14:paraId="22D9D5DA" w14:textId="77777777" w:rsidR="005E7E8E" w:rsidRDefault="005E7E8E" w:rsidP="005E7E8E">
      <w:pPr>
        <w:spacing w:line="276" w:lineRule="auto"/>
        <w:rPr>
          <w:rFonts w:eastAsia="Arial Unicode MS"/>
          <w:color w:val="000000" w:themeColor="text1"/>
          <w:lang w:val="en-US"/>
        </w:rPr>
      </w:pPr>
      <w:r>
        <w:rPr>
          <w:rFonts w:eastAsia="Arial Unicode MS"/>
          <w:color w:val="000000" w:themeColor="text1"/>
          <w:lang w:val="en-US"/>
        </w:rPr>
        <w:t xml:space="preserve">10. </w:t>
      </w:r>
      <w:r w:rsidRPr="00DD7782">
        <w:rPr>
          <w:rFonts w:eastAsia="Arial Unicode MS"/>
          <w:color w:val="000000" w:themeColor="text1"/>
          <w:lang w:val="en-US"/>
        </w:rPr>
        <w:t>"</w:t>
      </w:r>
      <w:proofErr w:type="spellStart"/>
      <w:r w:rsidRPr="00DD7782">
        <w:rPr>
          <w:rFonts w:eastAsia="Arial Unicode MS"/>
          <w:color w:val="000000" w:themeColor="text1"/>
          <w:lang w:val="en-US"/>
        </w:rPr>
        <w:t>alzheimer</w:t>
      </w:r>
      <w:proofErr w:type="spellEnd"/>
      <w:r w:rsidRPr="00DD7782">
        <w:rPr>
          <w:rFonts w:eastAsia="Arial Unicode MS"/>
          <w:color w:val="000000" w:themeColor="text1"/>
          <w:lang w:val="en-US"/>
        </w:rPr>
        <w:t>* disease"</w:t>
      </w:r>
      <w:r>
        <w:rPr>
          <w:rFonts w:eastAsia="Arial Unicode MS"/>
          <w:color w:val="000000" w:themeColor="text1"/>
          <w:lang w:val="en-US"/>
        </w:rPr>
        <w:t>.</w:t>
      </w:r>
      <w:proofErr w:type="spellStart"/>
      <w:r>
        <w:rPr>
          <w:rFonts w:eastAsia="Arial Unicode MS"/>
          <w:color w:val="000000" w:themeColor="text1"/>
          <w:lang w:val="en-US"/>
        </w:rPr>
        <w:t>mp</w:t>
      </w:r>
      <w:proofErr w:type="spellEnd"/>
      <w:r>
        <w:rPr>
          <w:rFonts w:eastAsia="Arial Unicode MS"/>
          <w:color w:val="000000" w:themeColor="text1"/>
          <w:lang w:val="en-US"/>
        </w:rPr>
        <w:t>.</w:t>
      </w:r>
    </w:p>
    <w:p w14:paraId="19EDD4F4" w14:textId="77777777" w:rsidR="005E7E8E" w:rsidRDefault="005E7E8E" w:rsidP="005E7E8E">
      <w:pPr>
        <w:spacing w:line="276" w:lineRule="auto"/>
        <w:rPr>
          <w:rFonts w:eastAsia="Arial Unicode MS"/>
          <w:color w:val="000000" w:themeColor="text1"/>
          <w:lang w:val="en-US"/>
        </w:rPr>
      </w:pPr>
      <w:r>
        <w:rPr>
          <w:rFonts w:eastAsia="Arial Unicode MS"/>
          <w:color w:val="000000" w:themeColor="text1"/>
          <w:lang w:val="en-US"/>
        </w:rPr>
        <w:t>11.</w:t>
      </w:r>
      <w:r w:rsidRPr="00DD7782">
        <w:rPr>
          <w:rFonts w:eastAsia="Arial Unicode MS"/>
          <w:color w:val="000000" w:themeColor="text1"/>
          <w:lang w:val="en-US"/>
        </w:rPr>
        <w:t xml:space="preserve"> </w:t>
      </w:r>
      <w:r>
        <w:rPr>
          <w:rFonts w:eastAsia="Arial Unicode MS"/>
          <w:color w:val="000000" w:themeColor="text1"/>
          <w:lang w:val="en-US"/>
        </w:rPr>
        <w:t>(</w:t>
      </w:r>
      <w:r w:rsidRPr="00DD7782">
        <w:rPr>
          <w:rFonts w:eastAsia="Arial Unicode MS"/>
          <w:color w:val="000000" w:themeColor="text1"/>
          <w:lang w:val="en-US"/>
        </w:rPr>
        <w:t>AD or FTD or VAD or DLB</w:t>
      </w:r>
      <w:r>
        <w:rPr>
          <w:rFonts w:eastAsia="Arial Unicode MS"/>
          <w:color w:val="000000" w:themeColor="text1"/>
          <w:lang w:val="en-US"/>
        </w:rPr>
        <w:t>).</w:t>
      </w:r>
      <w:proofErr w:type="spellStart"/>
      <w:r>
        <w:rPr>
          <w:rFonts w:eastAsia="Arial Unicode MS"/>
          <w:color w:val="000000" w:themeColor="text1"/>
          <w:lang w:val="en-US"/>
        </w:rPr>
        <w:t>mp</w:t>
      </w:r>
      <w:proofErr w:type="spellEnd"/>
      <w:r>
        <w:rPr>
          <w:rFonts w:eastAsia="Arial Unicode MS"/>
          <w:color w:val="000000" w:themeColor="text1"/>
          <w:lang w:val="en-US"/>
        </w:rPr>
        <w:t>.</w:t>
      </w:r>
    </w:p>
    <w:p w14:paraId="540F566D" w14:textId="77777777" w:rsidR="005E7E8E" w:rsidRPr="00DD7782" w:rsidRDefault="005E7E8E" w:rsidP="005E7E8E">
      <w:pPr>
        <w:spacing w:line="276" w:lineRule="auto"/>
        <w:rPr>
          <w:rFonts w:eastAsia="Arial Unicode MS"/>
          <w:color w:val="000000" w:themeColor="text1"/>
          <w:lang w:val="en-US"/>
        </w:rPr>
      </w:pPr>
      <w:r>
        <w:rPr>
          <w:rFonts w:eastAsia="Arial Unicode MS"/>
          <w:color w:val="000000" w:themeColor="text1"/>
          <w:lang w:val="en-US"/>
        </w:rPr>
        <w:t>12.  (</w:t>
      </w:r>
      <w:r w:rsidRPr="00DD7782">
        <w:rPr>
          <w:rFonts w:eastAsia="Arial Unicode MS"/>
          <w:color w:val="000000" w:themeColor="text1"/>
          <w:lang w:val="en-US"/>
        </w:rPr>
        <w:t>"mild cognitive impairment" or MCI).</w:t>
      </w:r>
      <w:proofErr w:type="spellStart"/>
      <w:r w:rsidRPr="00DD7782">
        <w:rPr>
          <w:rFonts w:eastAsia="Arial Unicode MS"/>
          <w:color w:val="000000" w:themeColor="text1"/>
          <w:lang w:val="en-US"/>
        </w:rPr>
        <w:t>mp</w:t>
      </w:r>
      <w:proofErr w:type="spellEnd"/>
      <w:r>
        <w:rPr>
          <w:rFonts w:eastAsia="Arial Unicode MS"/>
          <w:color w:val="000000" w:themeColor="text1"/>
          <w:lang w:val="en-US"/>
        </w:rPr>
        <w:t>.</w:t>
      </w:r>
    </w:p>
    <w:p w14:paraId="6B737FDE" w14:textId="77777777" w:rsidR="005E7E8E" w:rsidRPr="00DD7782" w:rsidRDefault="005E7E8E" w:rsidP="005E7E8E">
      <w:pPr>
        <w:spacing w:line="276" w:lineRule="auto"/>
        <w:rPr>
          <w:rFonts w:eastAsia="Arial Unicode MS"/>
          <w:color w:val="000000" w:themeColor="text1"/>
          <w:lang w:val="en-US"/>
        </w:rPr>
      </w:pPr>
      <w:r>
        <w:rPr>
          <w:rFonts w:eastAsia="Arial Unicode MS"/>
          <w:color w:val="000000" w:themeColor="text1"/>
          <w:lang w:val="en-US"/>
        </w:rPr>
        <w:t>13.</w:t>
      </w:r>
      <w:r w:rsidRPr="00DD7782">
        <w:rPr>
          <w:rFonts w:eastAsia="Arial Unicode MS"/>
          <w:color w:val="000000" w:themeColor="text1"/>
          <w:lang w:val="en-US"/>
        </w:rPr>
        <w:t xml:space="preserve"> exp dementia/ or exp </w:t>
      </w:r>
      <w:proofErr w:type="spellStart"/>
      <w:r w:rsidRPr="00DD7782">
        <w:rPr>
          <w:rFonts w:eastAsia="Arial Unicode MS"/>
          <w:color w:val="000000" w:themeColor="text1"/>
          <w:lang w:val="en-US"/>
        </w:rPr>
        <w:t>alzheimer</w:t>
      </w:r>
      <w:proofErr w:type="spellEnd"/>
      <w:r w:rsidRPr="00DD7782">
        <w:rPr>
          <w:rFonts w:eastAsia="Arial Unicode MS"/>
          <w:color w:val="000000" w:themeColor="text1"/>
          <w:lang w:val="en-US"/>
        </w:rPr>
        <w:t xml:space="preserve"> disease/ or exp dementia, vascular/ or exp Frontotemporal Dementia/ </w:t>
      </w:r>
    </w:p>
    <w:p w14:paraId="48FD538C" w14:textId="77777777" w:rsidR="005E7E8E" w:rsidRPr="00DD7782" w:rsidRDefault="005E7E8E" w:rsidP="005E7E8E">
      <w:pPr>
        <w:spacing w:line="276" w:lineRule="auto"/>
        <w:rPr>
          <w:rFonts w:eastAsia="Arial Unicode MS"/>
          <w:color w:val="000000" w:themeColor="text1"/>
          <w:lang w:val="en-US"/>
        </w:rPr>
      </w:pPr>
      <w:r>
        <w:rPr>
          <w:rFonts w:eastAsia="Arial Unicode MS"/>
          <w:color w:val="000000" w:themeColor="text1"/>
          <w:lang w:val="en-US"/>
        </w:rPr>
        <w:t>14.</w:t>
      </w:r>
      <w:r w:rsidRPr="00DD7782">
        <w:rPr>
          <w:rFonts w:eastAsia="Arial Unicode MS"/>
          <w:color w:val="000000" w:themeColor="text1"/>
          <w:lang w:val="en-US"/>
        </w:rPr>
        <w:t xml:space="preserve"> </w:t>
      </w:r>
      <w:r>
        <w:rPr>
          <w:rFonts w:eastAsia="Arial Unicode MS"/>
          <w:color w:val="000000" w:themeColor="text1"/>
          <w:lang w:val="en-US"/>
        </w:rPr>
        <w:t>9</w:t>
      </w:r>
      <w:r w:rsidRPr="00DD7782">
        <w:rPr>
          <w:rFonts w:eastAsia="Arial Unicode MS"/>
          <w:color w:val="000000" w:themeColor="text1"/>
          <w:lang w:val="en-US"/>
        </w:rPr>
        <w:t xml:space="preserve"> or </w:t>
      </w:r>
      <w:r>
        <w:rPr>
          <w:rFonts w:eastAsia="Arial Unicode MS"/>
          <w:color w:val="000000" w:themeColor="text1"/>
          <w:lang w:val="en-US"/>
        </w:rPr>
        <w:t>10 or 11 or 12 or 13</w:t>
      </w:r>
      <w:r w:rsidRPr="00DD7782">
        <w:rPr>
          <w:rFonts w:eastAsia="Arial Unicode MS"/>
          <w:color w:val="000000" w:themeColor="text1"/>
          <w:lang w:val="en-US"/>
        </w:rPr>
        <w:t xml:space="preserve"> </w:t>
      </w:r>
    </w:p>
    <w:p w14:paraId="397AEAEA" w14:textId="77777777" w:rsidR="005E7E8E" w:rsidRPr="00DD7782" w:rsidRDefault="005E7E8E" w:rsidP="005E7E8E">
      <w:pPr>
        <w:spacing w:line="276" w:lineRule="auto"/>
        <w:rPr>
          <w:rFonts w:eastAsia="Arial Unicode MS"/>
          <w:color w:val="000000" w:themeColor="text1"/>
          <w:lang w:val="en-US"/>
        </w:rPr>
      </w:pPr>
      <w:r>
        <w:rPr>
          <w:rFonts w:eastAsia="Arial Unicode MS"/>
          <w:color w:val="000000" w:themeColor="text1"/>
          <w:lang w:val="en-US"/>
        </w:rPr>
        <w:t>15. 8 and 14</w:t>
      </w:r>
      <w:r w:rsidRPr="00DD7782">
        <w:rPr>
          <w:rFonts w:eastAsia="Arial Unicode MS"/>
          <w:color w:val="000000" w:themeColor="text1"/>
          <w:lang w:val="en-US"/>
        </w:rPr>
        <w:t xml:space="preserve"> </w:t>
      </w:r>
    </w:p>
    <w:p w14:paraId="145B9948" w14:textId="442C45E6" w:rsidR="00727F3A" w:rsidRPr="0054515C" w:rsidRDefault="00727F3A" w:rsidP="00E473BE">
      <w:pPr>
        <w:widowControl w:val="0"/>
        <w:autoSpaceDE w:val="0"/>
        <w:autoSpaceDN w:val="0"/>
        <w:adjustRightInd w:val="0"/>
        <w:spacing w:line="480" w:lineRule="auto"/>
        <w:rPr>
          <w:color w:val="FF0000"/>
          <w:lang w:eastAsia="en-GB"/>
        </w:rPr>
      </w:pPr>
    </w:p>
    <w:p w14:paraId="1F7DEE92" w14:textId="77B23B85" w:rsidR="00727F3A" w:rsidRDefault="00727F3A" w:rsidP="008109F0">
      <w:pPr>
        <w:widowControl w:val="0"/>
        <w:autoSpaceDE w:val="0"/>
        <w:autoSpaceDN w:val="0"/>
        <w:adjustRightInd w:val="0"/>
        <w:spacing w:line="480" w:lineRule="auto"/>
        <w:ind w:left="-567" w:firstLine="567"/>
        <w:rPr>
          <w:lang w:eastAsia="en-GB"/>
        </w:rPr>
      </w:pPr>
    </w:p>
    <w:p w14:paraId="0BA24937" w14:textId="0C2CDBDE" w:rsidR="00727F3A" w:rsidRDefault="00727F3A" w:rsidP="008109F0">
      <w:pPr>
        <w:widowControl w:val="0"/>
        <w:autoSpaceDE w:val="0"/>
        <w:autoSpaceDN w:val="0"/>
        <w:adjustRightInd w:val="0"/>
        <w:spacing w:line="480" w:lineRule="auto"/>
        <w:ind w:left="-567" w:firstLine="567"/>
        <w:rPr>
          <w:lang w:eastAsia="en-GB"/>
        </w:rPr>
      </w:pPr>
    </w:p>
    <w:p w14:paraId="2FFB8F11" w14:textId="3CA31BD4" w:rsidR="00727F3A" w:rsidRDefault="00727F3A" w:rsidP="008109F0">
      <w:pPr>
        <w:widowControl w:val="0"/>
        <w:autoSpaceDE w:val="0"/>
        <w:autoSpaceDN w:val="0"/>
        <w:adjustRightInd w:val="0"/>
        <w:spacing w:line="480" w:lineRule="auto"/>
        <w:ind w:left="-567" w:firstLine="567"/>
        <w:rPr>
          <w:lang w:eastAsia="en-GB"/>
        </w:rPr>
      </w:pPr>
    </w:p>
    <w:p w14:paraId="586F6636" w14:textId="2F6F95AA" w:rsidR="00727F3A" w:rsidRDefault="00727F3A" w:rsidP="008109F0">
      <w:pPr>
        <w:widowControl w:val="0"/>
        <w:autoSpaceDE w:val="0"/>
        <w:autoSpaceDN w:val="0"/>
        <w:adjustRightInd w:val="0"/>
        <w:spacing w:line="480" w:lineRule="auto"/>
        <w:ind w:left="-567" w:firstLine="567"/>
        <w:rPr>
          <w:lang w:eastAsia="en-GB"/>
        </w:rPr>
      </w:pPr>
    </w:p>
    <w:p w14:paraId="66CD54FA" w14:textId="1936BDEE" w:rsidR="00727F3A" w:rsidRDefault="00727F3A" w:rsidP="008109F0">
      <w:pPr>
        <w:widowControl w:val="0"/>
        <w:autoSpaceDE w:val="0"/>
        <w:autoSpaceDN w:val="0"/>
        <w:adjustRightInd w:val="0"/>
        <w:spacing w:line="480" w:lineRule="auto"/>
        <w:ind w:left="-567" w:firstLine="567"/>
        <w:rPr>
          <w:lang w:eastAsia="en-GB"/>
        </w:rPr>
      </w:pPr>
    </w:p>
    <w:p w14:paraId="64211253" w14:textId="2BAD2C81" w:rsidR="00727F3A" w:rsidRDefault="00727F3A" w:rsidP="008109F0">
      <w:pPr>
        <w:widowControl w:val="0"/>
        <w:autoSpaceDE w:val="0"/>
        <w:autoSpaceDN w:val="0"/>
        <w:adjustRightInd w:val="0"/>
        <w:spacing w:line="480" w:lineRule="auto"/>
        <w:ind w:left="-567" w:firstLine="567"/>
        <w:rPr>
          <w:lang w:eastAsia="en-GB"/>
        </w:rPr>
      </w:pPr>
    </w:p>
    <w:p w14:paraId="2D910D42" w14:textId="78A40DB4" w:rsidR="00727F3A" w:rsidRDefault="00727F3A" w:rsidP="008109F0">
      <w:pPr>
        <w:widowControl w:val="0"/>
        <w:autoSpaceDE w:val="0"/>
        <w:autoSpaceDN w:val="0"/>
        <w:adjustRightInd w:val="0"/>
        <w:spacing w:line="480" w:lineRule="auto"/>
        <w:ind w:left="-567" w:firstLine="567"/>
        <w:rPr>
          <w:lang w:eastAsia="en-GB"/>
        </w:rPr>
      </w:pPr>
    </w:p>
    <w:p w14:paraId="48AEAE52" w14:textId="32277340" w:rsidR="00727F3A" w:rsidRDefault="00727F3A" w:rsidP="008109F0">
      <w:pPr>
        <w:widowControl w:val="0"/>
        <w:autoSpaceDE w:val="0"/>
        <w:autoSpaceDN w:val="0"/>
        <w:adjustRightInd w:val="0"/>
        <w:spacing w:line="480" w:lineRule="auto"/>
        <w:ind w:left="-567" w:firstLine="567"/>
        <w:rPr>
          <w:lang w:eastAsia="en-GB"/>
        </w:rPr>
      </w:pPr>
    </w:p>
    <w:p w14:paraId="2E7D3A57" w14:textId="77777777" w:rsidR="00AB53EA" w:rsidRDefault="00AB53EA" w:rsidP="008109F0">
      <w:pPr>
        <w:widowControl w:val="0"/>
        <w:autoSpaceDE w:val="0"/>
        <w:autoSpaceDN w:val="0"/>
        <w:adjustRightInd w:val="0"/>
        <w:spacing w:line="480" w:lineRule="auto"/>
        <w:ind w:left="-567" w:firstLine="567"/>
        <w:rPr>
          <w:lang w:eastAsia="en-GB"/>
        </w:rPr>
      </w:pPr>
    </w:p>
    <w:p w14:paraId="4AB3B95A" w14:textId="457139A3" w:rsidR="00727F3A" w:rsidRDefault="00727F3A" w:rsidP="008109F0">
      <w:pPr>
        <w:widowControl w:val="0"/>
        <w:autoSpaceDE w:val="0"/>
        <w:autoSpaceDN w:val="0"/>
        <w:adjustRightInd w:val="0"/>
        <w:spacing w:line="480" w:lineRule="auto"/>
        <w:ind w:left="-567" w:firstLine="567"/>
        <w:rPr>
          <w:lang w:eastAsia="en-GB"/>
        </w:rPr>
      </w:pPr>
    </w:p>
    <w:p w14:paraId="4BF906DA" w14:textId="154C45AC" w:rsidR="007B0065" w:rsidRDefault="007B0065" w:rsidP="007B0065">
      <w:pPr>
        <w:spacing w:line="276" w:lineRule="auto"/>
        <w:rPr>
          <w:rFonts w:eastAsia="Arial Unicode MS"/>
          <w:color w:val="000000" w:themeColor="text1"/>
          <w:lang w:val="en-US"/>
        </w:rPr>
      </w:pPr>
      <w:r>
        <w:rPr>
          <w:rFonts w:eastAsia="Arial Unicode MS"/>
          <w:color w:val="000000" w:themeColor="text1"/>
          <w:lang w:val="en-US"/>
        </w:rPr>
        <w:lastRenderedPageBreak/>
        <w:t>Table 1 Modified Newcastle-Ottawa Scoring scale assessing study quality</w:t>
      </w:r>
    </w:p>
    <w:p w14:paraId="49A844F3" w14:textId="77777777" w:rsidR="00ED5186" w:rsidRPr="007F4FAE" w:rsidRDefault="00ED5186" w:rsidP="007B0065">
      <w:pPr>
        <w:spacing w:line="276" w:lineRule="auto"/>
        <w:rPr>
          <w:rFonts w:eastAsia="Arial Unicode MS"/>
          <w:color w:val="000000" w:themeColor="text1"/>
          <w:lang w:val="en-US"/>
        </w:rPr>
      </w:pPr>
    </w:p>
    <w:tbl>
      <w:tblPr>
        <w:tblStyle w:val="TableGrid"/>
        <w:tblW w:w="5000" w:type="pct"/>
        <w:tblLook w:val="04A0" w:firstRow="1" w:lastRow="0" w:firstColumn="1" w:lastColumn="0" w:noHBand="0" w:noVBand="1"/>
      </w:tblPr>
      <w:tblGrid>
        <w:gridCol w:w="9064"/>
      </w:tblGrid>
      <w:tr w:rsidR="007B0065" w:rsidRPr="00DD7782" w14:paraId="35605C6B" w14:textId="77777777" w:rsidTr="00C179D1">
        <w:tc>
          <w:tcPr>
            <w:tcW w:w="5000" w:type="pct"/>
            <w:tcBorders>
              <w:left w:val="nil"/>
              <w:bottom w:val="nil"/>
              <w:right w:val="nil"/>
            </w:tcBorders>
          </w:tcPr>
          <w:p w14:paraId="2B88ACF7" w14:textId="77777777" w:rsidR="007B0065" w:rsidRPr="00FA4E68" w:rsidRDefault="007B0065" w:rsidP="00C179D1">
            <w:pPr>
              <w:pStyle w:val="NoSpacing"/>
              <w:spacing w:line="276" w:lineRule="auto"/>
              <w:rPr>
                <w:rFonts w:ascii="Times New Roman" w:hAnsi="Times New Roman" w:cs="Times New Roman"/>
                <w:b/>
                <w:color w:val="000000" w:themeColor="text1"/>
                <w:sz w:val="22"/>
                <w:szCs w:val="22"/>
                <w:lang w:val="en-GB"/>
              </w:rPr>
            </w:pPr>
            <w:r w:rsidRPr="00FA4E68">
              <w:rPr>
                <w:rFonts w:ascii="Times New Roman" w:hAnsi="Times New Roman" w:cs="Times New Roman"/>
                <w:b/>
                <w:color w:val="000000" w:themeColor="text1"/>
                <w:sz w:val="22"/>
                <w:szCs w:val="22"/>
                <w:lang w:val="en-GB"/>
              </w:rPr>
              <w:t>Selection</w:t>
            </w:r>
          </w:p>
        </w:tc>
      </w:tr>
      <w:tr w:rsidR="007B0065" w:rsidRPr="00DC2CFE" w14:paraId="6CFD6259" w14:textId="77777777" w:rsidTr="00C179D1">
        <w:tc>
          <w:tcPr>
            <w:tcW w:w="5000" w:type="pct"/>
            <w:tcBorders>
              <w:left w:val="nil"/>
              <w:bottom w:val="nil"/>
              <w:right w:val="nil"/>
            </w:tcBorders>
          </w:tcPr>
          <w:p w14:paraId="4CC642CC" w14:textId="77777777" w:rsidR="007B0065" w:rsidRPr="00DC2CFE" w:rsidRDefault="007B0065" w:rsidP="00C179D1">
            <w:pPr>
              <w:pStyle w:val="NoSpacing"/>
              <w:numPr>
                <w:ilvl w:val="0"/>
                <w:numId w:val="3"/>
              </w:numPr>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Representativeness of the exposed cohort</w:t>
            </w:r>
          </w:p>
        </w:tc>
      </w:tr>
      <w:tr w:rsidR="007B0065" w:rsidRPr="00DC2CFE" w14:paraId="4C67DFDE" w14:textId="77777777" w:rsidTr="00C179D1">
        <w:tc>
          <w:tcPr>
            <w:tcW w:w="5000" w:type="pct"/>
            <w:tcBorders>
              <w:top w:val="nil"/>
              <w:left w:val="nil"/>
              <w:bottom w:val="single" w:sz="4" w:space="0" w:color="auto"/>
              <w:right w:val="nil"/>
            </w:tcBorders>
          </w:tcPr>
          <w:p w14:paraId="4FB2F328"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 Truly representative (1 point)</w:t>
            </w:r>
          </w:p>
          <w:p w14:paraId="1F272511"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b) Somewhat representative (1 point)</w:t>
            </w:r>
          </w:p>
          <w:p w14:paraId="3BC5C75B"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c) Selected group of users (0 points)</w:t>
            </w:r>
          </w:p>
          <w:p w14:paraId="2D7DC128"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d) No description of the derivation of the cohort (0 points)</w:t>
            </w:r>
          </w:p>
        </w:tc>
      </w:tr>
      <w:tr w:rsidR="007B0065" w:rsidRPr="00DC2CFE" w14:paraId="5F8BA0D7" w14:textId="77777777" w:rsidTr="00C179D1">
        <w:tc>
          <w:tcPr>
            <w:tcW w:w="5000" w:type="pct"/>
            <w:tcBorders>
              <w:left w:val="nil"/>
              <w:bottom w:val="nil"/>
              <w:right w:val="nil"/>
            </w:tcBorders>
          </w:tcPr>
          <w:p w14:paraId="4804144D" w14:textId="77777777" w:rsidR="007B0065" w:rsidRPr="00DC2CFE" w:rsidRDefault="007B0065" w:rsidP="00C179D1">
            <w:pPr>
              <w:pStyle w:val="NoSpacing"/>
              <w:numPr>
                <w:ilvl w:val="0"/>
                <w:numId w:val="3"/>
              </w:numPr>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 xml:space="preserve">Selection of the non-exposed cohort </w:t>
            </w:r>
          </w:p>
        </w:tc>
      </w:tr>
      <w:tr w:rsidR="007B0065" w:rsidRPr="00DC2CFE" w14:paraId="4B6EC231" w14:textId="77777777" w:rsidTr="00C179D1">
        <w:tc>
          <w:tcPr>
            <w:tcW w:w="5000" w:type="pct"/>
            <w:tcBorders>
              <w:top w:val="nil"/>
              <w:left w:val="nil"/>
              <w:bottom w:val="single" w:sz="4" w:space="0" w:color="auto"/>
              <w:right w:val="nil"/>
            </w:tcBorders>
          </w:tcPr>
          <w:p w14:paraId="0AA65444"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 xml:space="preserve">a) Drawn from the same community as the exposed cohort (1 point) </w:t>
            </w:r>
          </w:p>
          <w:p w14:paraId="29FB675B"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b) Drawn from a different source (0 points)</w:t>
            </w:r>
          </w:p>
          <w:p w14:paraId="2CB8DFCF"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c) No description of the derivation of the non-exposed cohort (0 points)</w:t>
            </w:r>
          </w:p>
        </w:tc>
      </w:tr>
      <w:tr w:rsidR="007B0065" w:rsidRPr="00DC2CFE" w14:paraId="31559D32" w14:textId="77777777" w:rsidTr="00C179D1">
        <w:trPr>
          <w:trHeight w:val="81"/>
        </w:trPr>
        <w:tc>
          <w:tcPr>
            <w:tcW w:w="5000" w:type="pct"/>
            <w:tcBorders>
              <w:top w:val="single" w:sz="4" w:space="0" w:color="auto"/>
              <w:left w:val="nil"/>
              <w:bottom w:val="nil"/>
              <w:right w:val="nil"/>
            </w:tcBorders>
          </w:tcPr>
          <w:p w14:paraId="731CC244" w14:textId="77777777" w:rsidR="007B0065" w:rsidRPr="00DC2CFE" w:rsidRDefault="007B0065" w:rsidP="00C179D1">
            <w:pPr>
              <w:pStyle w:val="NoSpacing"/>
              <w:numPr>
                <w:ilvl w:val="0"/>
                <w:numId w:val="3"/>
              </w:numPr>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Ascertainment of exposure</w:t>
            </w:r>
          </w:p>
        </w:tc>
      </w:tr>
      <w:tr w:rsidR="007B0065" w:rsidRPr="00DC2CFE" w14:paraId="46BFDCA3" w14:textId="77777777" w:rsidTr="00C179D1">
        <w:tc>
          <w:tcPr>
            <w:tcW w:w="5000" w:type="pct"/>
            <w:tcBorders>
              <w:top w:val="nil"/>
              <w:left w:val="nil"/>
              <w:bottom w:val="single" w:sz="4" w:space="0" w:color="auto"/>
              <w:right w:val="nil"/>
            </w:tcBorders>
          </w:tcPr>
          <w:p w14:paraId="3C7C4F9F"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 Secure record (e.g., medical records) (1 point)</w:t>
            </w:r>
          </w:p>
          <w:p w14:paraId="0807530B"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b) Structured interview (1 point)</w:t>
            </w:r>
          </w:p>
          <w:p w14:paraId="1C097D07"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c) Written self-report (0 points)</w:t>
            </w:r>
          </w:p>
          <w:p w14:paraId="330E3994"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d) No description (0 points)</w:t>
            </w:r>
          </w:p>
          <w:p w14:paraId="43C3B9E8"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e) Other (0 points)</w:t>
            </w:r>
          </w:p>
        </w:tc>
      </w:tr>
      <w:tr w:rsidR="007B0065" w:rsidRPr="00DC2CFE" w14:paraId="555EBB54" w14:textId="77777777" w:rsidTr="00C179D1">
        <w:tc>
          <w:tcPr>
            <w:tcW w:w="5000" w:type="pct"/>
            <w:tcBorders>
              <w:top w:val="single" w:sz="4" w:space="0" w:color="auto"/>
              <w:left w:val="nil"/>
              <w:bottom w:val="nil"/>
              <w:right w:val="nil"/>
            </w:tcBorders>
          </w:tcPr>
          <w:p w14:paraId="49802D82" w14:textId="77777777" w:rsidR="007B0065" w:rsidRPr="00DC2CFE" w:rsidRDefault="007B0065" w:rsidP="00C179D1">
            <w:pPr>
              <w:pStyle w:val="NoSpacing"/>
              <w:numPr>
                <w:ilvl w:val="0"/>
                <w:numId w:val="3"/>
              </w:numPr>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Demonstration that outcome of interest was not present before follow-up</w:t>
            </w:r>
          </w:p>
        </w:tc>
      </w:tr>
      <w:tr w:rsidR="007B0065" w:rsidRPr="00DC2CFE" w14:paraId="04CA5DD3" w14:textId="77777777" w:rsidTr="00C179D1">
        <w:tc>
          <w:tcPr>
            <w:tcW w:w="5000" w:type="pct"/>
            <w:tcBorders>
              <w:top w:val="nil"/>
              <w:left w:val="nil"/>
              <w:bottom w:val="single" w:sz="4" w:space="0" w:color="auto"/>
              <w:right w:val="nil"/>
            </w:tcBorders>
          </w:tcPr>
          <w:p w14:paraId="2E455CF5"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 Yes (1 point)</w:t>
            </w:r>
          </w:p>
          <w:p w14:paraId="360BFBDF"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b) No (0 points)</w:t>
            </w:r>
          </w:p>
        </w:tc>
      </w:tr>
      <w:tr w:rsidR="007B0065" w:rsidRPr="00DC2CFE" w14:paraId="1D19D92F" w14:textId="77777777" w:rsidTr="00C179D1">
        <w:trPr>
          <w:trHeight w:val="81"/>
        </w:trPr>
        <w:tc>
          <w:tcPr>
            <w:tcW w:w="5000" w:type="pct"/>
            <w:tcBorders>
              <w:left w:val="nil"/>
              <w:bottom w:val="nil"/>
              <w:right w:val="nil"/>
            </w:tcBorders>
          </w:tcPr>
          <w:p w14:paraId="627E29E3" w14:textId="77777777" w:rsidR="007B0065" w:rsidRPr="00DC2CFE" w:rsidRDefault="007B0065" w:rsidP="00C179D1">
            <w:pPr>
              <w:pStyle w:val="NoSpacing"/>
              <w:spacing w:line="276" w:lineRule="auto"/>
              <w:rPr>
                <w:rFonts w:ascii="Times New Roman" w:hAnsi="Times New Roman" w:cs="Times New Roman"/>
                <w:b/>
                <w:color w:val="000000" w:themeColor="text1"/>
                <w:sz w:val="22"/>
                <w:szCs w:val="22"/>
                <w:lang w:val="en-GB"/>
              </w:rPr>
            </w:pPr>
            <w:r w:rsidRPr="00DC2CFE">
              <w:rPr>
                <w:rFonts w:ascii="Times New Roman" w:hAnsi="Times New Roman" w:cs="Times New Roman"/>
                <w:b/>
                <w:color w:val="000000" w:themeColor="text1"/>
                <w:sz w:val="22"/>
                <w:szCs w:val="22"/>
                <w:lang w:val="en-GB"/>
              </w:rPr>
              <w:t>Comparability and Design</w:t>
            </w:r>
            <w:r w:rsidRPr="00DC2CFE">
              <w:rPr>
                <w:rFonts w:ascii="Times New Roman" w:hAnsi="Times New Roman" w:cs="Times New Roman"/>
                <w:b/>
                <w:color w:val="000000" w:themeColor="text1"/>
                <w:sz w:val="22"/>
                <w:szCs w:val="22"/>
                <w:vertAlign w:val="superscript"/>
                <w:lang w:val="en-GB"/>
              </w:rPr>
              <w:t>†</w:t>
            </w:r>
          </w:p>
        </w:tc>
      </w:tr>
      <w:tr w:rsidR="007B0065" w:rsidRPr="00DC2CFE" w14:paraId="39C24331" w14:textId="77777777" w:rsidTr="00C179D1">
        <w:trPr>
          <w:trHeight w:val="81"/>
        </w:trPr>
        <w:tc>
          <w:tcPr>
            <w:tcW w:w="5000" w:type="pct"/>
            <w:tcBorders>
              <w:left w:val="nil"/>
              <w:bottom w:val="nil"/>
              <w:right w:val="nil"/>
            </w:tcBorders>
          </w:tcPr>
          <w:p w14:paraId="03ADB340" w14:textId="77777777" w:rsidR="007B0065" w:rsidRPr="00DC2CFE" w:rsidRDefault="007B0065" w:rsidP="00C179D1">
            <w:pPr>
              <w:pStyle w:val="NoSpacing"/>
              <w:numPr>
                <w:ilvl w:val="0"/>
                <w:numId w:val="11"/>
              </w:numPr>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 xml:space="preserve">Comparability of cohorts </w:t>
            </w:r>
            <w:proofErr w:type="gramStart"/>
            <w:r w:rsidRPr="00DC2CFE">
              <w:rPr>
                <w:rFonts w:ascii="Times New Roman" w:hAnsi="Times New Roman" w:cs="Times New Roman"/>
                <w:color w:val="000000" w:themeColor="text1"/>
                <w:sz w:val="22"/>
                <w:szCs w:val="22"/>
                <w:lang w:val="en-GB"/>
              </w:rPr>
              <w:t>on the basis of</w:t>
            </w:r>
            <w:proofErr w:type="gramEnd"/>
            <w:r w:rsidRPr="00DC2CFE">
              <w:rPr>
                <w:rFonts w:ascii="Times New Roman" w:hAnsi="Times New Roman" w:cs="Times New Roman"/>
                <w:color w:val="000000" w:themeColor="text1"/>
                <w:sz w:val="22"/>
                <w:szCs w:val="22"/>
                <w:lang w:val="en-GB"/>
              </w:rPr>
              <w:t xml:space="preserve"> the design or analysis</w:t>
            </w:r>
          </w:p>
        </w:tc>
      </w:tr>
      <w:tr w:rsidR="007B0065" w:rsidRPr="00DC2CFE" w14:paraId="5B4B5CF8" w14:textId="77777777" w:rsidTr="00C179D1">
        <w:trPr>
          <w:trHeight w:val="81"/>
        </w:trPr>
        <w:tc>
          <w:tcPr>
            <w:tcW w:w="5000" w:type="pct"/>
            <w:tcBorders>
              <w:top w:val="nil"/>
              <w:left w:val="nil"/>
              <w:bottom w:val="single" w:sz="4" w:space="0" w:color="auto"/>
              <w:right w:val="nil"/>
            </w:tcBorders>
          </w:tcPr>
          <w:p w14:paraId="6C987754"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 Study controls for two or more covariates (1 point)</w:t>
            </w:r>
          </w:p>
          <w:p w14:paraId="3026CB20"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b) Study controls for less than two covariates (0 points)</w:t>
            </w:r>
          </w:p>
        </w:tc>
      </w:tr>
      <w:tr w:rsidR="007B0065" w:rsidRPr="00DC2CFE" w14:paraId="6179EC3D" w14:textId="77777777" w:rsidTr="00C179D1">
        <w:trPr>
          <w:trHeight w:val="81"/>
        </w:trPr>
        <w:tc>
          <w:tcPr>
            <w:tcW w:w="5000" w:type="pct"/>
            <w:tcBorders>
              <w:left w:val="nil"/>
              <w:bottom w:val="nil"/>
              <w:right w:val="nil"/>
            </w:tcBorders>
          </w:tcPr>
          <w:p w14:paraId="753A87D5" w14:textId="77777777" w:rsidR="007B0065" w:rsidRPr="00DC2CFE" w:rsidRDefault="007B0065" w:rsidP="00C179D1">
            <w:pPr>
              <w:pStyle w:val="NoSpacing"/>
              <w:numPr>
                <w:ilvl w:val="0"/>
                <w:numId w:val="11"/>
              </w:numPr>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Longitudinal study design</w:t>
            </w:r>
          </w:p>
        </w:tc>
      </w:tr>
      <w:tr w:rsidR="007B0065" w:rsidRPr="00DC2CFE" w14:paraId="6625A26B" w14:textId="77777777" w:rsidTr="00C179D1">
        <w:tc>
          <w:tcPr>
            <w:tcW w:w="5000" w:type="pct"/>
            <w:tcBorders>
              <w:top w:val="nil"/>
              <w:left w:val="nil"/>
              <w:bottom w:val="single" w:sz="4" w:space="0" w:color="auto"/>
              <w:right w:val="nil"/>
            </w:tcBorders>
          </w:tcPr>
          <w:p w14:paraId="1D68D5BA"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 Prospective longitudinal/cohort study (1 point)</w:t>
            </w:r>
          </w:p>
          <w:p w14:paraId="59DBF3D2"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b) Retrospective longitudinal/cohort study (0 points)</w:t>
            </w:r>
          </w:p>
        </w:tc>
      </w:tr>
      <w:tr w:rsidR="007B0065" w:rsidRPr="00DC2CFE" w14:paraId="1A216F3B" w14:textId="77777777" w:rsidTr="00C179D1">
        <w:tc>
          <w:tcPr>
            <w:tcW w:w="5000" w:type="pct"/>
            <w:tcBorders>
              <w:top w:val="single" w:sz="4" w:space="0" w:color="auto"/>
              <w:left w:val="nil"/>
              <w:bottom w:val="single" w:sz="4" w:space="0" w:color="auto"/>
              <w:right w:val="nil"/>
            </w:tcBorders>
          </w:tcPr>
          <w:p w14:paraId="4CD4C8A0" w14:textId="77777777" w:rsidR="007B0065" w:rsidRPr="00DC2CFE" w:rsidRDefault="007B0065" w:rsidP="00C179D1">
            <w:pPr>
              <w:pStyle w:val="NoSpacing"/>
              <w:spacing w:line="276" w:lineRule="auto"/>
              <w:rPr>
                <w:rFonts w:ascii="Times New Roman" w:hAnsi="Times New Roman" w:cs="Times New Roman"/>
                <w:b/>
                <w:color w:val="000000" w:themeColor="text1"/>
                <w:sz w:val="22"/>
                <w:szCs w:val="22"/>
                <w:lang w:val="en-GB"/>
              </w:rPr>
            </w:pPr>
            <w:r w:rsidRPr="00DC2CFE">
              <w:rPr>
                <w:rFonts w:ascii="Times New Roman" w:hAnsi="Times New Roman" w:cs="Times New Roman"/>
                <w:b/>
                <w:color w:val="000000" w:themeColor="text1"/>
                <w:sz w:val="22"/>
                <w:szCs w:val="22"/>
                <w:lang w:val="en-GB"/>
              </w:rPr>
              <w:t>Outcome</w:t>
            </w:r>
          </w:p>
        </w:tc>
      </w:tr>
      <w:tr w:rsidR="007B0065" w:rsidRPr="00DC2CFE" w14:paraId="282AEB65" w14:textId="77777777" w:rsidTr="00C179D1">
        <w:tc>
          <w:tcPr>
            <w:tcW w:w="5000" w:type="pct"/>
            <w:tcBorders>
              <w:top w:val="single" w:sz="4" w:space="0" w:color="auto"/>
              <w:left w:val="nil"/>
              <w:bottom w:val="nil"/>
              <w:right w:val="nil"/>
            </w:tcBorders>
          </w:tcPr>
          <w:p w14:paraId="0FB4DA64" w14:textId="77777777" w:rsidR="007B0065" w:rsidRPr="00DC2CFE" w:rsidRDefault="007B0065" w:rsidP="00C179D1">
            <w:pPr>
              <w:pStyle w:val="NoSpacing"/>
              <w:numPr>
                <w:ilvl w:val="0"/>
                <w:numId w:val="12"/>
              </w:numPr>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Assessment of outcome</w:t>
            </w:r>
          </w:p>
        </w:tc>
      </w:tr>
      <w:tr w:rsidR="007B0065" w:rsidRPr="00DC2CFE" w14:paraId="71E08948" w14:textId="77777777" w:rsidTr="00C179D1">
        <w:tc>
          <w:tcPr>
            <w:tcW w:w="5000" w:type="pct"/>
            <w:tcBorders>
              <w:top w:val="nil"/>
              <w:left w:val="nil"/>
              <w:bottom w:val="single" w:sz="4" w:space="0" w:color="auto"/>
              <w:right w:val="nil"/>
            </w:tcBorders>
          </w:tcPr>
          <w:p w14:paraId="11955CF5"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 Independent blind assessment (1 point)</w:t>
            </w:r>
          </w:p>
          <w:p w14:paraId="2A1BDF9F"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b) Record linkage (1 point)</w:t>
            </w:r>
          </w:p>
          <w:p w14:paraId="0A5EAE95"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c) Self-report (0 points)</w:t>
            </w:r>
          </w:p>
          <w:p w14:paraId="6D5C391B"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d) No description (0 points)</w:t>
            </w:r>
          </w:p>
          <w:p w14:paraId="0607BCBE"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e) Other (0 points)</w:t>
            </w:r>
          </w:p>
        </w:tc>
      </w:tr>
      <w:tr w:rsidR="007B0065" w:rsidRPr="00DC2CFE" w14:paraId="5D265108" w14:textId="77777777" w:rsidTr="00C179D1">
        <w:tc>
          <w:tcPr>
            <w:tcW w:w="5000" w:type="pct"/>
            <w:tcBorders>
              <w:top w:val="single" w:sz="4" w:space="0" w:color="auto"/>
              <w:left w:val="nil"/>
              <w:bottom w:val="nil"/>
              <w:right w:val="nil"/>
            </w:tcBorders>
          </w:tcPr>
          <w:p w14:paraId="4DFF7B34" w14:textId="77777777" w:rsidR="007B0065" w:rsidRPr="00DC2CFE" w:rsidRDefault="007B0065" w:rsidP="00C179D1">
            <w:pPr>
              <w:pStyle w:val="NoSpacing"/>
              <w:numPr>
                <w:ilvl w:val="0"/>
                <w:numId w:val="12"/>
              </w:numPr>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Was follow-up long enough for outcome to occur (at least 5 years)</w:t>
            </w:r>
          </w:p>
        </w:tc>
      </w:tr>
      <w:tr w:rsidR="007B0065" w:rsidRPr="00DC2CFE" w14:paraId="69BCAEF3" w14:textId="77777777" w:rsidTr="00C179D1">
        <w:tc>
          <w:tcPr>
            <w:tcW w:w="5000" w:type="pct"/>
            <w:tcBorders>
              <w:top w:val="nil"/>
              <w:left w:val="nil"/>
              <w:bottom w:val="single" w:sz="4" w:space="0" w:color="auto"/>
              <w:right w:val="nil"/>
            </w:tcBorders>
          </w:tcPr>
          <w:p w14:paraId="21FF8343"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 Yes (1 point)</w:t>
            </w:r>
          </w:p>
          <w:p w14:paraId="625B75A2"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b) No (0 points)</w:t>
            </w:r>
          </w:p>
        </w:tc>
      </w:tr>
      <w:tr w:rsidR="007B0065" w:rsidRPr="00DC2CFE" w14:paraId="750D647E" w14:textId="77777777" w:rsidTr="00C179D1">
        <w:tc>
          <w:tcPr>
            <w:tcW w:w="5000" w:type="pct"/>
            <w:tcBorders>
              <w:top w:val="single" w:sz="4" w:space="0" w:color="auto"/>
              <w:left w:val="nil"/>
              <w:bottom w:val="nil"/>
              <w:right w:val="nil"/>
            </w:tcBorders>
          </w:tcPr>
          <w:p w14:paraId="06909E16" w14:textId="77777777" w:rsidR="007B0065" w:rsidRPr="00DC2CFE" w:rsidRDefault="007B0065" w:rsidP="00C179D1">
            <w:pPr>
              <w:pStyle w:val="NoSpacing"/>
              <w:numPr>
                <w:ilvl w:val="0"/>
                <w:numId w:val="12"/>
              </w:numPr>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Adequacy of follow-up of cohorts</w:t>
            </w:r>
          </w:p>
        </w:tc>
      </w:tr>
      <w:tr w:rsidR="007B0065" w:rsidRPr="00DC2CFE" w14:paraId="56F1EF84" w14:textId="77777777" w:rsidTr="00C179D1">
        <w:tc>
          <w:tcPr>
            <w:tcW w:w="5000" w:type="pct"/>
            <w:tcBorders>
              <w:top w:val="nil"/>
              <w:left w:val="nil"/>
              <w:right w:val="nil"/>
            </w:tcBorders>
          </w:tcPr>
          <w:p w14:paraId="1DD51FF3" w14:textId="621A8262" w:rsidR="007B0065" w:rsidRPr="00DC2CFE" w:rsidRDefault="00B52C8D" w:rsidP="00C179D1">
            <w:pPr>
              <w:pStyle w:val="NoSpacing"/>
              <w:spacing w:line="276" w:lineRule="auto"/>
              <w:rPr>
                <w:rFonts w:ascii="Times New Roman" w:hAnsi="Times New Roman" w:cs="Times New Roman"/>
                <w:color w:val="000000" w:themeColor="text1"/>
                <w:sz w:val="22"/>
                <w:szCs w:val="22"/>
                <w:lang w:val="en-GB"/>
              </w:rPr>
            </w:pPr>
            <w:r>
              <w:rPr>
                <w:rFonts w:ascii="Times New Roman" w:hAnsi="Times New Roman" w:cs="Times New Roman"/>
                <w:color w:val="000000" w:themeColor="text1"/>
                <w:sz w:val="22"/>
                <w:szCs w:val="22"/>
                <w:lang w:val="en-GB"/>
              </w:rPr>
              <w:t>a) Complete follow-up –</w:t>
            </w:r>
            <w:r w:rsidR="00F85170">
              <w:rPr>
                <w:rFonts w:ascii="Times New Roman" w:hAnsi="Times New Roman" w:cs="Times New Roman"/>
                <w:color w:val="000000" w:themeColor="text1"/>
                <w:sz w:val="22"/>
                <w:szCs w:val="22"/>
                <w:lang w:val="en-GB"/>
              </w:rPr>
              <w:t xml:space="preserve"> </w:t>
            </w:r>
            <w:r w:rsidR="007B0065" w:rsidRPr="00DC2CFE">
              <w:rPr>
                <w:rFonts w:ascii="Times New Roman" w:hAnsi="Times New Roman" w:cs="Times New Roman"/>
                <w:color w:val="000000" w:themeColor="text1"/>
                <w:sz w:val="22"/>
                <w:szCs w:val="22"/>
                <w:lang w:val="en-GB"/>
              </w:rPr>
              <w:t xml:space="preserve">all subjects accounted for (1 point) </w:t>
            </w:r>
          </w:p>
          <w:p w14:paraId="14376F98" w14:textId="046DBA65" w:rsidR="007B0065" w:rsidRPr="00DC2CFE" w:rsidRDefault="007B0065" w:rsidP="00C179D1">
            <w:pPr>
              <w:pStyle w:val="NoSpacing"/>
              <w:spacing w:line="276" w:lineRule="auto"/>
              <w:ind w:left="746" w:firstLine="0"/>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b) Subjects lost to follow-up unlikely to introduce bias – number lost less than or equal to 20%, or description provided for those lost (1 point)</w:t>
            </w:r>
          </w:p>
          <w:p w14:paraId="2DC0C42E"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c) Follow-up rate less than 80% and no description of those lost (0 points)</w:t>
            </w:r>
          </w:p>
          <w:p w14:paraId="5732E7C2" w14:textId="77777777" w:rsidR="007B0065" w:rsidRPr="00DC2CFE" w:rsidRDefault="007B0065" w:rsidP="00C179D1">
            <w:pPr>
              <w:pStyle w:val="NoSpacing"/>
              <w:spacing w:line="276" w:lineRule="auto"/>
              <w:rPr>
                <w:rFonts w:ascii="Times New Roman" w:hAnsi="Times New Roman" w:cs="Times New Roman"/>
                <w:color w:val="000000" w:themeColor="text1"/>
                <w:sz w:val="22"/>
                <w:szCs w:val="22"/>
                <w:lang w:val="en-GB"/>
              </w:rPr>
            </w:pPr>
            <w:r w:rsidRPr="00DC2CFE">
              <w:rPr>
                <w:rFonts w:ascii="Times New Roman" w:hAnsi="Times New Roman" w:cs="Times New Roman"/>
                <w:color w:val="000000" w:themeColor="text1"/>
                <w:sz w:val="22"/>
                <w:szCs w:val="22"/>
                <w:lang w:val="en-GB"/>
              </w:rPr>
              <w:t>d) No statement (0 points)</w:t>
            </w:r>
          </w:p>
        </w:tc>
      </w:tr>
    </w:tbl>
    <w:p w14:paraId="02F40329" w14:textId="26A1FD1C" w:rsidR="007B0065" w:rsidRDefault="007B0065" w:rsidP="00325055">
      <w:pPr>
        <w:spacing w:line="276" w:lineRule="auto"/>
        <w:rPr>
          <w:color w:val="000000" w:themeColor="text1"/>
          <w:sz w:val="20"/>
          <w:szCs w:val="20"/>
        </w:rPr>
      </w:pPr>
      <w:r w:rsidRPr="008D76C6">
        <w:rPr>
          <w:i/>
          <w:color w:val="000000" w:themeColor="text1"/>
          <w:sz w:val="20"/>
          <w:szCs w:val="20"/>
          <w:lang w:val="en-US"/>
        </w:rPr>
        <w:t xml:space="preserve">Note: </w:t>
      </w:r>
      <w:r w:rsidRPr="00FF3BC5">
        <w:rPr>
          <w:color w:val="000000" w:themeColor="text1"/>
          <w:sz w:val="20"/>
          <w:szCs w:val="20"/>
          <w:lang w:val="en-US"/>
        </w:rPr>
        <w:t>Good: 3 or 4 points in selection domain AND 1 or 2 points in comparability domain AND 2 or 3 points in outcome domain; fair: 2 points in selection domain AND 1 or 2 points in comparability domain AND 2 or 3 points in outcome domain; poor: 0 or 1 point in selection domain OR 0 points in comparability domain OR 0 or 1 points in outcome domain</w:t>
      </w:r>
      <w:r w:rsidR="00325055" w:rsidRPr="00FF3BC5">
        <w:rPr>
          <w:color w:val="000000" w:themeColor="text1"/>
          <w:sz w:val="20"/>
          <w:szCs w:val="20"/>
          <w:lang w:val="en-US"/>
        </w:rPr>
        <w:t xml:space="preserve">; </w:t>
      </w:r>
      <w:r w:rsidRPr="00FF3BC5">
        <w:rPr>
          <w:color w:val="000000" w:themeColor="text1"/>
          <w:sz w:val="20"/>
          <w:szCs w:val="20"/>
          <w:vertAlign w:val="superscript"/>
        </w:rPr>
        <w:t>†</w:t>
      </w:r>
      <w:r w:rsidRPr="00FF3BC5">
        <w:rPr>
          <w:color w:val="000000" w:themeColor="text1"/>
          <w:sz w:val="20"/>
          <w:szCs w:val="20"/>
        </w:rPr>
        <w:t>Modified for the systematic review</w:t>
      </w:r>
    </w:p>
    <w:p w14:paraId="48139E0D" w14:textId="1C915617" w:rsidR="002C3C0C" w:rsidRDefault="002C3C0C" w:rsidP="007B0065">
      <w:pPr>
        <w:pStyle w:val="NoSpacing"/>
        <w:spacing w:line="276" w:lineRule="auto"/>
        <w:rPr>
          <w:rFonts w:ascii="Times New Roman" w:hAnsi="Times New Roman" w:cs="Times New Roman"/>
          <w:color w:val="000000" w:themeColor="text1"/>
          <w:sz w:val="20"/>
          <w:szCs w:val="20"/>
        </w:rPr>
      </w:pPr>
    </w:p>
    <w:p w14:paraId="0EA06F73" w14:textId="77777777" w:rsidR="002C3C0C" w:rsidRDefault="002C3C0C" w:rsidP="007B0065">
      <w:pPr>
        <w:pStyle w:val="NoSpacing"/>
        <w:spacing w:line="276" w:lineRule="auto"/>
        <w:rPr>
          <w:rFonts w:ascii="Times New Roman" w:hAnsi="Times New Roman" w:cs="Times New Roman"/>
          <w:color w:val="000000" w:themeColor="text1"/>
          <w:sz w:val="20"/>
          <w:szCs w:val="20"/>
        </w:rPr>
        <w:sectPr w:rsidR="002C3C0C" w:rsidSect="002E442A">
          <w:headerReference w:type="even" r:id="rId8"/>
          <w:headerReference w:type="default" r:id="rId9"/>
          <w:pgSz w:w="11900" w:h="16840"/>
          <w:pgMar w:top="680" w:right="1418" w:bottom="1418" w:left="1418" w:header="709" w:footer="709" w:gutter="0"/>
          <w:cols w:space="708"/>
          <w:docGrid w:linePitch="360"/>
        </w:sectPr>
      </w:pPr>
    </w:p>
    <w:p w14:paraId="7E598854" w14:textId="1BEBAF20" w:rsidR="00910D06" w:rsidRDefault="00910D06" w:rsidP="00910D06">
      <w:pPr>
        <w:spacing w:line="276" w:lineRule="auto"/>
        <w:outlineLvl w:val="0"/>
        <w:rPr>
          <w:color w:val="000000" w:themeColor="text1"/>
          <w:lang w:val="en-US"/>
        </w:rPr>
      </w:pPr>
      <w:r>
        <w:rPr>
          <w:color w:val="000000" w:themeColor="text1"/>
          <w:lang w:val="en-US"/>
        </w:rPr>
        <w:lastRenderedPageBreak/>
        <w:t xml:space="preserve">Table </w:t>
      </w:r>
      <w:r w:rsidR="00726430">
        <w:rPr>
          <w:color w:val="000000" w:themeColor="text1"/>
          <w:lang w:val="en-US"/>
        </w:rPr>
        <w:t>2</w:t>
      </w:r>
      <w:r>
        <w:rPr>
          <w:color w:val="000000" w:themeColor="text1"/>
          <w:lang w:val="en-US"/>
        </w:rPr>
        <w:t xml:space="preserve"> Excluded studies</w:t>
      </w:r>
      <w:r w:rsidRPr="00FC4677">
        <w:rPr>
          <w:color w:val="000000" w:themeColor="text1"/>
          <w:lang w:val="en-US"/>
        </w:rPr>
        <w:t xml:space="preserve"> with reasons</w:t>
      </w:r>
    </w:p>
    <w:p w14:paraId="4BCFFFFE" w14:textId="77777777" w:rsidR="00910D06" w:rsidRPr="00DD7782" w:rsidRDefault="00910D06" w:rsidP="00910D06">
      <w:pPr>
        <w:spacing w:line="276" w:lineRule="auto"/>
        <w:outlineLvl w:val="0"/>
        <w:rPr>
          <w:i/>
          <w:color w:val="000000" w:themeColor="text1"/>
          <w:lang w:val="en-US"/>
        </w:rPr>
      </w:pPr>
    </w:p>
    <w:tbl>
      <w:tblPr>
        <w:tblStyle w:val="TableGrid"/>
        <w:tblW w:w="13892" w:type="dxa"/>
        <w:tblBorders>
          <w:left w:val="none" w:sz="0" w:space="0" w:color="auto"/>
          <w:right w:val="none" w:sz="0" w:space="0" w:color="auto"/>
          <w:insideV w:val="none" w:sz="0" w:space="0" w:color="auto"/>
        </w:tblBorders>
        <w:tblLook w:val="04A0" w:firstRow="1" w:lastRow="0" w:firstColumn="1" w:lastColumn="0" w:noHBand="0" w:noVBand="1"/>
      </w:tblPr>
      <w:tblGrid>
        <w:gridCol w:w="2552"/>
        <w:gridCol w:w="11340"/>
      </w:tblGrid>
      <w:tr w:rsidR="00910D06" w:rsidRPr="00074213" w14:paraId="184D9831" w14:textId="77777777" w:rsidTr="00C179D1">
        <w:trPr>
          <w:tblHeader/>
        </w:trPr>
        <w:tc>
          <w:tcPr>
            <w:tcW w:w="2552" w:type="dxa"/>
            <w:tcBorders>
              <w:bottom w:val="single" w:sz="4" w:space="0" w:color="auto"/>
            </w:tcBorders>
            <w:shd w:val="clear" w:color="auto" w:fill="auto"/>
          </w:tcPr>
          <w:p w14:paraId="059C8852" w14:textId="77777777" w:rsidR="00910D06" w:rsidRPr="003151E2" w:rsidRDefault="00910D06" w:rsidP="00C179D1">
            <w:pPr>
              <w:spacing w:line="276" w:lineRule="auto"/>
              <w:ind w:firstLine="0"/>
              <w:rPr>
                <w:color w:val="000000" w:themeColor="text1"/>
                <w:sz w:val="22"/>
                <w:szCs w:val="22"/>
              </w:rPr>
            </w:pPr>
            <w:r w:rsidRPr="003151E2">
              <w:rPr>
                <w:color w:val="000000" w:themeColor="text1"/>
                <w:sz w:val="22"/>
                <w:szCs w:val="22"/>
              </w:rPr>
              <w:t>Study</w:t>
            </w:r>
          </w:p>
        </w:tc>
        <w:tc>
          <w:tcPr>
            <w:tcW w:w="11340" w:type="dxa"/>
            <w:tcBorders>
              <w:bottom w:val="single" w:sz="4" w:space="0" w:color="auto"/>
            </w:tcBorders>
            <w:shd w:val="clear" w:color="auto" w:fill="auto"/>
          </w:tcPr>
          <w:p w14:paraId="61266B7B" w14:textId="77777777" w:rsidR="00910D06" w:rsidRDefault="00910D06" w:rsidP="00C179D1">
            <w:pPr>
              <w:spacing w:line="276" w:lineRule="auto"/>
              <w:ind w:firstLine="0"/>
              <w:rPr>
                <w:color w:val="000000" w:themeColor="text1"/>
                <w:sz w:val="22"/>
                <w:szCs w:val="22"/>
              </w:rPr>
            </w:pPr>
            <w:r w:rsidRPr="003151E2">
              <w:rPr>
                <w:color w:val="000000" w:themeColor="text1"/>
                <w:sz w:val="22"/>
                <w:szCs w:val="22"/>
              </w:rPr>
              <w:t>Reasons of exclusion</w:t>
            </w:r>
          </w:p>
          <w:p w14:paraId="19F648A5" w14:textId="77777777" w:rsidR="00910D06" w:rsidRPr="003151E2" w:rsidRDefault="00910D06" w:rsidP="00C179D1">
            <w:pPr>
              <w:spacing w:line="276" w:lineRule="auto"/>
              <w:ind w:firstLine="0"/>
              <w:rPr>
                <w:color w:val="000000" w:themeColor="text1"/>
                <w:sz w:val="22"/>
                <w:szCs w:val="22"/>
              </w:rPr>
            </w:pPr>
          </w:p>
        </w:tc>
      </w:tr>
      <w:tr w:rsidR="00910D06" w:rsidRPr="00074213" w14:paraId="11A55658" w14:textId="77777777" w:rsidTr="00C179D1">
        <w:trPr>
          <w:trHeight w:val="492"/>
        </w:trPr>
        <w:tc>
          <w:tcPr>
            <w:tcW w:w="2552" w:type="dxa"/>
            <w:tcBorders>
              <w:bottom w:val="nil"/>
            </w:tcBorders>
            <w:shd w:val="clear" w:color="auto" w:fill="auto"/>
          </w:tcPr>
          <w:p w14:paraId="73D456C1" w14:textId="77777777" w:rsidR="00910D06" w:rsidRPr="005B25D2" w:rsidRDefault="00910D06" w:rsidP="00C179D1">
            <w:pPr>
              <w:spacing w:line="276" w:lineRule="auto"/>
              <w:ind w:firstLine="0"/>
              <w:rPr>
                <w:color w:val="000000" w:themeColor="text1"/>
                <w:sz w:val="22"/>
                <w:szCs w:val="22"/>
              </w:rPr>
            </w:pPr>
            <w:r w:rsidRPr="005B25D2">
              <w:rPr>
                <w:color w:val="000000" w:themeColor="text1"/>
                <w:sz w:val="22"/>
                <w:szCs w:val="22"/>
              </w:rPr>
              <w:t xml:space="preserve">Chao (2017) </w:t>
            </w:r>
          </w:p>
        </w:tc>
        <w:tc>
          <w:tcPr>
            <w:tcW w:w="11340" w:type="dxa"/>
            <w:tcBorders>
              <w:bottom w:val="nil"/>
            </w:tcBorders>
            <w:shd w:val="clear" w:color="auto" w:fill="auto"/>
          </w:tcPr>
          <w:p w14:paraId="34112AD7" w14:textId="77777777" w:rsidR="00910D06" w:rsidRPr="003151E2" w:rsidRDefault="00910D06" w:rsidP="00C179D1">
            <w:pPr>
              <w:spacing w:line="276" w:lineRule="auto"/>
              <w:ind w:firstLine="0"/>
              <w:contextualSpacing/>
              <w:rPr>
                <w:color w:val="000000" w:themeColor="text1"/>
                <w:sz w:val="22"/>
                <w:szCs w:val="22"/>
                <w:lang w:val="en-US"/>
              </w:rPr>
            </w:pPr>
            <w:r w:rsidRPr="003151E2">
              <w:rPr>
                <w:color w:val="000000" w:themeColor="text1"/>
                <w:sz w:val="22"/>
                <w:szCs w:val="22"/>
                <w:lang w:val="en-US"/>
              </w:rPr>
              <w:t xml:space="preserve">Cross-sectional study </w:t>
            </w:r>
            <w:r>
              <w:rPr>
                <w:color w:val="000000" w:themeColor="text1"/>
                <w:sz w:val="22"/>
                <w:szCs w:val="22"/>
                <w:lang w:val="en-US"/>
              </w:rPr>
              <w:t xml:space="preserve">on </w:t>
            </w:r>
            <w:r w:rsidRPr="003151E2">
              <w:rPr>
                <w:color w:val="000000" w:themeColor="text1"/>
                <w:sz w:val="22"/>
                <w:szCs w:val="22"/>
                <w:lang w:val="en-US"/>
              </w:rPr>
              <w:t xml:space="preserve">memory impairment in veterans </w:t>
            </w:r>
            <w:r>
              <w:rPr>
                <w:color w:val="000000" w:themeColor="text1"/>
                <w:sz w:val="22"/>
                <w:szCs w:val="22"/>
                <w:lang w:val="en-US"/>
              </w:rPr>
              <w:t xml:space="preserve">of </w:t>
            </w:r>
            <w:r w:rsidRPr="003151E2">
              <w:rPr>
                <w:color w:val="000000" w:themeColor="text1"/>
                <w:sz w:val="22"/>
                <w:szCs w:val="22"/>
                <w:lang w:val="en-US"/>
              </w:rPr>
              <w:t>Gulf War</w:t>
            </w:r>
            <w:r>
              <w:rPr>
                <w:color w:val="000000" w:themeColor="text1"/>
                <w:sz w:val="22"/>
                <w:szCs w:val="22"/>
                <w:lang w:val="en-US"/>
              </w:rPr>
              <w:t>; d</w:t>
            </w:r>
            <w:r w:rsidRPr="003151E2">
              <w:rPr>
                <w:color w:val="000000" w:themeColor="text1"/>
                <w:sz w:val="22"/>
                <w:szCs w:val="22"/>
                <w:lang w:val="en-US"/>
              </w:rPr>
              <w:t xml:space="preserve">ementia not diagnosed </w:t>
            </w:r>
            <w:r>
              <w:rPr>
                <w:color w:val="000000" w:themeColor="text1"/>
                <w:sz w:val="22"/>
                <w:szCs w:val="22"/>
                <w:lang w:val="en-US"/>
              </w:rPr>
              <w:t xml:space="preserve">based on </w:t>
            </w:r>
            <w:r w:rsidRPr="003151E2">
              <w:rPr>
                <w:color w:val="000000" w:themeColor="text1"/>
                <w:sz w:val="22"/>
                <w:szCs w:val="22"/>
                <w:lang w:val="en-US"/>
              </w:rPr>
              <w:t xml:space="preserve">established clinical criteria. </w:t>
            </w:r>
          </w:p>
        </w:tc>
      </w:tr>
      <w:tr w:rsidR="00910D06" w:rsidRPr="00074213" w14:paraId="49FCF5D1" w14:textId="77777777" w:rsidTr="00C179D1">
        <w:trPr>
          <w:trHeight w:val="492"/>
        </w:trPr>
        <w:tc>
          <w:tcPr>
            <w:tcW w:w="2552" w:type="dxa"/>
            <w:tcBorders>
              <w:top w:val="nil"/>
              <w:bottom w:val="nil"/>
            </w:tcBorders>
            <w:shd w:val="clear" w:color="auto" w:fill="auto"/>
          </w:tcPr>
          <w:p w14:paraId="0EEE3873" w14:textId="77777777" w:rsidR="00910D06" w:rsidRPr="005B25D2" w:rsidRDefault="00910D06" w:rsidP="00C179D1">
            <w:pPr>
              <w:spacing w:line="276" w:lineRule="auto"/>
              <w:ind w:firstLine="0"/>
              <w:rPr>
                <w:color w:val="000000" w:themeColor="text1"/>
                <w:sz w:val="22"/>
                <w:szCs w:val="22"/>
              </w:rPr>
            </w:pPr>
            <w:r w:rsidRPr="005B25D2">
              <w:rPr>
                <w:color w:val="000000" w:themeColor="text1"/>
                <w:sz w:val="22"/>
                <w:szCs w:val="22"/>
              </w:rPr>
              <w:t xml:space="preserve">Charles et al. (2006) </w:t>
            </w:r>
          </w:p>
        </w:tc>
        <w:tc>
          <w:tcPr>
            <w:tcW w:w="11340" w:type="dxa"/>
            <w:tcBorders>
              <w:top w:val="nil"/>
              <w:bottom w:val="nil"/>
            </w:tcBorders>
            <w:shd w:val="clear" w:color="auto" w:fill="auto"/>
          </w:tcPr>
          <w:p w14:paraId="63F85C62" w14:textId="77777777" w:rsidR="00910D06" w:rsidRPr="003151E2" w:rsidRDefault="00910D06" w:rsidP="00C179D1">
            <w:pPr>
              <w:spacing w:line="276" w:lineRule="auto"/>
              <w:ind w:firstLine="0"/>
              <w:rPr>
                <w:color w:val="000000" w:themeColor="text1"/>
                <w:sz w:val="22"/>
                <w:szCs w:val="22"/>
              </w:rPr>
            </w:pPr>
            <w:r w:rsidRPr="003151E2">
              <w:rPr>
                <w:color w:val="000000" w:themeColor="text1"/>
                <w:sz w:val="22"/>
                <w:szCs w:val="22"/>
                <w:lang w:val="en-US"/>
              </w:rPr>
              <w:t xml:space="preserve">Retrospective study </w:t>
            </w:r>
            <w:r>
              <w:rPr>
                <w:color w:val="000000" w:themeColor="text1"/>
                <w:sz w:val="22"/>
                <w:szCs w:val="22"/>
                <w:lang w:val="en-US"/>
              </w:rPr>
              <w:t xml:space="preserve">on </w:t>
            </w:r>
            <w:r w:rsidRPr="003151E2">
              <w:rPr>
                <w:color w:val="000000" w:themeColor="text1"/>
                <w:sz w:val="22"/>
                <w:szCs w:val="22"/>
                <w:lang w:val="en-US"/>
              </w:rPr>
              <w:t>life traumatisms preceding dementia</w:t>
            </w:r>
            <w:r>
              <w:rPr>
                <w:color w:val="000000" w:themeColor="text1"/>
                <w:sz w:val="22"/>
                <w:szCs w:val="22"/>
                <w:lang w:val="en-US"/>
              </w:rPr>
              <w:t xml:space="preserve">; </w:t>
            </w:r>
            <w:r w:rsidRPr="003151E2">
              <w:rPr>
                <w:color w:val="000000" w:themeColor="text1"/>
                <w:sz w:val="22"/>
                <w:szCs w:val="22"/>
              </w:rPr>
              <w:t xml:space="preserve">PTSD symptoms not assessed or diagnosed. </w:t>
            </w:r>
          </w:p>
        </w:tc>
      </w:tr>
      <w:tr w:rsidR="00910D06" w:rsidRPr="00074213" w14:paraId="107EDFD3" w14:textId="77777777" w:rsidTr="00C179D1">
        <w:trPr>
          <w:trHeight w:val="279"/>
        </w:trPr>
        <w:tc>
          <w:tcPr>
            <w:tcW w:w="2552" w:type="dxa"/>
            <w:tcBorders>
              <w:top w:val="nil"/>
              <w:bottom w:val="nil"/>
            </w:tcBorders>
            <w:shd w:val="clear" w:color="auto" w:fill="auto"/>
          </w:tcPr>
          <w:p w14:paraId="086F2114" w14:textId="77777777" w:rsidR="00910D06" w:rsidRPr="005B25D2" w:rsidRDefault="00910D06" w:rsidP="00C179D1">
            <w:pPr>
              <w:spacing w:line="276" w:lineRule="auto"/>
              <w:ind w:firstLine="0"/>
              <w:rPr>
                <w:color w:val="000000" w:themeColor="text1"/>
                <w:sz w:val="22"/>
                <w:szCs w:val="22"/>
              </w:rPr>
            </w:pPr>
            <w:r w:rsidRPr="005B25D2">
              <w:rPr>
                <w:color w:val="000000" w:themeColor="text1"/>
                <w:sz w:val="22"/>
                <w:szCs w:val="22"/>
              </w:rPr>
              <w:t xml:space="preserve">Cho et al. (2016) </w:t>
            </w:r>
          </w:p>
        </w:tc>
        <w:tc>
          <w:tcPr>
            <w:tcW w:w="11340" w:type="dxa"/>
            <w:tcBorders>
              <w:top w:val="nil"/>
              <w:bottom w:val="nil"/>
            </w:tcBorders>
            <w:shd w:val="clear" w:color="auto" w:fill="auto"/>
          </w:tcPr>
          <w:p w14:paraId="2A54C10D" w14:textId="77777777" w:rsidR="00910D06" w:rsidRPr="003151E2" w:rsidRDefault="00910D06" w:rsidP="00C179D1">
            <w:pPr>
              <w:tabs>
                <w:tab w:val="left" w:pos="429"/>
              </w:tabs>
              <w:spacing w:line="276" w:lineRule="auto"/>
              <w:ind w:firstLine="0"/>
              <w:rPr>
                <w:color w:val="000000" w:themeColor="text1"/>
                <w:sz w:val="22"/>
                <w:szCs w:val="22"/>
              </w:rPr>
            </w:pPr>
            <w:r w:rsidRPr="003151E2">
              <w:rPr>
                <w:color w:val="000000" w:themeColor="text1"/>
                <w:sz w:val="22"/>
                <w:szCs w:val="22"/>
                <w:lang w:val="en-US"/>
              </w:rPr>
              <w:t xml:space="preserve">Retrospective study </w:t>
            </w:r>
            <w:r>
              <w:rPr>
                <w:color w:val="000000" w:themeColor="text1"/>
                <w:sz w:val="22"/>
                <w:szCs w:val="22"/>
                <w:lang w:val="en-US"/>
              </w:rPr>
              <w:t xml:space="preserve">on </w:t>
            </w:r>
            <w:r w:rsidRPr="003151E2">
              <w:rPr>
                <w:color w:val="000000" w:themeColor="text1"/>
                <w:sz w:val="22"/>
                <w:szCs w:val="22"/>
                <w:lang w:val="en-US"/>
              </w:rPr>
              <w:t>protective and risk factors for mortality in old veterans</w:t>
            </w:r>
            <w:r>
              <w:rPr>
                <w:color w:val="000000" w:themeColor="text1"/>
                <w:sz w:val="22"/>
                <w:szCs w:val="22"/>
                <w:lang w:val="en-US"/>
              </w:rPr>
              <w:t>; a</w:t>
            </w:r>
            <w:proofErr w:type="spellStart"/>
            <w:r w:rsidRPr="003151E2">
              <w:rPr>
                <w:color w:val="000000" w:themeColor="text1"/>
                <w:sz w:val="22"/>
                <w:szCs w:val="22"/>
              </w:rPr>
              <w:t>ssociation</w:t>
            </w:r>
            <w:proofErr w:type="spellEnd"/>
            <w:r w:rsidRPr="003151E2">
              <w:rPr>
                <w:color w:val="000000" w:themeColor="text1"/>
                <w:sz w:val="22"/>
                <w:szCs w:val="22"/>
              </w:rPr>
              <w:t xml:space="preserve"> between dementia and PTSD not examined.</w:t>
            </w:r>
          </w:p>
        </w:tc>
      </w:tr>
      <w:tr w:rsidR="00910D06" w:rsidRPr="00074213" w14:paraId="640F9120" w14:textId="77777777" w:rsidTr="00C179D1">
        <w:tc>
          <w:tcPr>
            <w:tcW w:w="2552" w:type="dxa"/>
            <w:tcBorders>
              <w:top w:val="nil"/>
              <w:bottom w:val="nil"/>
            </w:tcBorders>
            <w:shd w:val="clear" w:color="auto" w:fill="auto"/>
          </w:tcPr>
          <w:p w14:paraId="6E5D5BCB" w14:textId="77777777" w:rsidR="00910D06" w:rsidRPr="005B25D2" w:rsidRDefault="00910D06" w:rsidP="00C179D1">
            <w:pPr>
              <w:spacing w:line="276" w:lineRule="auto"/>
              <w:ind w:firstLine="0"/>
              <w:rPr>
                <w:color w:val="000000" w:themeColor="text1"/>
                <w:sz w:val="22"/>
                <w:szCs w:val="22"/>
              </w:rPr>
            </w:pPr>
            <w:r w:rsidRPr="005B25D2">
              <w:rPr>
                <w:color w:val="000000" w:themeColor="text1"/>
                <w:sz w:val="22"/>
                <w:szCs w:val="22"/>
              </w:rPr>
              <w:t xml:space="preserve">Clouston et al. (2016) </w:t>
            </w:r>
          </w:p>
        </w:tc>
        <w:tc>
          <w:tcPr>
            <w:tcW w:w="11340" w:type="dxa"/>
            <w:tcBorders>
              <w:top w:val="nil"/>
              <w:bottom w:val="nil"/>
            </w:tcBorders>
            <w:shd w:val="clear" w:color="auto" w:fill="auto"/>
          </w:tcPr>
          <w:p w14:paraId="0E977927" w14:textId="77777777" w:rsidR="00910D06" w:rsidRPr="003151E2" w:rsidRDefault="00910D06" w:rsidP="00C179D1">
            <w:pPr>
              <w:tabs>
                <w:tab w:val="left" w:pos="429"/>
              </w:tabs>
              <w:spacing w:line="276" w:lineRule="auto"/>
              <w:ind w:firstLine="0"/>
              <w:rPr>
                <w:color w:val="000000" w:themeColor="text1"/>
                <w:sz w:val="22"/>
                <w:szCs w:val="22"/>
                <w:lang w:val="en-US"/>
              </w:rPr>
            </w:pPr>
            <w:r w:rsidRPr="003151E2">
              <w:rPr>
                <w:color w:val="000000" w:themeColor="text1"/>
                <w:sz w:val="22"/>
                <w:szCs w:val="22"/>
                <w:lang w:val="en-US"/>
              </w:rPr>
              <w:t xml:space="preserve">Prospective cohort study </w:t>
            </w:r>
            <w:r>
              <w:rPr>
                <w:color w:val="000000" w:themeColor="text1"/>
                <w:sz w:val="22"/>
                <w:szCs w:val="22"/>
                <w:lang w:val="en-US"/>
              </w:rPr>
              <w:t xml:space="preserve">on </w:t>
            </w:r>
            <w:r w:rsidRPr="003151E2">
              <w:rPr>
                <w:color w:val="000000" w:themeColor="text1"/>
                <w:sz w:val="22"/>
                <w:szCs w:val="22"/>
                <w:lang w:val="en-US"/>
              </w:rPr>
              <w:t>the association between PTSD and cognitive impairment i</w:t>
            </w:r>
            <w:r>
              <w:rPr>
                <w:color w:val="000000" w:themeColor="text1"/>
                <w:sz w:val="22"/>
                <w:szCs w:val="22"/>
                <w:lang w:val="en-US"/>
              </w:rPr>
              <w:t>n world trade center responders; d</w:t>
            </w:r>
            <w:r w:rsidRPr="003151E2">
              <w:rPr>
                <w:color w:val="000000" w:themeColor="text1"/>
                <w:sz w:val="22"/>
                <w:szCs w:val="22"/>
                <w:lang w:val="en-US"/>
              </w:rPr>
              <w:t xml:space="preserve">ementia not diagnosed based on </w:t>
            </w:r>
            <w:r>
              <w:rPr>
                <w:color w:val="000000" w:themeColor="text1"/>
                <w:sz w:val="22"/>
                <w:szCs w:val="22"/>
                <w:lang w:val="en-US"/>
              </w:rPr>
              <w:t xml:space="preserve">established </w:t>
            </w:r>
            <w:r w:rsidRPr="003151E2">
              <w:rPr>
                <w:color w:val="000000" w:themeColor="text1"/>
                <w:sz w:val="22"/>
                <w:szCs w:val="22"/>
                <w:lang w:val="en-US"/>
              </w:rPr>
              <w:t>clinical criteria.</w:t>
            </w:r>
          </w:p>
        </w:tc>
      </w:tr>
      <w:tr w:rsidR="00910D06" w:rsidRPr="00074213" w14:paraId="008F9370" w14:textId="77777777" w:rsidTr="00C179D1">
        <w:trPr>
          <w:trHeight w:val="270"/>
        </w:trPr>
        <w:tc>
          <w:tcPr>
            <w:tcW w:w="2552" w:type="dxa"/>
            <w:tcBorders>
              <w:top w:val="nil"/>
              <w:bottom w:val="nil"/>
            </w:tcBorders>
            <w:shd w:val="clear" w:color="auto" w:fill="auto"/>
          </w:tcPr>
          <w:p w14:paraId="443F6F29" w14:textId="77777777" w:rsidR="00910D06" w:rsidRPr="005B25D2" w:rsidRDefault="00910D06" w:rsidP="00C179D1">
            <w:pPr>
              <w:spacing w:line="276" w:lineRule="auto"/>
              <w:ind w:firstLine="0"/>
              <w:rPr>
                <w:color w:val="000000" w:themeColor="text1"/>
                <w:sz w:val="22"/>
                <w:szCs w:val="22"/>
              </w:rPr>
            </w:pPr>
            <w:r w:rsidRPr="005B25D2">
              <w:rPr>
                <w:color w:val="000000" w:themeColor="text1"/>
                <w:sz w:val="22"/>
                <w:szCs w:val="22"/>
              </w:rPr>
              <w:t xml:space="preserve">Clouston et al. (2017) </w:t>
            </w:r>
          </w:p>
        </w:tc>
        <w:tc>
          <w:tcPr>
            <w:tcW w:w="11340" w:type="dxa"/>
            <w:tcBorders>
              <w:top w:val="nil"/>
              <w:bottom w:val="nil"/>
            </w:tcBorders>
            <w:shd w:val="clear" w:color="auto" w:fill="auto"/>
          </w:tcPr>
          <w:p w14:paraId="50985F5F" w14:textId="43988C1E" w:rsidR="00910D06" w:rsidRPr="003151E2" w:rsidRDefault="00910D06" w:rsidP="00C7706C">
            <w:pPr>
              <w:spacing w:line="276" w:lineRule="auto"/>
              <w:ind w:firstLine="0"/>
              <w:rPr>
                <w:color w:val="000000" w:themeColor="text1"/>
                <w:sz w:val="22"/>
                <w:szCs w:val="22"/>
                <w:shd w:val="clear" w:color="auto" w:fill="FFFFFF"/>
                <w:lang w:val="en-US"/>
              </w:rPr>
            </w:pPr>
            <w:r w:rsidRPr="003151E2">
              <w:rPr>
                <w:color w:val="000000" w:themeColor="text1"/>
                <w:sz w:val="22"/>
                <w:szCs w:val="22"/>
                <w:lang w:val="en-US"/>
              </w:rPr>
              <w:t xml:space="preserve">Prospective cohort study </w:t>
            </w:r>
            <w:r>
              <w:rPr>
                <w:color w:val="000000" w:themeColor="text1"/>
                <w:sz w:val="22"/>
                <w:szCs w:val="22"/>
                <w:lang w:val="en-US"/>
              </w:rPr>
              <w:t xml:space="preserve">on </w:t>
            </w:r>
            <w:r w:rsidRPr="003151E2">
              <w:rPr>
                <w:color w:val="000000" w:themeColor="text1"/>
                <w:sz w:val="22"/>
                <w:szCs w:val="22"/>
                <w:lang w:val="en-US"/>
              </w:rPr>
              <w:t>world trade center-related exposures</w:t>
            </w:r>
            <w:r>
              <w:rPr>
                <w:color w:val="000000" w:themeColor="text1"/>
                <w:sz w:val="22"/>
                <w:szCs w:val="22"/>
                <w:lang w:val="en-US"/>
              </w:rPr>
              <w:t>,</w:t>
            </w:r>
            <w:r w:rsidRPr="003151E2">
              <w:rPr>
                <w:color w:val="000000" w:themeColor="text1"/>
                <w:sz w:val="22"/>
                <w:szCs w:val="22"/>
                <w:lang w:val="en-US"/>
              </w:rPr>
              <w:t xml:space="preserve"> </w:t>
            </w:r>
            <w:proofErr w:type="gramStart"/>
            <w:r w:rsidRPr="003151E2">
              <w:rPr>
                <w:color w:val="000000" w:themeColor="text1"/>
                <w:sz w:val="22"/>
                <w:szCs w:val="22"/>
                <w:lang w:val="en-US"/>
              </w:rPr>
              <w:t>PTSD</w:t>
            </w:r>
            <w:proofErr w:type="gramEnd"/>
            <w:r w:rsidRPr="003151E2">
              <w:rPr>
                <w:color w:val="000000" w:themeColor="text1"/>
                <w:sz w:val="22"/>
                <w:szCs w:val="22"/>
                <w:lang w:val="en-US"/>
              </w:rPr>
              <w:t xml:space="preserve"> </w:t>
            </w:r>
            <w:r>
              <w:rPr>
                <w:color w:val="000000" w:themeColor="text1"/>
                <w:sz w:val="22"/>
                <w:szCs w:val="22"/>
                <w:lang w:val="en-US"/>
              </w:rPr>
              <w:t xml:space="preserve">and </w:t>
            </w:r>
            <w:r w:rsidRPr="00080D75">
              <w:rPr>
                <w:color w:val="000000" w:themeColor="text1"/>
                <w:sz w:val="22"/>
                <w:szCs w:val="22"/>
                <w:lang w:val="en-US"/>
              </w:rPr>
              <w:t>cognitive</w:t>
            </w:r>
            <w:r w:rsidRPr="003151E2">
              <w:rPr>
                <w:color w:val="000000" w:themeColor="text1"/>
                <w:sz w:val="22"/>
                <w:szCs w:val="22"/>
                <w:lang w:val="en-US"/>
              </w:rPr>
              <w:t xml:space="preserve"> functio</w:t>
            </w:r>
            <w:r>
              <w:rPr>
                <w:color w:val="000000" w:themeColor="text1"/>
                <w:sz w:val="22"/>
                <w:szCs w:val="22"/>
                <w:lang w:val="en-US"/>
              </w:rPr>
              <w:t>n; d</w:t>
            </w:r>
            <w:r w:rsidRPr="003151E2">
              <w:rPr>
                <w:color w:val="000000" w:themeColor="text1"/>
                <w:sz w:val="22"/>
                <w:szCs w:val="22"/>
                <w:lang w:val="en-US"/>
              </w:rPr>
              <w:t xml:space="preserve">ementia not diagnosed based on </w:t>
            </w:r>
            <w:r>
              <w:rPr>
                <w:color w:val="000000" w:themeColor="text1"/>
                <w:sz w:val="22"/>
                <w:szCs w:val="22"/>
                <w:lang w:val="en-US"/>
              </w:rPr>
              <w:t xml:space="preserve">established </w:t>
            </w:r>
            <w:r w:rsidRPr="003151E2">
              <w:rPr>
                <w:color w:val="000000" w:themeColor="text1"/>
                <w:sz w:val="22"/>
                <w:szCs w:val="22"/>
                <w:lang w:val="en-US"/>
              </w:rPr>
              <w:t>clinical criteria.</w:t>
            </w:r>
          </w:p>
        </w:tc>
      </w:tr>
      <w:tr w:rsidR="00910D06" w:rsidRPr="00074213" w14:paraId="216AD5D8" w14:textId="77777777" w:rsidTr="00C179D1">
        <w:trPr>
          <w:trHeight w:val="270"/>
        </w:trPr>
        <w:tc>
          <w:tcPr>
            <w:tcW w:w="2552" w:type="dxa"/>
            <w:tcBorders>
              <w:top w:val="nil"/>
              <w:bottom w:val="nil"/>
            </w:tcBorders>
            <w:shd w:val="clear" w:color="auto" w:fill="auto"/>
          </w:tcPr>
          <w:p w14:paraId="1F17CD96" w14:textId="77777777" w:rsidR="00910D06" w:rsidRPr="005B25D2" w:rsidRDefault="00910D06" w:rsidP="00C179D1">
            <w:pPr>
              <w:spacing w:line="276" w:lineRule="auto"/>
              <w:ind w:firstLine="0"/>
              <w:rPr>
                <w:color w:val="000000" w:themeColor="text1"/>
                <w:sz w:val="22"/>
                <w:szCs w:val="22"/>
              </w:rPr>
            </w:pPr>
            <w:r w:rsidRPr="005B25D2">
              <w:rPr>
                <w:color w:val="000000" w:themeColor="text1"/>
                <w:sz w:val="22"/>
                <w:szCs w:val="22"/>
              </w:rPr>
              <w:t xml:space="preserve">Clouston et al. (2018) </w:t>
            </w:r>
          </w:p>
        </w:tc>
        <w:tc>
          <w:tcPr>
            <w:tcW w:w="11340" w:type="dxa"/>
            <w:tcBorders>
              <w:top w:val="nil"/>
              <w:bottom w:val="nil"/>
            </w:tcBorders>
            <w:shd w:val="clear" w:color="auto" w:fill="auto"/>
          </w:tcPr>
          <w:p w14:paraId="6F36B92D" w14:textId="748964A5" w:rsidR="00910D06" w:rsidRPr="003151E2" w:rsidRDefault="00910D06" w:rsidP="00C179D1">
            <w:pPr>
              <w:spacing w:line="276" w:lineRule="auto"/>
              <w:ind w:firstLine="0"/>
              <w:rPr>
                <w:color w:val="000000" w:themeColor="text1"/>
                <w:sz w:val="22"/>
                <w:szCs w:val="22"/>
                <w:shd w:val="clear" w:color="auto" w:fill="FFFFFF"/>
                <w:lang w:val="en-US"/>
              </w:rPr>
            </w:pPr>
            <w:r w:rsidRPr="003151E2">
              <w:rPr>
                <w:color w:val="000000" w:themeColor="text1"/>
                <w:sz w:val="22"/>
                <w:szCs w:val="22"/>
                <w:lang w:val="en-US"/>
              </w:rPr>
              <w:t xml:space="preserve">Prospective cohort study </w:t>
            </w:r>
            <w:r>
              <w:rPr>
                <w:color w:val="000000" w:themeColor="text1"/>
                <w:sz w:val="22"/>
                <w:szCs w:val="22"/>
                <w:lang w:val="en-US"/>
              </w:rPr>
              <w:t xml:space="preserve">on </w:t>
            </w:r>
            <w:r w:rsidRPr="003151E2">
              <w:rPr>
                <w:color w:val="000000" w:themeColor="text1"/>
                <w:sz w:val="22"/>
                <w:szCs w:val="22"/>
                <w:lang w:val="en-US"/>
              </w:rPr>
              <w:t xml:space="preserve">PTSD </w:t>
            </w:r>
            <w:r>
              <w:rPr>
                <w:color w:val="000000" w:themeColor="text1"/>
                <w:sz w:val="22"/>
                <w:szCs w:val="22"/>
                <w:lang w:val="en-US"/>
              </w:rPr>
              <w:t xml:space="preserve">and increased </w:t>
            </w:r>
            <w:r w:rsidRPr="003151E2">
              <w:rPr>
                <w:color w:val="000000" w:themeColor="text1"/>
                <w:sz w:val="22"/>
                <w:szCs w:val="22"/>
                <w:lang w:val="en-US"/>
              </w:rPr>
              <w:t>risk of MCI in world trade center responders</w:t>
            </w:r>
            <w:r>
              <w:rPr>
                <w:color w:val="000000" w:themeColor="text1"/>
                <w:sz w:val="22"/>
                <w:szCs w:val="22"/>
                <w:lang w:val="en-US"/>
              </w:rPr>
              <w:t xml:space="preserve">; MCI </w:t>
            </w:r>
            <w:r w:rsidRPr="003151E2">
              <w:rPr>
                <w:color w:val="000000" w:themeColor="text1"/>
                <w:sz w:val="22"/>
                <w:szCs w:val="22"/>
                <w:lang w:val="en-US"/>
              </w:rPr>
              <w:t>not diagn</w:t>
            </w:r>
            <w:r>
              <w:rPr>
                <w:color w:val="000000" w:themeColor="text1"/>
                <w:sz w:val="22"/>
                <w:szCs w:val="22"/>
                <w:lang w:val="en-US"/>
              </w:rPr>
              <w:t>osed based on clinical criteria; duplicate with above</w:t>
            </w:r>
            <w:r w:rsidR="008042E7">
              <w:rPr>
                <w:color w:val="000000" w:themeColor="text1"/>
                <w:sz w:val="22"/>
                <w:szCs w:val="22"/>
                <w:lang w:val="en-US"/>
              </w:rPr>
              <w:t xml:space="preserve">. </w:t>
            </w:r>
            <w:r>
              <w:rPr>
                <w:color w:val="000000" w:themeColor="text1"/>
                <w:sz w:val="22"/>
                <w:szCs w:val="22"/>
                <w:lang w:val="en-US"/>
              </w:rPr>
              <w:t xml:space="preserve"> </w:t>
            </w:r>
          </w:p>
        </w:tc>
      </w:tr>
      <w:tr w:rsidR="00910D06" w:rsidRPr="00074213" w14:paraId="2E788BCB" w14:textId="77777777" w:rsidTr="00C179D1">
        <w:trPr>
          <w:trHeight w:val="270"/>
        </w:trPr>
        <w:tc>
          <w:tcPr>
            <w:tcW w:w="2552" w:type="dxa"/>
            <w:tcBorders>
              <w:top w:val="nil"/>
              <w:bottom w:val="nil"/>
            </w:tcBorders>
            <w:shd w:val="clear" w:color="auto" w:fill="auto"/>
          </w:tcPr>
          <w:p w14:paraId="1A9A7D4A" w14:textId="77777777" w:rsidR="00910D06" w:rsidRPr="00A50645" w:rsidRDefault="00910D06" w:rsidP="00C179D1">
            <w:pPr>
              <w:spacing w:line="276" w:lineRule="auto"/>
              <w:ind w:firstLine="0"/>
              <w:rPr>
                <w:color w:val="000000" w:themeColor="text1"/>
                <w:sz w:val="22"/>
                <w:szCs w:val="22"/>
              </w:rPr>
            </w:pPr>
            <w:r w:rsidRPr="00A50645">
              <w:rPr>
                <w:color w:val="000000" w:themeColor="text1"/>
                <w:sz w:val="22"/>
                <w:szCs w:val="22"/>
              </w:rPr>
              <w:t xml:space="preserve">Cortina et al. (2011) </w:t>
            </w:r>
          </w:p>
        </w:tc>
        <w:tc>
          <w:tcPr>
            <w:tcW w:w="11340" w:type="dxa"/>
            <w:tcBorders>
              <w:top w:val="nil"/>
              <w:bottom w:val="nil"/>
            </w:tcBorders>
            <w:shd w:val="clear" w:color="auto" w:fill="auto"/>
          </w:tcPr>
          <w:p w14:paraId="33C52DBD" w14:textId="77777777" w:rsidR="00910D06" w:rsidRPr="003151E2" w:rsidRDefault="00910D06" w:rsidP="00C179D1">
            <w:pPr>
              <w:spacing w:line="276" w:lineRule="auto"/>
              <w:ind w:firstLine="0"/>
              <w:rPr>
                <w:color w:val="000000" w:themeColor="text1"/>
                <w:sz w:val="22"/>
                <w:szCs w:val="22"/>
                <w:shd w:val="clear" w:color="auto" w:fill="FFFFFF"/>
                <w:lang w:val="en-US"/>
              </w:rPr>
            </w:pPr>
            <w:r w:rsidRPr="003151E2">
              <w:rPr>
                <w:color w:val="000000" w:themeColor="text1"/>
                <w:sz w:val="22"/>
                <w:szCs w:val="22"/>
                <w:shd w:val="clear" w:color="auto" w:fill="FFFFFF"/>
                <w:lang w:val="en-US"/>
              </w:rPr>
              <w:t xml:space="preserve">Cross-sectional study </w:t>
            </w:r>
            <w:r>
              <w:rPr>
                <w:color w:val="000000" w:themeColor="text1"/>
                <w:sz w:val="22"/>
                <w:szCs w:val="22"/>
                <w:shd w:val="clear" w:color="auto" w:fill="FFFFFF"/>
                <w:lang w:val="en-US"/>
              </w:rPr>
              <w:t xml:space="preserve">on </w:t>
            </w:r>
            <w:r w:rsidRPr="003151E2">
              <w:rPr>
                <w:color w:val="000000" w:themeColor="text1"/>
                <w:sz w:val="22"/>
                <w:szCs w:val="22"/>
                <w:shd w:val="clear" w:color="auto" w:fill="FFFFFF"/>
                <w:lang w:val="en-US"/>
              </w:rPr>
              <w:t>prevalence of PTSD and depression among veterans</w:t>
            </w:r>
            <w:r>
              <w:rPr>
                <w:color w:val="000000" w:themeColor="text1"/>
                <w:sz w:val="22"/>
                <w:szCs w:val="22"/>
                <w:shd w:val="clear" w:color="auto" w:fill="FFFFFF"/>
                <w:lang w:val="en-US"/>
              </w:rPr>
              <w:t>; d</w:t>
            </w:r>
            <w:r w:rsidRPr="003151E2">
              <w:rPr>
                <w:color w:val="000000" w:themeColor="text1"/>
                <w:sz w:val="22"/>
                <w:szCs w:val="22"/>
                <w:shd w:val="clear" w:color="auto" w:fill="FFFFFF"/>
                <w:lang w:val="en-US"/>
              </w:rPr>
              <w:t>ementia not diagnosed based on established clinical criteria</w:t>
            </w:r>
            <w:r w:rsidRPr="003151E2">
              <w:rPr>
                <w:color w:val="000000" w:themeColor="text1"/>
                <w:sz w:val="22"/>
                <w:szCs w:val="22"/>
                <w:lang w:val="en-US"/>
              </w:rPr>
              <w:t>.</w:t>
            </w:r>
          </w:p>
        </w:tc>
      </w:tr>
      <w:tr w:rsidR="00910D06" w:rsidRPr="00074213" w14:paraId="045E2823" w14:textId="77777777" w:rsidTr="00C179D1">
        <w:trPr>
          <w:trHeight w:val="270"/>
        </w:trPr>
        <w:tc>
          <w:tcPr>
            <w:tcW w:w="2552" w:type="dxa"/>
            <w:tcBorders>
              <w:top w:val="nil"/>
              <w:bottom w:val="nil"/>
            </w:tcBorders>
            <w:shd w:val="clear" w:color="auto" w:fill="auto"/>
          </w:tcPr>
          <w:p w14:paraId="6197C64F" w14:textId="77777777" w:rsidR="00910D06" w:rsidRPr="00A50645" w:rsidRDefault="00910D06" w:rsidP="00C179D1">
            <w:pPr>
              <w:spacing w:line="276" w:lineRule="auto"/>
              <w:ind w:firstLine="0"/>
              <w:rPr>
                <w:color w:val="000000" w:themeColor="text1"/>
                <w:sz w:val="22"/>
                <w:szCs w:val="22"/>
              </w:rPr>
            </w:pPr>
            <w:r w:rsidRPr="00A50645">
              <w:rPr>
                <w:color w:val="000000" w:themeColor="text1"/>
                <w:sz w:val="22"/>
                <w:szCs w:val="22"/>
              </w:rPr>
              <w:t xml:space="preserve">Elias et al. (2017) </w:t>
            </w:r>
          </w:p>
        </w:tc>
        <w:tc>
          <w:tcPr>
            <w:tcW w:w="11340" w:type="dxa"/>
            <w:tcBorders>
              <w:top w:val="nil"/>
              <w:bottom w:val="nil"/>
            </w:tcBorders>
            <w:shd w:val="clear" w:color="auto" w:fill="auto"/>
          </w:tcPr>
          <w:p w14:paraId="169F9D31" w14:textId="77777777" w:rsidR="00910D06" w:rsidRPr="003151E2" w:rsidRDefault="00910D06" w:rsidP="00C179D1">
            <w:pPr>
              <w:spacing w:line="276" w:lineRule="auto"/>
              <w:ind w:firstLine="0"/>
              <w:rPr>
                <w:color w:val="000000" w:themeColor="text1"/>
                <w:sz w:val="22"/>
                <w:szCs w:val="22"/>
                <w:shd w:val="clear" w:color="auto" w:fill="FFFFFF"/>
                <w:lang w:val="en-US"/>
              </w:rPr>
            </w:pPr>
            <w:r w:rsidRPr="003151E2">
              <w:rPr>
                <w:color w:val="000000" w:themeColor="text1"/>
                <w:sz w:val="22"/>
                <w:szCs w:val="22"/>
                <w:shd w:val="clear" w:color="auto" w:fill="FFFFFF"/>
                <w:lang w:val="en-US"/>
              </w:rPr>
              <w:t>Cross-sectional study assessing amyloid beta and tau deposition in Vietnam w</w:t>
            </w:r>
            <w:r>
              <w:rPr>
                <w:color w:val="000000" w:themeColor="text1"/>
                <w:sz w:val="22"/>
                <w:szCs w:val="22"/>
                <w:shd w:val="clear" w:color="auto" w:fill="FFFFFF"/>
                <w:lang w:val="en-US"/>
              </w:rPr>
              <w:t xml:space="preserve">ar veterans living with </w:t>
            </w:r>
            <w:r w:rsidRPr="003151E2">
              <w:rPr>
                <w:color w:val="000000" w:themeColor="text1"/>
                <w:sz w:val="22"/>
                <w:szCs w:val="22"/>
                <w:shd w:val="clear" w:color="auto" w:fill="FFFFFF"/>
                <w:lang w:val="en-US"/>
              </w:rPr>
              <w:t>PTSD</w:t>
            </w:r>
            <w:r>
              <w:rPr>
                <w:color w:val="000000" w:themeColor="text1"/>
                <w:sz w:val="22"/>
                <w:szCs w:val="22"/>
                <w:shd w:val="clear" w:color="auto" w:fill="FFFFFF"/>
                <w:lang w:val="en-US"/>
              </w:rPr>
              <w:t>; d</w:t>
            </w:r>
            <w:r w:rsidRPr="003151E2">
              <w:rPr>
                <w:color w:val="000000" w:themeColor="text1"/>
                <w:sz w:val="22"/>
                <w:szCs w:val="22"/>
                <w:shd w:val="clear" w:color="auto" w:fill="FFFFFF"/>
                <w:lang w:val="en-US"/>
              </w:rPr>
              <w:t>ementia not diagnosed based on established clinical criteria</w:t>
            </w:r>
            <w:r w:rsidRPr="003151E2">
              <w:rPr>
                <w:color w:val="000000" w:themeColor="text1"/>
                <w:sz w:val="22"/>
                <w:szCs w:val="22"/>
                <w:lang w:val="en-US"/>
              </w:rPr>
              <w:t>.</w:t>
            </w:r>
          </w:p>
        </w:tc>
      </w:tr>
      <w:tr w:rsidR="00910D06" w:rsidRPr="00074213" w14:paraId="605F1EB8" w14:textId="77777777" w:rsidTr="00C179D1">
        <w:trPr>
          <w:trHeight w:val="270"/>
        </w:trPr>
        <w:tc>
          <w:tcPr>
            <w:tcW w:w="2552" w:type="dxa"/>
            <w:tcBorders>
              <w:top w:val="nil"/>
              <w:bottom w:val="nil"/>
            </w:tcBorders>
            <w:shd w:val="clear" w:color="auto" w:fill="auto"/>
          </w:tcPr>
          <w:p w14:paraId="2B367732" w14:textId="77777777" w:rsidR="00910D06" w:rsidRPr="00A50645" w:rsidRDefault="00910D06" w:rsidP="00C179D1">
            <w:pPr>
              <w:spacing w:line="276" w:lineRule="auto"/>
              <w:ind w:firstLine="0"/>
              <w:rPr>
                <w:color w:val="000000" w:themeColor="text1"/>
                <w:sz w:val="22"/>
                <w:szCs w:val="22"/>
              </w:rPr>
            </w:pPr>
            <w:proofErr w:type="spellStart"/>
            <w:r w:rsidRPr="00A50645">
              <w:rPr>
                <w:color w:val="000000" w:themeColor="text1"/>
                <w:sz w:val="22"/>
                <w:szCs w:val="22"/>
              </w:rPr>
              <w:t>Eren-Koçak</w:t>
            </w:r>
            <w:proofErr w:type="spellEnd"/>
            <w:r w:rsidRPr="00A50645">
              <w:rPr>
                <w:color w:val="000000" w:themeColor="text1"/>
                <w:sz w:val="22"/>
                <w:szCs w:val="22"/>
              </w:rPr>
              <w:t xml:space="preserve"> et al. (2008) </w:t>
            </w:r>
          </w:p>
        </w:tc>
        <w:tc>
          <w:tcPr>
            <w:tcW w:w="11340" w:type="dxa"/>
            <w:tcBorders>
              <w:top w:val="nil"/>
              <w:bottom w:val="nil"/>
            </w:tcBorders>
            <w:shd w:val="clear" w:color="auto" w:fill="auto"/>
          </w:tcPr>
          <w:p w14:paraId="638780A5" w14:textId="77777777" w:rsidR="00910D06" w:rsidRPr="003151E2" w:rsidRDefault="00910D06" w:rsidP="00C179D1">
            <w:pPr>
              <w:spacing w:line="276" w:lineRule="auto"/>
              <w:ind w:firstLine="0"/>
              <w:rPr>
                <w:color w:val="000000" w:themeColor="text1"/>
                <w:sz w:val="22"/>
                <w:szCs w:val="22"/>
                <w:shd w:val="clear" w:color="auto" w:fill="FFFFFF"/>
                <w:lang w:val="en-US"/>
              </w:rPr>
            </w:pPr>
            <w:r w:rsidRPr="003151E2">
              <w:rPr>
                <w:color w:val="000000" w:themeColor="text1"/>
                <w:sz w:val="22"/>
                <w:szCs w:val="22"/>
                <w:shd w:val="clear" w:color="auto" w:fill="FFFFFF"/>
                <w:lang w:val="en-US"/>
              </w:rPr>
              <w:t xml:space="preserve">Cross-sectional study </w:t>
            </w:r>
            <w:r>
              <w:rPr>
                <w:color w:val="000000" w:themeColor="text1"/>
                <w:sz w:val="22"/>
                <w:szCs w:val="22"/>
                <w:shd w:val="clear" w:color="auto" w:fill="FFFFFF"/>
                <w:lang w:val="en-US"/>
              </w:rPr>
              <w:t xml:space="preserve">on </w:t>
            </w:r>
            <w:r w:rsidRPr="003151E2">
              <w:rPr>
                <w:color w:val="000000" w:themeColor="text1"/>
                <w:sz w:val="22"/>
                <w:szCs w:val="22"/>
                <w:shd w:val="clear" w:color="auto" w:fill="FFFFFF"/>
                <w:lang w:val="en-US"/>
              </w:rPr>
              <w:t xml:space="preserve">memory and prefrontal function in survivors of </w:t>
            </w:r>
            <w:r>
              <w:rPr>
                <w:color w:val="000000" w:themeColor="text1"/>
                <w:sz w:val="22"/>
                <w:szCs w:val="22"/>
                <w:shd w:val="clear" w:color="auto" w:fill="FFFFFF"/>
                <w:lang w:val="en-US"/>
              </w:rPr>
              <w:t xml:space="preserve">the </w:t>
            </w:r>
            <w:r w:rsidRPr="003151E2">
              <w:rPr>
                <w:color w:val="000000" w:themeColor="text1"/>
                <w:sz w:val="22"/>
                <w:szCs w:val="22"/>
                <w:shd w:val="clear" w:color="auto" w:fill="FFFFFF"/>
                <w:lang w:val="en-US"/>
              </w:rPr>
              <w:t>1999 earthquakes in Turkey</w:t>
            </w:r>
            <w:r>
              <w:rPr>
                <w:color w:val="000000" w:themeColor="text1"/>
                <w:sz w:val="22"/>
                <w:szCs w:val="22"/>
                <w:shd w:val="clear" w:color="auto" w:fill="FFFFFF"/>
                <w:lang w:val="en-US"/>
              </w:rPr>
              <w:t>; d</w:t>
            </w:r>
            <w:r w:rsidRPr="003151E2">
              <w:rPr>
                <w:color w:val="000000" w:themeColor="text1"/>
                <w:sz w:val="22"/>
                <w:szCs w:val="22"/>
                <w:shd w:val="clear" w:color="auto" w:fill="FFFFFF"/>
                <w:lang w:val="en-US"/>
              </w:rPr>
              <w:t>ementia not diagnosed based on established clinical criteria</w:t>
            </w:r>
            <w:r w:rsidRPr="003151E2">
              <w:rPr>
                <w:color w:val="000000" w:themeColor="text1"/>
                <w:sz w:val="22"/>
                <w:szCs w:val="22"/>
                <w:lang w:val="en-US"/>
              </w:rPr>
              <w:t>.</w:t>
            </w:r>
          </w:p>
        </w:tc>
      </w:tr>
      <w:tr w:rsidR="00910D06" w:rsidRPr="00074213" w14:paraId="0EDA9C1D" w14:textId="77777777" w:rsidTr="00C179D1">
        <w:trPr>
          <w:trHeight w:val="270"/>
        </w:trPr>
        <w:tc>
          <w:tcPr>
            <w:tcW w:w="2552" w:type="dxa"/>
            <w:tcBorders>
              <w:top w:val="nil"/>
              <w:bottom w:val="nil"/>
            </w:tcBorders>
            <w:shd w:val="clear" w:color="auto" w:fill="auto"/>
          </w:tcPr>
          <w:p w14:paraId="3C2A5E72" w14:textId="77777777" w:rsidR="00910D06" w:rsidRPr="00A50645" w:rsidRDefault="00910D06" w:rsidP="00C179D1">
            <w:pPr>
              <w:spacing w:line="276" w:lineRule="auto"/>
              <w:ind w:firstLine="0"/>
              <w:rPr>
                <w:color w:val="000000" w:themeColor="text1"/>
                <w:sz w:val="22"/>
                <w:szCs w:val="22"/>
              </w:rPr>
            </w:pPr>
            <w:r w:rsidRPr="00A50645">
              <w:rPr>
                <w:color w:val="000000" w:themeColor="text1"/>
                <w:sz w:val="22"/>
                <w:szCs w:val="22"/>
              </w:rPr>
              <w:t xml:space="preserve">Hart et al. (2008) </w:t>
            </w:r>
          </w:p>
        </w:tc>
        <w:tc>
          <w:tcPr>
            <w:tcW w:w="11340" w:type="dxa"/>
            <w:tcBorders>
              <w:top w:val="nil"/>
              <w:bottom w:val="nil"/>
            </w:tcBorders>
            <w:shd w:val="clear" w:color="auto" w:fill="auto"/>
          </w:tcPr>
          <w:p w14:paraId="407620F1" w14:textId="77777777" w:rsidR="00910D06" w:rsidRPr="003151E2" w:rsidRDefault="00910D06" w:rsidP="00C179D1">
            <w:pPr>
              <w:spacing w:line="276" w:lineRule="auto"/>
              <w:ind w:firstLine="0"/>
              <w:rPr>
                <w:color w:val="000000" w:themeColor="text1"/>
                <w:sz w:val="22"/>
                <w:szCs w:val="22"/>
                <w:shd w:val="clear" w:color="auto" w:fill="FFFFFF"/>
                <w:lang w:val="en-US"/>
              </w:rPr>
            </w:pPr>
            <w:r w:rsidRPr="003151E2">
              <w:rPr>
                <w:color w:val="000000" w:themeColor="text1"/>
                <w:sz w:val="22"/>
                <w:szCs w:val="22"/>
                <w:shd w:val="clear" w:color="auto" w:fill="FFFFFF"/>
                <w:lang w:val="en-US"/>
              </w:rPr>
              <w:t xml:space="preserve">Cross-sectional study </w:t>
            </w:r>
            <w:r>
              <w:rPr>
                <w:color w:val="000000" w:themeColor="text1"/>
                <w:sz w:val="22"/>
                <w:szCs w:val="22"/>
                <w:shd w:val="clear" w:color="auto" w:fill="FFFFFF"/>
                <w:lang w:val="en-US"/>
              </w:rPr>
              <w:t xml:space="preserve">on </w:t>
            </w:r>
            <w:r w:rsidRPr="003151E2">
              <w:rPr>
                <w:color w:val="000000" w:themeColor="text1"/>
                <w:sz w:val="22"/>
                <w:szCs w:val="22"/>
                <w:shd w:val="clear" w:color="auto" w:fill="FFFFFF"/>
                <w:lang w:val="en-US"/>
              </w:rPr>
              <w:t>cognitive function</w:t>
            </w:r>
            <w:r>
              <w:rPr>
                <w:color w:val="000000" w:themeColor="text1"/>
                <w:sz w:val="22"/>
                <w:szCs w:val="22"/>
                <w:shd w:val="clear" w:color="auto" w:fill="FFFFFF"/>
                <w:lang w:val="en-US"/>
              </w:rPr>
              <w:t xml:space="preserve"> </w:t>
            </w:r>
            <w:r w:rsidRPr="003151E2">
              <w:rPr>
                <w:color w:val="000000" w:themeColor="text1"/>
                <w:sz w:val="22"/>
                <w:szCs w:val="22"/>
                <w:shd w:val="clear" w:color="auto" w:fill="FFFFFF"/>
                <w:lang w:val="en-US"/>
              </w:rPr>
              <w:t>in former World War II prisoner</w:t>
            </w:r>
            <w:r>
              <w:rPr>
                <w:color w:val="000000" w:themeColor="text1"/>
                <w:sz w:val="22"/>
                <w:szCs w:val="22"/>
                <w:shd w:val="clear" w:color="auto" w:fill="FFFFFF"/>
                <w:lang w:val="en-US"/>
              </w:rPr>
              <w:t>s</w:t>
            </w:r>
            <w:r w:rsidRPr="003151E2">
              <w:rPr>
                <w:color w:val="000000" w:themeColor="text1"/>
                <w:sz w:val="22"/>
                <w:szCs w:val="22"/>
                <w:shd w:val="clear" w:color="auto" w:fill="FFFFFF"/>
                <w:lang w:val="en-US"/>
              </w:rPr>
              <w:t xml:space="preserve"> of war</w:t>
            </w:r>
            <w:r>
              <w:rPr>
                <w:color w:val="000000" w:themeColor="text1"/>
                <w:sz w:val="22"/>
                <w:szCs w:val="22"/>
                <w:shd w:val="clear" w:color="auto" w:fill="FFFFFF"/>
                <w:lang w:val="en-US"/>
              </w:rPr>
              <w:t>; d</w:t>
            </w:r>
            <w:r w:rsidRPr="003151E2">
              <w:rPr>
                <w:color w:val="000000" w:themeColor="text1"/>
                <w:sz w:val="22"/>
                <w:szCs w:val="22"/>
                <w:shd w:val="clear" w:color="auto" w:fill="FFFFFF"/>
                <w:lang w:val="en-US"/>
              </w:rPr>
              <w:t>ementia not diagnosed based on established clinical criteria</w:t>
            </w:r>
            <w:r w:rsidRPr="003151E2">
              <w:rPr>
                <w:color w:val="000000" w:themeColor="text1"/>
                <w:sz w:val="22"/>
                <w:szCs w:val="22"/>
                <w:lang w:val="en-US"/>
              </w:rPr>
              <w:t>.</w:t>
            </w:r>
          </w:p>
        </w:tc>
      </w:tr>
      <w:tr w:rsidR="00910D06" w:rsidRPr="00074213" w14:paraId="2DEC0D54" w14:textId="77777777" w:rsidTr="00C179D1">
        <w:trPr>
          <w:trHeight w:val="270"/>
        </w:trPr>
        <w:tc>
          <w:tcPr>
            <w:tcW w:w="2552" w:type="dxa"/>
            <w:tcBorders>
              <w:top w:val="nil"/>
              <w:bottom w:val="nil"/>
            </w:tcBorders>
            <w:shd w:val="clear" w:color="auto" w:fill="auto"/>
          </w:tcPr>
          <w:p w14:paraId="73A3C0D9" w14:textId="77777777" w:rsidR="00910D06" w:rsidRPr="00A50645" w:rsidRDefault="00910D06" w:rsidP="00C179D1">
            <w:pPr>
              <w:spacing w:line="276" w:lineRule="auto"/>
              <w:ind w:firstLine="0"/>
              <w:rPr>
                <w:color w:val="000000" w:themeColor="text1"/>
                <w:sz w:val="22"/>
                <w:szCs w:val="22"/>
              </w:rPr>
            </w:pPr>
            <w:r w:rsidRPr="00A50645">
              <w:rPr>
                <w:color w:val="000000" w:themeColor="text1"/>
                <w:sz w:val="22"/>
                <w:szCs w:val="22"/>
              </w:rPr>
              <w:t xml:space="preserve">Hikichi et al. (2016) </w:t>
            </w:r>
          </w:p>
        </w:tc>
        <w:tc>
          <w:tcPr>
            <w:tcW w:w="11340" w:type="dxa"/>
            <w:tcBorders>
              <w:top w:val="nil"/>
              <w:bottom w:val="nil"/>
            </w:tcBorders>
            <w:shd w:val="clear" w:color="auto" w:fill="auto"/>
          </w:tcPr>
          <w:p w14:paraId="6C2A4D80" w14:textId="77777777" w:rsidR="00910D06" w:rsidRPr="003151E2" w:rsidRDefault="00910D06" w:rsidP="00C179D1">
            <w:pPr>
              <w:spacing w:line="276" w:lineRule="auto"/>
              <w:ind w:firstLine="0"/>
              <w:rPr>
                <w:color w:val="000000" w:themeColor="text1"/>
                <w:sz w:val="22"/>
                <w:szCs w:val="22"/>
                <w:shd w:val="clear" w:color="auto" w:fill="FFFFFF"/>
                <w:lang w:val="en-US"/>
              </w:rPr>
            </w:pPr>
            <w:r w:rsidRPr="003151E2">
              <w:rPr>
                <w:color w:val="000000" w:themeColor="text1"/>
                <w:sz w:val="22"/>
                <w:szCs w:val="22"/>
                <w:shd w:val="clear" w:color="auto" w:fill="FFFFFF"/>
                <w:lang w:val="en-US"/>
              </w:rPr>
              <w:t xml:space="preserve">Prospective cohort study </w:t>
            </w:r>
            <w:r>
              <w:rPr>
                <w:color w:val="000000" w:themeColor="text1"/>
                <w:sz w:val="22"/>
                <w:szCs w:val="22"/>
                <w:shd w:val="clear" w:color="auto" w:fill="FFFFFF"/>
                <w:lang w:val="en-US"/>
              </w:rPr>
              <w:t xml:space="preserve">on </w:t>
            </w:r>
            <w:r w:rsidRPr="003151E2">
              <w:rPr>
                <w:color w:val="000000" w:themeColor="text1"/>
                <w:sz w:val="22"/>
                <w:szCs w:val="22"/>
                <w:shd w:val="clear" w:color="auto" w:fill="FFFFFF"/>
                <w:lang w:val="en-US"/>
              </w:rPr>
              <w:t>exposure to the 2011 Great East Japan Earthquake and Tsunami disaster</w:t>
            </w:r>
            <w:r>
              <w:rPr>
                <w:color w:val="000000" w:themeColor="text1"/>
                <w:sz w:val="22"/>
                <w:szCs w:val="22"/>
                <w:shd w:val="clear" w:color="auto" w:fill="FFFFFF"/>
                <w:lang w:val="en-US"/>
              </w:rPr>
              <w:t>s</w:t>
            </w:r>
            <w:r w:rsidRPr="003151E2">
              <w:rPr>
                <w:color w:val="000000" w:themeColor="text1"/>
                <w:sz w:val="22"/>
                <w:szCs w:val="22"/>
                <w:shd w:val="clear" w:color="auto" w:fill="FFFFFF"/>
                <w:lang w:val="en-US"/>
              </w:rPr>
              <w:t xml:space="preserve"> </w:t>
            </w:r>
            <w:r>
              <w:rPr>
                <w:color w:val="000000" w:themeColor="text1"/>
                <w:sz w:val="22"/>
                <w:szCs w:val="22"/>
                <w:shd w:val="clear" w:color="auto" w:fill="FFFFFF"/>
                <w:lang w:val="en-US"/>
              </w:rPr>
              <w:t>and risk of cognitive decline; a</w:t>
            </w:r>
            <w:r w:rsidRPr="003151E2">
              <w:rPr>
                <w:color w:val="000000" w:themeColor="text1"/>
                <w:sz w:val="22"/>
                <w:szCs w:val="22"/>
                <w:lang w:val="en-US"/>
              </w:rPr>
              <w:t>ssociation between PTSD and dementia not examined.</w:t>
            </w:r>
          </w:p>
        </w:tc>
      </w:tr>
      <w:tr w:rsidR="00910D06" w:rsidRPr="00074213" w14:paraId="4982C4A2" w14:textId="77777777" w:rsidTr="00C179D1">
        <w:trPr>
          <w:trHeight w:val="270"/>
        </w:trPr>
        <w:tc>
          <w:tcPr>
            <w:tcW w:w="2552" w:type="dxa"/>
            <w:tcBorders>
              <w:top w:val="nil"/>
              <w:bottom w:val="nil"/>
            </w:tcBorders>
            <w:shd w:val="clear" w:color="auto" w:fill="auto"/>
          </w:tcPr>
          <w:p w14:paraId="53C823A9" w14:textId="77777777" w:rsidR="00910D06" w:rsidRPr="00A50645" w:rsidRDefault="00910D06" w:rsidP="00C179D1">
            <w:pPr>
              <w:spacing w:line="276" w:lineRule="auto"/>
              <w:ind w:firstLine="0"/>
              <w:rPr>
                <w:color w:val="000000" w:themeColor="text1"/>
                <w:sz w:val="22"/>
                <w:szCs w:val="22"/>
              </w:rPr>
            </w:pPr>
            <w:proofErr w:type="spellStart"/>
            <w:r w:rsidRPr="00A50645">
              <w:rPr>
                <w:color w:val="000000" w:themeColor="text1"/>
                <w:sz w:val="22"/>
                <w:szCs w:val="22"/>
              </w:rPr>
              <w:t>Ishiki</w:t>
            </w:r>
            <w:proofErr w:type="spellEnd"/>
            <w:r w:rsidRPr="00A50645">
              <w:rPr>
                <w:color w:val="000000" w:themeColor="text1"/>
                <w:sz w:val="22"/>
                <w:szCs w:val="22"/>
              </w:rPr>
              <w:t xml:space="preserve"> et al. (2015) </w:t>
            </w:r>
            <w:r w:rsidRPr="00A50645">
              <w:rPr>
                <w:color w:val="000000" w:themeColor="text1"/>
                <w:sz w:val="22"/>
                <w:szCs w:val="22"/>
              </w:rPr>
              <w:fldChar w:fldCharType="begin" w:fldLock="1"/>
            </w:r>
            <w:r w:rsidRPr="00A50645">
              <w:rPr>
                <w:color w:val="000000" w:themeColor="text1"/>
                <w:sz w:val="22"/>
                <w:szCs w:val="22"/>
              </w:rPr>
              <w:instrText>ADDIN CSL_CITATION {"citationItems":[{"id":"ITEM-1","itemData":{"ISSN":"0002-8614","abstract":"In 2011, a magnitude 9.0 earthquake hit the northeast part of Japan, followed by enormous tsunamis. This seism destroyed coastal cities and killed nearly 20,000 people. Many people who lost their houses in the disaster are still forced to live in temporary apartments. Many health hazards, such as increased frequency of pneumonia, cardiopulmonary diseases, stroke, and gastrointestinal ulcer, have been reported. We recruited 686 elderly people who lived in the temporary apartments in Kesennuma, Japan, and examined cognitive functions at 1, 2, and 3 years after the disaster. The program included a touch-panel computer comprising 15 questions that evaluate memory, orientation, and pattern recognition. The highest (best) score is 15, and scores of &lt;13 are considered to be indicative of cognitive impairment. According to the results, 33% of the elderly people were suspected to have cognitive impairment at 1 year after the disaster. This was the first report that epidemiologically investigated the prevalence of cognitive impairment in elderly people living in temporary apartments. After the first report, we performed consecutive second and third examinations in the following years. There was no statistically significant increase in the percentage of elderly people with cognitive impairment (33% to 36%). In addition, their mental status in the following years was better than that in the first year, i.e., the scores on the Athens Insomnia Scale and Kessler Psychological Distress Scale, which evaluate insomnia and psychological distress, respectively, significantly improved. However, there are concerns about the progression of frailty, because their grip (kg) significantly weakened during the subsequent 2 years (23.8 to 23.3, p &lt; 0.001). Three years have already passed since the disaster occurred and a high prevalence of dementia and progression of frailty is suspected. Thus, further research and studies are warranted to establish activity programs to prevent these negative impacts on elderly people","author":[{"dropping-particle":"","family":"Ishiki","given":"A","non-dropping-particle":"","parse-names":false,"suffix":""},{"dropping-particle":"","family":"Tomita","given":"N","non-dropping-particle":"","parse-names":false,"suffix":""},{"dropping-particle":"","family":"Une","given":"K","non-dropping-particle":"","parse-names":false,"suffix":""},{"dropping-particle":"","family":"Okinaga","given":"S","non-dropping-particle":"","parse-names":false,"suffix":""},{"dropping-particle":"","family":"Furukawa","given":"K","non-dropping-particle":"","parse-names":false,"suffix":""},{"dropping-particle":"","family":"Arai","given":"H","non-dropping-particle":"","parse-names":false,"suffix":""}],"container-title":"Journal of the American Geriatrics Society","id":"ITEM-1","issued":{"date-parts":[["2015"]]},"title":"Cognition and activities of daily living of elderly people affected by the great east Japan earthquake: A three-year cohort study","type":"article-journal"},"uris":["http://www.mendeley.com/documents/?uuid=d31022d2-8ae4-4340-a759-2bcaf18d738c"]}],"mendeley":{"formattedCitation":"(12)","plainTextFormattedCitation":"(12)","previouslyFormattedCitation":"(12)"},"properties":{"noteIndex":0},"schema":"https://github.com/citation-style-language/schema/raw/master/csl-citation.json"}</w:instrText>
            </w:r>
            <w:r w:rsidRPr="00A50645">
              <w:rPr>
                <w:color w:val="000000" w:themeColor="text1"/>
                <w:sz w:val="22"/>
                <w:szCs w:val="22"/>
              </w:rPr>
              <w:fldChar w:fldCharType="end"/>
            </w:r>
          </w:p>
        </w:tc>
        <w:tc>
          <w:tcPr>
            <w:tcW w:w="11340" w:type="dxa"/>
            <w:tcBorders>
              <w:top w:val="nil"/>
              <w:bottom w:val="nil"/>
            </w:tcBorders>
            <w:shd w:val="clear" w:color="auto" w:fill="auto"/>
          </w:tcPr>
          <w:p w14:paraId="400CE38F" w14:textId="77777777" w:rsidR="00910D06" w:rsidRPr="003151E2" w:rsidRDefault="00910D06" w:rsidP="00C179D1">
            <w:pPr>
              <w:spacing w:line="276" w:lineRule="auto"/>
              <w:ind w:firstLine="0"/>
              <w:rPr>
                <w:color w:val="000000" w:themeColor="text1"/>
                <w:sz w:val="22"/>
                <w:szCs w:val="22"/>
                <w:shd w:val="clear" w:color="auto" w:fill="FFFFFF"/>
                <w:lang w:val="en-US"/>
              </w:rPr>
            </w:pPr>
            <w:r w:rsidRPr="003151E2">
              <w:rPr>
                <w:color w:val="000000" w:themeColor="text1"/>
                <w:sz w:val="22"/>
                <w:szCs w:val="22"/>
                <w:shd w:val="clear" w:color="auto" w:fill="FFFFFF"/>
                <w:lang w:val="en-US"/>
              </w:rPr>
              <w:t xml:space="preserve">Prospective cohort study </w:t>
            </w:r>
            <w:r>
              <w:rPr>
                <w:color w:val="000000" w:themeColor="text1"/>
                <w:sz w:val="22"/>
                <w:szCs w:val="22"/>
                <w:shd w:val="clear" w:color="auto" w:fill="FFFFFF"/>
                <w:lang w:val="en-US"/>
              </w:rPr>
              <w:t>on c</w:t>
            </w:r>
            <w:r w:rsidRPr="003151E2">
              <w:rPr>
                <w:color w:val="000000" w:themeColor="text1"/>
                <w:sz w:val="22"/>
                <w:szCs w:val="22"/>
                <w:shd w:val="clear" w:color="auto" w:fill="FFFFFF"/>
                <w:lang w:val="en-US"/>
              </w:rPr>
              <w:t xml:space="preserve">ognition and </w:t>
            </w:r>
            <w:r>
              <w:rPr>
                <w:color w:val="000000" w:themeColor="text1"/>
                <w:sz w:val="22"/>
                <w:szCs w:val="22"/>
                <w:shd w:val="clear" w:color="auto" w:fill="FFFFFF"/>
                <w:lang w:val="en-US"/>
              </w:rPr>
              <w:t xml:space="preserve">activities of </w:t>
            </w:r>
            <w:r w:rsidRPr="003151E2">
              <w:rPr>
                <w:color w:val="000000" w:themeColor="text1"/>
                <w:sz w:val="22"/>
                <w:szCs w:val="22"/>
                <w:shd w:val="clear" w:color="auto" w:fill="FFFFFF"/>
                <w:lang w:val="en-US"/>
              </w:rPr>
              <w:t xml:space="preserve">daily living </w:t>
            </w:r>
            <w:r>
              <w:rPr>
                <w:color w:val="000000" w:themeColor="text1"/>
                <w:sz w:val="22"/>
                <w:szCs w:val="22"/>
                <w:shd w:val="clear" w:color="auto" w:fill="FFFFFF"/>
                <w:lang w:val="en-US"/>
              </w:rPr>
              <w:t xml:space="preserve">in older </w:t>
            </w:r>
            <w:r w:rsidRPr="003151E2">
              <w:rPr>
                <w:color w:val="000000" w:themeColor="text1"/>
                <w:sz w:val="22"/>
                <w:szCs w:val="22"/>
                <w:shd w:val="clear" w:color="auto" w:fill="FFFFFF"/>
                <w:lang w:val="en-US"/>
              </w:rPr>
              <w:t>people</w:t>
            </w:r>
            <w:r>
              <w:rPr>
                <w:color w:val="000000" w:themeColor="text1"/>
                <w:sz w:val="22"/>
                <w:szCs w:val="22"/>
                <w:shd w:val="clear" w:color="auto" w:fill="FFFFFF"/>
                <w:lang w:val="en-US"/>
              </w:rPr>
              <w:t xml:space="preserve"> </w:t>
            </w:r>
            <w:r w:rsidRPr="003151E2">
              <w:rPr>
                <w:color w:val="000000" w:themeColor="text1"/>
                <w:sz w:val="22"/>
                <w:szCs w:val="22"/>
                <w:shd w:val="clear" w:color="auto" w:fill="FFFFFF"/>
                <w:lang w:val="en-US"/>
              </w:rPr>
              <w:t>affected by the 2011 Great East Japan earthquake</w:t>
            </w:r>
            <w:r>
              <w:rPr>
                <w:color w:val="000000" w:themeColor="text1"/>
                <w:sz w:val="22"/>
                <w:szCs w:val="22"/>
                <w:shd w:val="clear" w:color="auto" w:fill="FFFFFF"/>
                <w:lang w:val="en-US"/>
              </w:rPr>
              <w:t>; P</w:t>
            </w:r>
            <w:r w:rsidRPr="003151E2">
              <w:rPr>
                <w:color w:val="000000" w:themeColor="text1"/>
                <w:sz w:val="22"/>
                <w:szCs w:val="22"/>
                <w:shd w:val="clear" w:color="auto" w:fill="FFFFFF"/>
                <w:lang w:val="en-US"/>
              </w:rPr>
              <w:t>TSD and dementia not assessed or diagnosed based on established clinical criteria</w:t>
            </w:r>
            <w:r w:rsidRPr="003151E2">
              <w:rPr>
                <w:color w:val="000000" w:themeColor="text1"/>
                <w:sz w:val="22"/>
                <w:szCs w:val="22"/>
                <w:lang w:val="en-US"/>
              </w:rPr>
              <w:t>.</w:t>
            </w:r>
          </w:p>
        </w:tc>
      </w:tr>
      <w:tr w:rsidR="00CF0E9A" w:rsidRPr="00074213" w14:paraId="76E9A302" w14:textId="77777777" w:rsidTr="00C179D1">
        <w:trPr>
          <w:trHeight w:val="270"/>
        </w:trPr>
        <w:tc>
          <w:tcPr>
            <w:tcW w:w="2552" w:type="dxa"/>
            <w:tcBorders>
              <w:top w:val="nil"/>
              <w:bottom w:val="nil"/>
            </w:tcBorders>
            <w:shd w:val="clear" w:color="auto" w:fill="auto"/>
          </w:tcPr>
          <w:p w14:paraId="6D7CF1CD" w14:textId="5A768018" w:rsidR="00CF0E9A" w:rsidRPr="00A50645" w:rsidRDefault="00CF0E9A" w:rsidP="00CF0E9A">
            <w:pPr>
              <w:spacing w:line="276" w:lineRule="auto"/>
              <w:ind w:firstLine="0"/>
              <w:rPr>
                <w:color w:val="000000" w:themeColor="text1"/>
                <w:sz w:val="22"/>
                <w:szCs w:val="22"/>
              </w:rPr>
            </w:pPr>
            <w:proofErr w:type="spellStart"/>
            <w:r w:rsidRPr="00D86409">
              <w:rPr>
                <w:color w:val="000000" w:themeColor="text1"/>
                <w:sz w:val="22"/>
                <w:szCs w:val="22"/>
              </w:rPr>
              <w:t>Kodesh</w:t>
            </w:r>
            <w:proofErr w:type="spellEnd"/>
            <w:r w:rsidRPr="00D86409">
              <w:rPr>
                <w:color w:val="000000" w:themeColor="text1"/>
                <w:sz w:val="22"/>
                <w:szCs w:val="22"/>
              </w:rPr>
              <w:t xml:space="preserve"> et al. (2019)</w:t>
            </w:r>
          </w:p>
        </w:tc>
        <w:tc>
          <w:tcPr>
            <w:tcW w:w="11340" w:type="dxa"/>
            <w:tcBorders>
              <w:top w:val="nil"/>
              <w:bottom w:val="nil"/>
            </w:tcBorders>
            <w:shd w:val="clear" w:color="auto" w:fill="auto"/>
          </w:tcPr>
          <w:p w14:paraId="6D5527ED" w14:textId="0E5136A2" w:rsidR="00CF0E9A" w:rsidRPr="003151E2" w:rsidRDefault="00CF0E9A" w:rsidP="00CF0E9A">
            <w:pPr>
              <w:spacing w:line="276" w:lineRule="auto"/>
              <w:ind w:firstLine="0"/>
              <w:rPr>
                <w:color w:val="000000" w:themeColor="text1"/>
                <w:sz w:val="22"/>
                <w:szCs w:val="22"/>
                <w:shd w:val="clear" w:color="auto" w:fill="FFFFFF"/>
                <w:lang w:val="en-US"/>
              </w:rPr>
            </w:pPr>
            <w:r w:rsidRPr="003151E2">
              <w:rPr>
                <w:color w:val="000000" w:themeColor="text1"/>
                <w:sz w:val="22"/>
                <w:szCs w:val="22"/>
                <w:lang w:val="en-US"/>
              </w:rPr>
              <w:t xml:space="preserve">Retrospective cohort study </w:t>
            </w:r>
            <w:r>
              <w:rPr>
                <w:color w:val="000000" w:themeColor="text1"/>
                <w:sz w:val="22"/>
                <w:szCs w:val="22"/>
                <w:lang w:val="en-US"/>
              </w:rPr>
              <w:t xml:space="preserve">on </w:t>
            </w:r>
            <w:r w:rsidRPr="003151E2">
              <w:rPr>
                <w:color w:val="000000" w:themeColor="text1"/>
                <w:sz w:val="22"/>
                <w:szCs w:val="22"/>
                <w:lang w:val="en-US"/>
              </w:rPr>
              <w:t>past Holocaust exposure and risk of dementia</w:t>
            </w:r>
            <w:r>
              <w:rPr>
                <w:color w:val="000000" w:themeColor="text1"/>
                <w:sz w:val="22"/>
                <w:szCs w:val="22"/>
                <w:lang w:val="en-US"/>
              </w:rPr>
              <w:t>; a</w:t>
            </w:r>
            <w:proofErr w:type="spellStart"/>
            <w:r w:rsidRPr="003151E2">
              <w:rPr>
                <w:color w:val="000000" w:themeColor="text1"/>
                <w:sz w:val="22"/>
                <w:szCs w:val="22"/>
              </w:rPr>
              <w:t>ssociation</w:t>
            </w:r>
            <w:proofErr w:type="spellEnd"/>
            <w:r w:rsidRPr="003151E2">
              <w:rPr>
                <w:color w:val="000000" w:themeColor="text1"/>
                <w:sz w:val="22"/>
                <w:szCs w:val="22"/>
              </w:rPr>
              <w:t xml:space="preserve"> between PTSD and dementia not examined.</w:t>
            </w:r>
          </w:p>
        </w:tc>
      </w:tr>
      <w:tr w:rsidR="00CF0E9A" w:rsidRPr="00074213" w14:paraId="2487355D" w14:textId="77777777" w:rsidTr="00C179D1">
        <w:trPr>
          <w:trHeight w:val="419"/>
        </w:trPr>
        <w:tc>
          <w:tcPr>
            <w:tcW w:w="2552" w:type="dxa"/>
            <w:tcBorders>
              <w:top w:val="nil"/>
              <w:bottom w:val="nil"/>
            </w:tcBorders>
            <w:shd w:val="clear" w:color="auto" w:fill="auto"/>
          </w:tcPr>
          <w:p w14:paraId="38BE52F8" w14:textId="77777777" w:rsidR="00CF0E9A" w:rsidRPr="00A50645" w:rsidRDefault="00CF0E9A" w:rsidP="00CF0E9A">
            <w:pPr>
              <w:spacing w:line="276" w:lineRule="auto"/>
              <w:ind w:firstLine="0"/>
              <w:rPr>
                <w:color w:val="000000" w:themeColor="text1"/>
                <w:sz w:val="22"/>
                <w:szCs w:val="22"/>
              </w:rPr>
            </w:pPr>
            <w:r w:rsidRPr="00A50645">
              <w:rPr>
                <w:color w:val="000000" w:themeColor="text1"/>
                <w:sz w:val="22"/>
                <w:szCs w:val="22"/>
              </w:rPr>
              <w:lastRenderedPageBreak/>
              <w:t xml:space="preserve">Krasnov et al. (2015) </w:t>
            </w:r>
          </w:p>
        </w:tc>
        <w:tc>
          <w:tcPr>
            <w:tcW w:w="11340" w:type="dxa"/>
            <w:tcBorders>
              <w:top w:val="nil"/>
              <w:bottom w:val="nil"/>
            </w:tcBorders>
            <w:shd w:val="clear" w:color="auto" w:fill="auto"/>
          </w:tcPr>
          <w:p w14:paraId="7881BEF2" w14:textId="4CCE79F2" w:rsidR="00CF0E9A" w:rsidRPr="003151E2" w:rsidRDefault="00CF0E9A" w:rsidP="00CF0E9A">
            <w:pPr>
              <w:spacing w:line="276" w:lineRule="auto"/>
              <w:ind w:firstLine="0"/>
              <w:rPr>
                <w:color w:val="000000" w:themeColor="text1"/>
                <w:sz w:val="22"/>
                <w:szCs w:val="22"/>
                <w:lang w:val="en-US"/>
              </w:rPr>
            </w:pPr>
            <w:r w:rsidRPr="003151E2">
              <w:rPr>
                <w:color w:val="000000" w:themeColor="text1"/>
                <w:sz w:val="22"/>
                <w:szCs w:val="22"/>
                <w:lang w:val="en-US"/>
              </w:rPr>
              <w:t xml:space="preserve">Prospective cohort study </w:t>
            </w:r>
            <w:r>
              <w:rPr>
                <w:color w:val="000000" w:themeColor="text1"/>
                <w:sz w:val="22"/>
                <w:szCs w:val="22"/>
                <w:lang w:val="en-US"/>
              </w:rPr>
              <w:t xml:space="preserve">on </w:t>
            </w:r>
            <w:r w:rsidRPr="003151E2">
              <w:rPr>
                <w:color w:val="000000" w:themeColor="text1"/>
                <w:sz w:val="22"/>
                <w:szCs w:val="22"/>
                <w:lang w:val="en-US"/>
              </w:rPr>
              <w:t>early ageing in Chernobyl clean-up workers</w:t>
            </w:r>
            <w:r>
              <w:rPr>
                <w:color w:val="000000" w:themeColor="text1"/>
                <w:sz w:val="22"/>
                <w:szCs w:val="22"/>
                <w:lang w:val="en-US"/>
              </w:rPr>
              <w:t>; a</w:t>
            </w:r>
            <w:proofErr w:type="spellStart"/>
            <w:r w:rsidRPr="003151E2">
              <w:rPr>
                <w:color w:val="000000" w:themeColor="text1"/>
                <w:sz w:val="22"/>
                <w:szCs w:val="22"/>
              </w:rPr>
              <w:t>ssociation</w:t>
            </w:r>
            <w:proofErr w:type="spellEnd"/>
            <w:r w:rsidRPr="003151E2">
              <w:rPr>
                <w:color w:val="000000" w:themeColor="text1"/>
                <w:sz w:val="22"/>
                <w:szCs w:val="22"/>
              </w:rPr>
              <w:t xml:space="preserve"> between PTSD and dementia not examined.</w:t>
            </w:r>
          </w:p>
        </w:tc>
      </w:tr>
      <w:tr w:rsidR="00CF0E9A" w:rsidRPr="00074213" w14:paraId="086D29F4" w14:textId="77777777" w:rsidTr="00C179D1">
        <w:trPr>
          <w:trHeight w:val="419"/>
        </w:trPr>
        <w:tc>
          <w:tcPr>
            <w:tcW w:w="2552" w:type="dxa"/>
            <w:tcBorders>
              <w:top w:val="nil"/>
              <w:bottom w:val="nil"/>
            </w:tcBorders>
            <w:shd w:val="clear" w:color="auto" w:fill="auto"/>
          </w:tcPr>
          <w:p w14:paraId="7216F68A" w14:textId="77777777" w:rsidR="00CF0E9A" w:rsidRPr="00A50645" w:rsidRDefault="00CF0E9A" w:rsidP="00CF0E9A">
            <w:pPr>
              <w:spacing w:line="276" w:lineRule="auto"/>
              <w:ind w:firstLine="0"/>
              <w:rPr>
                <w:color w:val="000000" w:themeColor="text1"/>
                <w:sz w:val="22"/>
                <w:szCs w:val="22"/>
              </w:rPr>
            </w:pPr>
            <w:proofErr w:type="spellStart"/>
            <w:r w:rsidRPr="00A50645">
              <w:rPr>
                <w:color w:val="000000" w:themeColor="text1"/>
                <w:sz w:val="22"/>
                <w:szCs w:val="22"/>
              </w:rPr>
              <w:t>Loganovsky</w:t>
            </w:r>
            <w:proofErr w:type="spellEnd"/>
            <w:r w:rsidRPr="00A50645">
              <w:rPr>
                <w:color w:val="000000" w:themeColor="text1"/>
                <w:sz w:val="22"/>
                <w:szCs w:val="22"/>
              </w:rPr>
              <w:t xml:space="preserve"> et al. (2018) </w:t>
            </w:r>
          </w:p>
        </w:tc>
        <w:tc>
          <w:tcPr>
            <w:tcW w:w="11340" w:type="dxa"/>
            <w:tcBorders>
              <w:top w:val="nil"/>
              <w:bottom w:val="nil"/>
            </w:tcBorders>
            <w:shd w:val="clear" w:color="auto" w:fill="auto"/>
          </w:tcPr>
          <w:p w14:paraId="75FD1074" w14:textId="77777777" w:rsidR="00CF0E9A" w:rsidRPr="003151E2" w:rsidRDefault="00CF0E9A" w:rsidP="00CF0E9A">
            <w:pPr>
              <w:spacing w:line="276" w:lineRule="auto"/>
              <w:ind w:firstLine="0"/>
              <w:rPr>
                <w:color w:val="000000" w:themeColor="text1"/>
                <w:sz w:val="22"/>
                <w:szCs w:val="22"/>
                <w:lang w:val="en-US"/>
              </w:rPr>
            </w:pPr>
            <w:r w:rsidRPr="003151E2">
              <w:rPr>
                <w:color w:val="000000" w:themeColor="text1"/>
                <w:sz w:val="22"/>
                <w:szCs w:val="22"/>
                <w:lang w:val="en-US"/>
              </w:rPr>
              <w:t xml:space="preserve">Cross-sectional study </w:t>
            </w:r>
            <w:r>
              <w:rPr>
                <w:color w:val="000000" w:themeColor="text1"/>
                <w:sz w:val="22"/>
                <w:szCs w:val="22"/>
                <w:lang w:val="en-US"/>
              </w:rPr>
              <w:t xml:space="preserve">on </w:t>
            </w:r>
            <w:r w:rsidRPr="003151E2">
              <w:rPr>
                <w:color w:val="000000" w:themeColor="text1"/>
                <w:sz w:val="22"/>
                <w:szCs w:val="22"/>
                <w:lang w:val="en-US"/>
              </w:rPr>
              <w:t>neuropsychiatric characteristics of antiterrorist operation combatants in Ukraine</w:t>
            </w:r>
            <w:r>
              <w:rPr>
                <w:color w:val="000000" w:themeColor="text1"/>
                <w:sz w:val="22"/>
                <w:szCs w:val="22"/>
                <w:lang w:val="en-US"/>
              </w:rPr>
              <w:t>; d</w:t>
            </w:r>
            <w:r w:rsidRPr="003151E2">
              <w:rPr>
                <w:color w:val="000000" w:themeColor="text1"/>
                <w:sz w:val="22"/>
                <w:szCs w:val="22"/>
                <w:shd w:val="clear" w:color="auto" w:fill="FFFFFF"/>
                <w:lang w:val="en-US"/>
              </w:rPr>
              <w:t>ementia not diagnosed based on established clinical criteria</w:t>
            </w:r>
            <w:r w:rsidRPr="003151E2">
              <w:rPr>
                <w:color w:val="000000" w:themeColor="text1"/>
                <w:sz w:val="22"/>
                <w:szCs w:val="22"/>
                <w:lang w:val="en-US"/>
              </w:rPr>
              <w:t>.</w:t>
            </w:r>
          </w:p>
        </w:tc>
      </w:tr>
      <w:tr w:rsidR="00CF0E9A" w:rsidRPr="00074213" w14:paraId="6E6EA472" w14:textId="77777777" w:rsidTr="00C179D1">
        <w:trPr>
          <w:trHeight w:val="419"/>
        </w:trPr>
        <w:tc>
          <w:tcPr>
            <w:tcW w:w="2552" w:type="dxa"/>
            <w:tcBorders>
              <w:top w:val="nil"/>
              <w:bottom w:val="nil"/>
            </w:tcBorders>
            <w:shd w:val="clear" w:color="auto" w:fill="auto"/>
          </w:tcPr>
          <w:p w14:paraId="44A9E76B" w14:textId="77777777" w:rsidR="00CF0E9A" w:rsidRPr="00D86409" w:rsidRDefault="00CF0E9A" w:rsidP="00CF0E9A">
            <w:pPr>
              <w:spacing w:line="276" w:lineRule="auto"/>
              <w:ind w:firstLine="0"/>
              <w:rPr>
                <w:color w:val="000000" w:themeColor="text1"/>
                <w:sz w:val="22"/>
                <w:szCs w:val="22"/>
              </w:rPr>
            </w:pPr>
            <w:r w:rsidRPr="00D86409">
              <w:rPr>
                <w:color w:val="000000" w:themeColor="text1"/>
                <w:sz w:val="22"/>
                <w:szCs w:val="22"/>
              </w:rPr>
              <w:t xml:space="preserve">Mohamed et al. (2018) </w:t>
            </w:r>
          </w:p>
        </w:tc>
        <w:tc>
          <w:tcPr>
            <w:tcW w:w="11340" w:type="dxa"/>
            <w:tcBorders>
              <w:top w:val="nil"/>
              <w:bottom w:val="nil"/>
            </w:tcBorders>
            <w:shd w:val="clear" w:color="auto" w:fill="auto"/>
          </w:tcPr>
          <w:p w14:paraId="451FC252" w14:textId="77777777" w:rsidR="00CF0E9A" w:rsidRPr="003151E2" w:rsidRDefault="00CF0E9A" w:rsidP="00CF0E9A">
            <w:pPr>
              <w:spacing w:line="276" w:lineRule="auto"/>
              <w:ind w:firstLine="0"/>
              <w:rPr>
                <w:color w:val="000000" w:themeColor="text1"/>
                <w:sz w:val="22"/>
                <w:szCs w:val="22"/>
                <w:lang w:val="en-US"/>
              </w:rPr>
            </w:pPr>
            <w:r w:rsidRPr="003151E2">
              <w:rPr>
                <w:color w:val="000000" w:themeColor="text1"/>
                <w:sz w:val="22"/>
                <w:szCs w:val="22"/>
                <w:lang w:val="en-US"/>
              </w:rPr>
              <w:t xml:space="preserve">Cross-sectional study </w:t>
            </w:r>
            <w:r>
              <w:rPr>
                <w:color w:val="000000" w:themeColor="text1"/>
                <w:sz w:val="22"/>
                <w:szCs w:val="22"/>
                <w:lang w:val="en-US"/>
              </w:rPr>
              <w:t xml:space="preserve">on the association of </w:t>
            </w:r>
            <w:r w:rsidRPr="003151E2">
              <w:rPr>
                <w:color w:val="000000" w:themeColor="text1"/>
                <w:sz w:val="22"/>
                <w:szCs w:val="22"/>
                <w:lang w:val="en-US"/>
              </w:rPr>
              <w:t xml:space="preserve">TBI and/or PTSD </w:t>
            </w:r>
            <w:r>
              <w:rPr>
                <w:color w:val="000000" w:themeColor="text1"/>
                <w:sz w:val="22"/>
                <w:szCs w:val="22"/>
                <w:lang w:val="en-US"/>
              </w:rPr>
              <w:t xml:space="preserve">and </w:t>
            </w:r>
            <w:r w:rsidRPr="003151E2">
              <w:rPr>
                <w:color w:val="000000" w:themeColor="text1"/>
                <w:sz w:val="22"/>
                <w:szCs w:val="22"/>
                <w:lang w:val="en-US"/>
              </w:rPr>
              <w:t xml:space="preserve">increase </w:t>
            </w:r>
            <w:r>
              <w:rPr>
                <w:color w:val="000000" w:themeColor="text1"/>
                <w:sz w:val="22"/>
                <w:szCs w:val="22"/>
                <w:lang w:val="en-US"/>
              </w:rPr>
              <w:t xml:space="preserve">in </w:t>
            </w:r>
            <w:r w:rsidRPr="003151E2">
              <w:rPr>
                <w:color w:val="000000" w:themeColor="text1"/>
                <w:sz w:val="22"/>
                <w:szCs w:val="22"/>
                <w:lang w:val="en-US"/>
              </w:rPr>
              <w:t>amyloid beta accumulation</w:t>
            </w:r>
            <w:r>
              <w:rPr>
                <w:color w:val="000000" w:themeColor="text1"/>
                <w:sz w:val="22"/>
                <w:szCs w:val="22"/>
                <w:lang w:val="en-US"/>
              </w:rPr>
              <w:t xml:space="preserve"> in</w:t>
            </w:r>
            <w:r w:rsidRPr="003151E2">
              <w:rPr>
                <w:color w:val="000000" w:themeColor="text1"/>
                <w:sz w:val="22"/>
                <w:szCs w:val="22"/>
                <w:lang w:val="en-US"/>
              </w:rPr>
              <w:t xml:space="preserve"> Vietnam War veterans</w:t>
            </w:r>
            <w:r>
              <w:rPr>
                <w:color w:val="000000" w:themeColor="text1"/>
                <w:sz w:val="22"/>
                <w:szCs w:val="22"/>
                <w:lang w:val="en-US"/>
              </w:rPr>
              <w:t>; d</w:t>
            </w:r>
            <w:r w:rsidRPr="003151E2">
              <w:rPr>
                <w:color w:val="000000" w:themeColor="text1"/>
                <w:sz w:val="22"/>
                <w:szCs w:val="22"/>
                <w:shd w:val="clear" w:color="auto" w:fill="FFFFFF"/>
                <w:lang w:val="en-US"/>
              </w:rPr>
              <w:t>ementia not diagnosed based on established clinical criteria</w:t>
            </w:r>
            <w:r w:rsidRPr="003151E2">
              <w:rPr>
                <w:color w:val="000000" w:themeColor="text1"/>
                <w:sz w:val="22"/>
                <w:szCs w:val="22"/>
                <w:lang w:val="en-US"/>
              </w:rPr>
              <w:t>.</w:t>
            </w:r>
          </w:p>
        </w:tc>
      </w:tr>
      <w:tr w:rsidR="00CF0E9A" w:rsidRPr="00074213" w14:paraId="0D527A12" w14:textId="77777777" w:rsidTr="00C179D1">
        <w:trPr>
          <w:trHeight w:val="419"/>
        </w:trPr>
        <w:tc>
          <w:tcPr>
            <w:tcW w:w="2552" w:type="dxa"/>
            <w:tcBorders>
              <w:top w:val="nil"/>
              <w:bottom w:val="nil"/>
            </w:tcBorders>
            <w:shd w:val="clear" w:color="auto" w:fill="auto"/>
          </w:tcPr>
          <w:p w14:paraId="25A78F65" w14:textId="77777777" w:rsidR="00CF0E9A" w:rsidRPr="00D86409" w:rsidRDefault="00CF0E9A" w:rsidP="00CF0E9A">
            <w:pPr>
              <w:spacing w:line="276" w:lineRule="auto"/>
              <w:ind w:firstLine="0"/>
              <w:rPr>
                <w:color w:val="000000" w:themeColor="text1"/>
                <w:sz w:val="22"/>
                <w:szCs w:val="22"/>
              </w:rPr>
            </w:pPr>
            <w:r w:rsidRPr="00D86409">
              <w:rPr>
                <w:color w:val="000000" w:themeColor="text1"/>
                <w:sz w:val="22"/>
                <w:szCs w:val="22"/>
              </w:rPr>
              <w:t xml:space="preserve">Mohamed et al. (2019) </w:t>
            </w:r>
          </w:p>
        </w:tc>
        <w:tc>
          <w:tcPr>
            <w:tcW w:w="11340" w:type="dxa"/>
            <w:tcBorders>
              <w:top w:val="nil"/>
              <w:bottom w:val="nil"/>
            </w:tcBorders>
            <w:shd w:val="clear" w:color="auto" w:fill="auto"/>
          </w:tcPr>
          <w:p w14:paraId="2834D169" w14:textId="77777777" w:rsidR="00CF0E9A" w:rsidRPr="003151E2" w:rsidRDefault="00CF0E9A" w:rsidP="00CF0E9A">
            <w:pPr>
              <w:spacing w:line="276" w:lineRule="auto"/>
              <w:ind w:firstLine="0"/>
              <w:rPr>
                <w:color w:val="000000" w:themeColor="text1"/>
                <w:sz w:val="22"/>
                <w:szCs w:val="22"/>
                <w:lang w:val="en-US"/>
              </w:rPr>
            </w:pPr>
            <w:r w:rsidRPr="003151E2">
              <w:rPr>
                <w:color w:val="000000" w:themeColor="text1"/>
                <w:sz w:val="22"/>
                <w:szCs w:val="22"/>
                <w:lang w:val="en-US"/>
              </w:rPr>
              <w:t xml:space="preserve">Cross-sectional study </w:t>
            </w:r>
            <w:r w:rsidRPr="00433F4E">
              <w:rPr>
                <w:color w:val="000000" w:themeColor="text1"/>
                <w:sz w:val="22"/>
                <w:szCs w:val="22"/>
                <w:lang w:val="en-US"/>
              </w:rPr>
              <w:t xml:space="preserve">on </w:t>
            </w:r>
            <w:r>
              <w:rPr>
                <w:color w:val="000000" w:themeColor="text1"/>
                <w:sz w:val="22"/>
                <w:szCs w:val="22"/>
                <w:lang w:val="en-US"/>
              </w:rPr>
              <w:t xml:space="preserve">the association between </w:t>
            </w:r>
            <w:r w:rsidRPr="003151E2">
              <w:rPr>
                <w:color w:val="000000" w:themeColor="text1"/>
                <w:sz w:val="22"/>
                <w:szCs w:val="22"/>
                <w:lang w:val="en-US"/>
              </w:rPr>
              <w:t>TBI and/or PTSD increase tau deposition in the brain of Vietnam War veterans</w:t>
            </w:r>
            <w:r>
              <w:rPr>
                <w:color w:val="000000" w:themeColor="text1"/>
                <w:sz w:val="22"/>
                <w:szCs w:val="22"/>
                <w:lang w:val="en-US"/>
              </w:rPr>
              <w:t>; d</w:t>
            </w:r>
            <w:r w:rsidRPr="003151E2">
              <w:rPr>
                <w:color w:val="000000" w:themeColor="text1"/>
                <w:sz w:val="22"/>
                <w:szCs w:val="22"/>
                <w:shd w:val="clear" w:color="auto" w:fill="FFFFFF"/>
                <w:lang w:val="en-US"/>
              </w:rPr>
              <w:t>ementia not diagnosed based on established clinical criteria</w:t>
            </w:r>
            <w:r w:rsidRPr="003151E2">
              <w:rPr>
                <w:color w:val="000000" w:themeColor="text1"/>
                <w:sz w:val="22"/>
                <w:szCs w:val="22"/>
                <w:lang w:val="en-US"/>
              </w:rPr>
              <w:t>.</w:t>
            </w:r>
            <w:r>
              <w:rPr>
                <w:color w:val="000000" w:themeColor="text1"/>
                <w:sz w:val="22"/>
                <w:szCs w:val="22"/>
                <w:lang w:val="en-US"/>
              </w:rPr>
              <w:t xml:space="preserve"> </w:t>
            </w:r>
          </w:p>
        </w:tc>
      </w:tr>
      <w:tr w:rsidR="00CF0E9A" w:rsidRPr="00074213" w14:paraId="4C596264" w14:textId="77777777" w:rsidTr="00C179D1">
        <w:trPr>
          <w:trHeight w:val="419"/>
        </w:trPr>
        <w:tc>
          <w:tcPr>
            <w:tcW w:w="2552" w:type="dxa"/>
            <w:tcBorders>
              <w:top w:val="nil"/>
              <w:bottom w:val="nil"/>
            </w:tcBorders>
            <w:shd w:val="clear" w:color="auto" w:fill="auto"/>
          </w:tcPr>
          <w:p w14:paraId="3021BE9C" w14:textId="77777777" w:rsidR="00CF0E9A" w:rsidRPr="00D86409" w:rsidRDefault="00CF0E9A" w:rsidP="00CF0E9A">
            <w:pPr>
              <w:spacing w:line="276" w:lineRule="auto"/>
              <w:ind w:firstLine="0"/>
              <w:rPr>
                <w:color w:val="000000" w:themeColor="text1"/>
                <w:sz w:val="22"/>
                <w:szCs w:val="22"/>
              </w:rPr>
            </w:pPr>
            <w:proofErr w:type="spellStart"/>
            <w:r w:rsidRPr="00D86409">
              <w:rPr>
                <w:color w:val="000000" w:themeColor="text1"/>
                <w:sz w:val="22"/>
                <w:szCs w:val="22"/>
              </w:rPr>
              <w:t>Raad</w:t>
            </w:r>
            <w:proofErr w:type="spellEnd"/>
            <w:r w:rsidRPr="00D86409">
              <w:rPr>
                <w:color w:val="000000" w:themeColor="text1"/>
                <w:sz w:val="22"/>
                <w:szCs w:val="22"/>
              </w:rPr>
              <w:t xml:space="preserve"> (2017) </w:t>
            </w:r>
          </w:p>
        </w:tc>
        <w:tc>
          <w:tcPr>
            <w:tcW w:w="11340" w:type="dxa"/>
            <w:tcBorders>
              <w:top w:val="nil"/>
              <w:bottom w:val="nil"/>
            </w:tcBorders>
            <w:shd w:val="clear" w:color="auto" w:fill="auto"/>
          </w:tcPr>
          <w:p w14:paraId="199A37BF" w14:textId="77777777" w:rsidR="00CF0E9A" w:rsidRPr="003151E2" w:rsidRDefault="00CF0E9A" w:rsidP="00CF0E9A">
            <w:pPr>
              <w:spacing w:line="276" w:lineRule="auto"/>
              <w:ind w:firstLine="0"/>
              <w:rPr>
                <w:color w:val="000000" w:themeColor="text1"/>
                <w:sz w:val="22"/>
                <w:szCs w:val="22"/>
                <w:lang w:val="en-US"/>
              </w:rPr>
            </w:pPr>
            <w:r w:rsidRPr="003151E2">
              <w:rPr>
                <w:color w:val="000000" w:themeColor="text1"/>
                <w:sz w:val="22"/>
                <w:szCs w:val="22"/>
                <w:lang w:val="en-US"/>
              </w:rPr>
              <w:t xml:space="preserve">Retrospective cohort study </w:t>
            </w:r>
            <w:r>
              <w:rPr>
                <w:color w:val="000000" w:themeColor="text1"/>
                <w:sz w:val="22"/>
                <w:szCs w:val="22"/>
                <w:lang w:val="en-US"/>
              </w:rPr>
              <w:t xml:space="preserve">on </w:t>
            </w:r>
            <w:r w:rsidRPr="003151E2">
              <w:rPr>
                <w:color w:val="000000" w:themeColor="text1"/>
                <w:sz w:val="22"/>
                <w:szCs w:val="22"/>
                <w:lang w:val="en-US"/>
              </w:rPr>
              <w:t>chronic health conditions among homeless vete</w:t>
            </w:r>
            <w:r>
              <w:rPr>
                <w:color w:val="000000" w:themeColor="text1"/>
                <w:sz w:val="22"/>
                <w:szCs w:val="22"/>
                <w:lang w:val="en-US"/>
              </w:rPr>
              <w:t>rans with physical disabilities; a</w:t>
            </w:r>
            <w:r w:rsidRPr="003151E2">
              <w:rPr>
                <w:color w:val="000000" w:themeColor="text1"/>
                <w:sz w:val="22"/>
                <w:szCs w:val="22"/>
              </w:rPr>
              <w:t>association between PTSD and dementia not examined.</w:t>
            </w:r>
          </w:p>
        </w:tc>
      </w:tr>
      <w:tr w:rsidR="00CF0E9A" w:rsidRPr="00074213" w14:paraId="2995407A" w14:textId="77777777" w:rsidTr="00C179D1">
        <w:tc>
          <w:tcPr>
            <w:tcW w:w="2552" w:type="dxa"/>
            <w:tcBorders>
              <w:top w:val="nil"/>
              <w:bottom w:val="nil"/>
            </w:tcBorders>
            <w:shd w:val="clear" w:color="auto" w:fill="auto"/>
          </w:tcPr>
          <w:p w14:paraId="1C208586" w14:textId="77777777" w:rsidR="00CF0E9A" w:rsidRPr="00D86409" w:rsidRDefault="00CF0E9A" w:rsidP="00CF0E9A">
            <w:pPr>
              <w:spacing w:line="276" w:lineRule="auto"/>
              <w:ind w:firstLine="0"/>
              <w:rPr>
                <w:color w:val="000000" w:themeColor="text1"/>
                <w:sz w:val="22"/>
                <w:szCs w:val="22"/>
              </w:rPr>
            </w:pPr>
            <w:proofErr w:type="spellStart"/>
            <w:r w:rsidRPr="00D86409">
              <w:rPr>
                <w:color w:val="000000" w:themeColor="text1"/>
                <w:sz w:val="22"/>
                <w:szCs w:val="22"/>
              </w:rPr>
              <w:t>Ravona</w:t>
            </w:r>
            <w:proofErr w:type="spellEnd"/>
            <w:r w:rsidRPr="00D86409">
              <w:rPr>
                <w:color w:val="000000" w:themeColor="text1"/>
                <w:sz w:val="22"/>
                <w:szCs w:val="22"/>
              </w:rPr>
              <w:t xml:space="preserve">-Springer et al. (2011) </w:t>
            </w:r>
          </w:p>
        </w:tc>
        <w:tc>
          <w:tcPr>
            <w:tcW w:w="11340" w:type="dxa"/>
            <w:tcBorders>
              <w:top w:val="nil"/>
              <w:bottom w:val="nil"/>
            </w:tcBorders>
            <w:shd w:val="clear" w:color="auto" w:fill="auto"/>
          </w:tcPr>
          <w:p w14:paraId="26AF2E70" w14:textId="77777777" w:rsidR="00CF0E9A" w:rsidRPr="003151E2" w:rsidRDefault="00CF0E9A" w:rsidP="00CF0E9A">
            <w:pPr>
              <w:tabs>
                <w:tab w:val="left" w:pos="429"/>
              </w:tabs>
              <w:spacing w:line="276" w:lineRule="auto"/>
              <w:ind w:firstLine="0"/>
              <w:rPr>
                <w:color w:val="000000" w:themeColor="text1"/>
                <w:sz w:val="22"/>
                <w:szCs w:val="22"/>
                <w:lang w:val="en-US"/>
              </w:rPr>
            </w:pPr>
            <w:r w:rsidRPr="003151E2">
              <w:rPr>
                <w:color w:val="000000" w:themeColor="text1"/>
                <w:sz w:val="22"/>
                <w:szCs w:val="22"/>
                <w:lang w:val="en-US"/>
              </w:rPr>
              <w:t xml:space="preserve">Retrospective cohort study </w:t>
            </w:r>
            <w:r>
              <w:rPr>
                <w:color w:val="000000" w:themeColor="text1"/>
                <w:sz w:val="22"/>
                <w:szCs w:val="22"/>
                <w:lang w:val="en-US"/>
              </w:rPr>
              <w:t xml:space="preserve">on exposure to </w:t>
            </w:r>
            <w:r w:rsidRPr="003151E2">
              <w:rPr>
                <w:color w:val="000000" w:themeColor="text1"/>
                <w:sz w:val="22"/>
                <w:szCs w:val="22"/>
                <w:lang w:val="en-US"/>
              </w:rPr>
              <w:t>Holocaust and World War II concentration camps and risk of dementia</w:t>
            </w:r>
            <w:r>
              <w:rPr>
                <w:color w:val="000000" w:themeColor="text1"/>
                <w:sz w:val="22"/>
                <w:szCs w:val="22"/>
                <w:lang w:val="en-US"/>
              </w:rPr>
              <w:t xml:space="preserve">; </w:t>
            </w:r>
            <w:r w:rsidRPr="003151E2">
              <w:rPr>
                <w:color w:val="000000" w:themeColor="text1"/>
                <w:sz w:val="22"/>
                <w:szCs w:val="22"/>
                <w:lang w:val="en-US"/>
              </w:rPr>
              <w:t>PTSD symptoms not assessed or diagnosed.</w:t>
            </w:r>
          </w:p>
        </w:tc>
      </w:tr>
      <w:tr w:rsidR="00CF0E9A" w:rsidRPr="00074213" w14:paraId="7BD5DD25" w14:textId="77777777" w:rsidTr="00C179D1">
        <w:tc>
          <w:tcPr>
            <w:tcW w:w="2552" w:type="dxa"/>
            <w:tcBorders>
              <w:top w:val="nil"/>
              <w:bottom w:val="nil"/>
            </w:tcBorders>
            <w:shd w:val="clear" w:color="auto" w:fill="auto"/>
          </w:tcPr>
          <w:p w14:paraId="5DD74E3A" w14:textId="77777777" w:rsidR="00CF0E9A" w:rsidRPr="00D86409" w:rsidRDefault="00CF0E9A" w:rsidP="00CF0E9A">
            <w:pPr>
              <w:spacing w:line="276" w:lineRule="auto"/>
              <w:ind w:firstLine="0"/>
              <w:rPr>
                <w:color w:val="000000" w:themeColor="text1"/>
                <w:sz w:val="22"/>
                <w:szCs w:val="22"/>
              </w:rPr>
            </w:pPr>
            <w:r w:rsidRPr="00D86409">
              <w:rPr>
                <w:color w:val="000000" w:themeColor="text1"/>
                <w:sz w:val="22"/>
                <w:szCs w:val="22"/>
              </w:rPr>
              <w:t xml:space="preserve">Ritchie et al. (2011) </w:t>
            </w:r>
          </w:p>
        </w:tc>
        <w:tc>
          <w:tcPr>
            <w:tcW w:w="11340" w:type="dxa"/>
            <w:tcBorders>
              <w:top w:val="nil"/>
              <w:bottom w:val="nil"/>
            </w:tcBorders>
            <w:shd w:val="clear" w:color="auto" w:fill="auto"/>
          </w:tcPr>
          <w:p w14:paraId="27E0F2F8" w14:textId="77777777" w:rsidR="00CF0E9A" w:rsidRPr="003151E2" w:rsidRDefault="00CF0E9A" w:rsidP="00CF0E9A">
            <w:pPr>
              <w:tabs>
                <w:tab w:val="left" w:pos="429"/>
              </w:tabs>
              <w:spacing w:line="276" w:lineRule="auto"/>
              <w:ind w:firstLine="0"/>
              <w:rPr>
                <w:color w:val="000000" w:themeColor="text1"/>
                <w:sz w:val="22"/>
                <w:szCs w:val="22"/>
                <w:lang w:val="en-US"/>
              </w:rPr>
            </w:pPr>
            <w:r w:rsidRPr="003151E2">
              <w:rPr>
                <w:color w:val="000000" w:themeColor="text1"/>
                <w:sz w:val="22"/>
                <w:szCs w:val="22"/>
                <w:lang w:val="en-US"/>
              </w:rPr>
              <w:t xml:space="preserve">Cross-sectional and longitudinal study </w:t>
            </w:r>
            <w:r>
              <w:rPr>
                <w:color w:val="000000" w:themeColor="text1"/>
                <w:sz w:val="22"/>
                <w:szCs w:val="22"/>
                <w:lang w:val="en-US"/>
              </w:rPr>
              <w:t xml:space="preserve">on </w:t>
            </w:r>
            <w:r w:rsidRPr="003151E2">
              <w:rPr>
                <w:color w:val="000000" w:themeColor="text1"/>
                <w:sz w:val="22"/>
                <w:szCs w:val="22"/>
                <w:lang w:val="en-US"/>
              </w:rPr>
              <w:t xml:space="preserve">the association between adverse childhood environment and cognitive function in community dwelling </w:t>
            </w:r>
            <w:r>
              <w:rPr>
                <w:color w:val="000000" w:themeColor="text1"/>
                <w:sz w:val="22"/>
                <w:szCs w:val="22"/>
                <w:lang w:val="en-US"/>
              </w:rPr>
              <w:t xml:space="preserve">older people; </w:t>
            </w:r>
            <w:r w:rsidRPr="003151E2">
              <w:rPr>
                <w:color w:val="000000" w:themeColor="text1"/>
                <w:sz w:val="22"/>
                <w:szCs w:val="22"/>
                <w:lang w:val="en-US"/>
              </w:rPr>
              <w:t>PTSD symptoms not assessed or diagnosed.</w:t>
            </w:r>
          </w:p>
        </w:tc>
      </w:tr>
      <w:tr w:rsidR="00CF0E9A" w:rsidRPr="00074213" w14:paraId="507A2B97" w14:textId="77777777" w:rsidTr="00C179D1">
        <w:tc>
          <w:tcPr>
            <w:tcW w:w="2552" w:type="dxa"/>
            <w:tcBorders>
              <w:top w:val="nil"/>
              <w:bottom w:val="nil"/>
            </w:tcBorders>
            <w:shd w:val="clear" w:color="auto" w:fill="auto"/>
          </w:tcPr>
          <w:p w14:paraId="5691D877" w14:textId="77777777" w:rsidR="00CF0E9A" w:rsidRPr="00D86409" w:rsidRDefault="00CF0E9A" w:rsidP="00CF0E9A">
            <w:pPr>
              <w:spacing w:line="276" w:lineRule="auto"/>
              <w:ind w:firstLine="0"/>
              <w:rPr>
                <w:color w:val="000000" w:themeColor="text1"/>
                <w:sz w:val="22"/>
                <w:szCs w:val="22"/>
              </w:rPr>
            </w:pPr>
            <w:r w:rsidRPr="00D86409">
              <w:rPr>
                <w:color w:val="000000" w:themeColor="text1"/>
                <w:sz w:val="22"/>
                <w:szCs w:val="22"/>
              </w:rPr>
              <w:t xml:space="preserve">Sperling et al. (2011) </w:t>
            </w:r>
          </w:p>
        </w:tc>
        <w:tc>
          <w:tcPr>
            <w:tcW w:w="11340" w:type="dxa"/>
            <w:tcBorders>
              <w:top w:val="nil"/>
              <w:bottom w:val="nil"/>
            </w:tcBorders>
            <w:shd w:val="clear" w:color="auto" w:fill="auto"/>
          </w:tcPr>
          <w:p w14:paraId="342A292B" w14:textId="77777777" w:rsidR="00CF0E9A" w:rsidRPr="003151E2" w:rsidRDefault="00CF0E9A" w:rsidP="00CF0E9A">
            <w:pPr>
              <w:spacing w:line="276" w:lineRule="auto"/>
              <w:ind w:firstLine="0"/>
              <w:rPr>
                <w:color w:val="000000" w:themeColor="text1"/>
                <w:sz w:val="22"/>
                <w:szCs w:val="22"/>
                <w:lang w:val="en-US"/>
              </w:rPr>
            </w:pPr>
            <w:r w:rsidRPr="003151E2">
              <w:rPr>
                <w:color w:val="000000" w:themeColor="text1"/>
                <w:sz w:val="22"/>
                <w:szCs w:val="22"/>
                <w:lang w:val="en-US"/>
              </w:rPr>
              <w:t xml:space="preserve">Brief report </w:t>
            </w:r>
            <w:r>
              <w:rPr>
                <w:color w:val="000000" w:themeColor="text1"/>
                <w:sz w:val="22"/>
                <w:szCs w:val="22"/>
                <w:lang w:val="en-US"/>
              </w:rPr>
              <w:t xml:space="preserve">on </w:t>
            </w:r>
            <w:r w:rsidRPr="003151E2">
              <w:rPr>
                <w:color w:val="000000" w:themeColor="text1"/>
                <w:sz w:val="22"/>
                <w:szCs w:val="22"/>
                <w:lang w:val="en-US"/>
              </w:rPr>
              <w:t>risk of dementia in Holocaust survivors with PTSD</w:t>
            </w:r>
            <w:r>
              <w:rPr>
                <w:color w:val="000000" w:themeColor="text1"/>
                <w:sz w:val="22"/>
                <w:szCs w:val="22"/>
                <w:lang w:val="en-US"/>
              </w:rPr>
              <w:t>; u</w:t>
            </w:r>
            <w:r w:rsidRPr="003151E2">
              <w:rPr>
                <w:color w:val="000000" w:themeColor="text1"/>
                <w:sz w:val="22"/>
                <w:szCs w:val="22"/>
                <w:lang w:val="en-US"/>
              </w:rPr>
              <w:t xml:space="preserve">nclear whether this is a longitudinal study; contact with author not possible. </w:t>
            </w:r>
          </w:p>
        </w:tc>
      </w:tr>
      <w:tr w:rsidR="00CF0E9A" w:rsidRPr="00074213" w14:paraId="014E00BB" w14:textId="77777777" w:rsidTr="00C179D1">
        <w:tc>
          <w:tcPr>
            <w:tcW w:w="2552" w:type="dxa"/>
            <w:tcBorders>
              <w:top w:val="nil"/>
              <w:bottom w:val="nil"/>
            </w:tcBorders>
            <w:shd w:val="clear" w:color="auto" w:fill="auto"/>
          </w:tcPr>
          <w:p w14:paraId="79E718F1" w14:textId="77777777" w:rsidR="00CF0E9A" w:rsidRPr="00D86409" w:rsidRDefault="00CF0E9A" w:rsidP="00CF0E9A">
            <w:pPr>
              <w:spacing w:line="276" w:lineRule="auto"/>
              <w:ind w:firstLine="0"/>
              <w:rPr>
                <w:color w:val="000000" w:themeColor="text1"/>
                <w:sz w:val="22"/>
                <w:szCs w:val="22"/>
              </w:rPr>
            </w:pPr>
            <w:proofErr w:type="spellStart"/>
            <w:r w:rsidRPr="00D86409">
              <w:rPr>
                <w:color w:val="000000" w:themeColor="text1"/>
                <w:sz w:val="22"/>
                <w:szCs w:val="22"/>
              </w:rPr>
              <w:t>Tsolaki</w:t>
            </w:r>
            <w:proofErr w:type="spellEnd"/>
            <w:r w:rsidRPr="00D86409">
              <w:rPr>
                <w:color w:val="000000" w:themeColor="text1"/>
                <w:sz w:val="22"/>
                <w:szCs w:val="22"/>
              </w:rPr>
              <w:t xml:space="preserve"> et al. (2010) </w:t>
            </w:r>
          </w:p>
        </w:tc>
        <w:tc>
          <w:tcPr>
            <w:tcW w:w="11340" w:type="dxa"/>
            <w:tcBorders>
              <w:top w:val="nil"/>
              <w:bottom w:val="nil"/>
            </w:tcBorders>
            <w:shd w:val="clear" w:color="auto" w:fill="auto"/>
          </w:tcPr>
          <w:p w14:paraId="31B4D4A1" w14:textId="77777777" w:rsidR="00CF0E9A" w:rsidRPr="003151E2" w:rsidRDefault="00CF0E9A" w:rsidP="00CF0E9A">
            <w:pPr>
              <w:tabs>
                <w:tab w:val="left" w:pos="429"/>
              </w:tabs>
              <w:spacing w:line="276" w:lineRule="auto"/>
              <w:ind w:firstLine="0"/>
              <w:rPr>
                <w:color w:val="000000" w:themeColor="text1"/>
                <w:sz w:val="22"/>
                <w:szCs w:val="22"/>
                <w:lang w:val="en-US"/>
              </w:rPr>
            </w:pPr>
            <w:r w:rsidRPr="003151E2">
              <w:rPr>
                <w:color w:val="000000" w:themeColor="text1"/>
                <w:sz w:val="22"/>
                <w:szCs w:val="22"/>
                <w:lang w:val="en-US"/>
              </w:rPr>
              <w:t xml:space="preserve">Retrospective cohort study </w:t>
            </w:r>
            <w:r>
              <w:rPr>
                <w:color w:val="000000" w:themeColor="text1"/>
                <w:sz w:val="22"/>
                <w:szCs w:val="22"/>
                <w:lang w:val="en-US"/>
              </w:rPr>
              <w:t xml:space="preserve">on the association </w:t>
            </w:r>
            <w:r w:rsidRPr="003151E2">
              <w:rPr>
                <w:color w:val="000000" w:themeColor="text1"/>
                <w:sz w:val="22"/>
                <w:szCs w:val="22"/>
                <w:lang w:val="en-US"/>
              </w:rPr>
              <w:t>between stressful life events and cognitive impairment in old</w:t>
            </w:r>
            <w:r>
              <w:rPr>
                <w:color w:val="000000" w:themeColor="text1"/>
                <w:sz w:val="22"/>
                <w:szCs w:val="22"/>
                <w:lang w:val="en-US"/>
              </w:rPr>
              <w:t xml:space="preserve">er people </w:t>
            </w:r>
            <w:r w:rsidRPr="003151E2">
              <w:rPr>
                <w:color w:val="000000" w:themeColor="text1"/>
                <w:sz w:val="22"/>
                <w:szCs w:val="22"/>
                <w:lang w:val="en-US"/>
              </w:rPr>
              <w:t>with dementia</w:t>
            </w:r>
            <w:r>
              <w:rPr>
                <w:color w:val="000000" w:themeColor="text1"/>
                <w:sz w:val="22"/>
                <w:szCs w:val="22"/>
                <w:lang w:val="en-US"/>
              </w:rPr>
              <w:t xml:space="preserve">; </w:t>
            </w:r>
            <w:r w:rsidRPr="003151E2">
              <w:rPr>
                <w:color w:val="000000" w:themeColor="text1"/>
                <w:sz w:val="22"/>
                <w:szCs w:val="22"/>
                <w:lang w:val="en-US"/>
              </w:rPr>
              <w:t>PTSD symptoms not assessed or diagnosed.</w:t>
            </w:r>
          </w:p>
        </w:tc>
      </w:tr>
      <w:tr w:rsidR="00CF0E9A" w:rsidRPr="00074213" w14:paraId="442AE53B" w14:textId="77777777" w:rsidTr="00C179D1">
        <w:tc>
          <w:tcPr>
            <w:tcW w:w="2552" w:type="dxa"/>
            <w:tcBorders>
              <w:top w:val="nil"/>
              <w:bottom w:val="nil"/>
            </w:tcBorders>
            <w:shd w:val="clear" w:color="auto" w:fill="auto"/>
          </w:tcPr>
          <w:p w14:paraId="287EAA0D" w14:textId="77777777" w:rsidR="00CF0E9A" w:rsidRPr="00D86409" w:rsidRDefault="00CF0E9A" w:rsidP="00CF0E9A">
            <w:pPr>
              <w:spacing w:line="276" w:lineRule="auto"/>
              <w:ind w:firstLine="0"/>
              <w:rPr>
                <w:color w:val="000000" w:themeColor="text1"/>
                <w:sz w:val="22"/>
                <w:szCs w:val="22"/>
              </w:rPr>
            </w:pPr>
            <w:r w:rsidRPr="00D86409">
              <w:rPr>
                <w:color w:val="000000" w:themeColor="text1"/>
                <w:sz w:val="22"/>
                <w:szCs w:val="22"/>
              </w:rPr>
              <w:t xml:space="preserve">Weiner et al. (2017) </w:t>
            </w:r>
          </w:p>
        </w:tc>
        <w:tc>
          <w:tcPr>
            <w:tcW w:w="11340" w:type="dxa"/>
            <w:tcBorders>
              <w:top w:val="nil"/>
              <w:bottom w:val="nil"/>
            </w:tcBorders>
            <w:shd w:val="clear" w:color="auto" w:fill="auto"/>
          </w:tcPr>
          <w:p w14:paraId="1E4E7D55" w14:textId="77777777" w:rsidR="00CF0E9A" w:rsidRPr="003151E2" w:rsidRDefault="00CF0E9A" w:rsidP="00CF0E9A">
            <w:pPr>
              <w:tabs>
                <w:tab w:val="left" w:pos="429"/>
              </w:tabs>
              <w:spacing w:line="276" w:lineRule="auto"/>
              <w:ind w:firstLine="0"/>
              <w:rPr>
                <w:color w:val="000000" w:themeColor="text1"/>
                <w:sz w:val="22"/>
                <w:szCs w:val="22"/>
                <w:lang w:val="en-US"/>
              </w:rPr>
            </w:pPr>
            <w:r w:rsidRPr="003151E2">
              <w:rPr>
                <w:color w:val="000000" w:themeColor="text1"/>
                <w:sz w:val="22"/>
                <w:szCs w:val="22"/>
                <w:lang w:val="en-US"/>
              </w:rPr>
              <w:t xml:space="preserve">Preliminary findings of a prospective cohort study assessing </w:t>
            </w:r>
            <w:r>
              <w:rPr>
                <w:color w:val="000000" w:themeColor="text1"/>
                <w:sz w:val="22"/>
                <w:szCs w:val="22"/>
                <w:lang w:val="en-US"/>
              </w:rPr>
              <w:t xml:space="preserve">risk of </w:t>
            </w:r>
            <w:r w:rsidRPr="003151E2">
              <w:rPr>
                <w:color w:val="000000" w:themeColor="text1"/>
                <w:sz w:val="22"/>
                <w:szCs w:val="22"/>
                <w:lang w:val="en-US"/>
              </w:rPr>
              <w:t xml:space="preserve">TBI and/or PTSD </w:t>
            </w:r>
            <w:r>
              <w:rPr>
                <w:color w:val="000000" w:themeColor="text1"/>
                <w:sz w:val="22"/>
                <w:szCs w:val="22"/>
                <w:lang w:val="en-US"/>
              </w:rPr>
              <w:t xml:space="preserve">and </w:t>
            </w:r>
            <w:r w:rsidRPr="003151E2">
              <w:rPr>
                <w:color w:val="000000" w:themeColor="text1"/>
                <w:sz w:val="22"/>
                <w:szCs w:val="22"/>
                <w:lang w:val="en-US"/>
              </w:rPr>
              <w:t>developing Alzheimer’s disease in Vietnam Veterans using biomarkers and measur</w:t>
            </w:r>
            <w:r>
              <w:rPr>
                <w:color w:val="000000" w:themeColor="text1"/>
                <w:sz w:val="22"/>
                <w:szCs w:val="22"/>
                <w:lang w:val="en-US"/>
              </w:rPr>
              <w:t xml:space="preserve">es of </w:t>
            </w:r>
            <w:r w:rsidRPr="003151E2">
              <w:rPr>
                <w:color w:val="000000" w:themeColor="text1"/>
                <w:sz w:val="22"/>
                <w:szCs w:val="22"/>
                <w:lang w:val="en-US"/>
              </w:rPr>
              <w:t>cognitive function</w:t>
            </w:r>
            <w:r>
              <w:rPr>
                <w:color w:val="000000" w:themeColor="text1"/>
                <w:sz w:val="22"/>
                <w:szCs w:val="22"/>
                <w:lang w:val="en-US"/>
              </w:rPr>
              <w:t>; d</w:t>
            </w:r>
            <w:r w:rsidRPr="003151E2">
              <w:rPr>
                <w:color w:val="000000" w:themeColor="text1"/>
                <w:sz w:val="22"/>
                <w:szCs w:val="22"/>
                <w:lang w:val="en-US"/>
              </w:rPr>
              <w:t xml:space="preserve">ementia </w:t>
            </w:r>
            <w:r w:rsidRPr="003151E2">
              <w:rPr>
                <w:color w:val="000000" w:themeColor="text1"/>
                <w:sz w:val="22"/>
                <w:szCs w:val="22"/>
                <w:shd w:val="clear" w:color="auto" w:fill="FFFFFF"/>
                <w:lang w:val="en-US"/>
              </w:rPr>
              <w:t>not diagnosed based on established clinical criteria.</w:t>
            </w:r>
          </w:p>
        </w:tc>
      </w:tr>
      <w:tr w:rsidR="00CF0E9A" w:rsidRPr="00074213" w14:paraId="5994AA73" w14:textId="77777777" w:rsidTr="00C179D1">
        <w:tc>
          <w:tcPr>
            <w:tcW w:w="2552" w:type="dxa"/>
            <w:tcBorders>
              <w:top w:val="nil"/>
              <w:bottom w:val="nil"/>
            </w:tcBorders>
            <w:shd w:val="clear" w:color="auto" w:fill="auto"/>
          </w:tcPr>
          <w:p w14:paraId="3CA8E53C" w14:textId="77777777" w:rsidR="00CF0E9A" w:rsidRPr="00D86409" w:rsidRDefault="00CF0E9A" w:rsidP="00CF0E9A">
            <w:pPr>
              <w:spacing w:line="276" w:lineRule="auto"/>
              <w:ind w:firstLine="0"/>
              <w:rPr>
                <w:color w:val="000000" w:themeColor="text1"/>
                <w:sz w:val="22"/>
                <w:szCs w:val="22"/>
              </w:rPr>
            </w:pPr>
            <w:r w:rsidRPr="00D86409">
              <w:rPr>
                <w:color w:val="000000" w:themeColor="text1"/>
                <w:sz w:val="22"/>
                <w:szCs w:val="22"/>
              </w:rPr>
              <w:t xml:space="preserve">Yehuda et al. (2005) </w:t>
            </w:r>
          </w:p>
        </w:tc>
        <w:tc>
          <w:tcPr>
            <w:tcW w:w="11340" w:type="dxa"/>
            <w:tcBorders>
              <w:top w:val="nil"/>
              <w:bottom w:val="nil"/>
            </w:tcBorders>
            <w:shd w:val="clear" w:color="auto" w:fill="auto"/>
          </w:tcPr>
          <w:p w14:paraId="366EF408" w14:textId="77777777" w:rsidR="00CF0E9A" w:rsidRPr="003151E2" w:rsidRDefault="00CF0E9A" w:rsidP="00CF0E9A">
            <w:pPr>
              <w:spacing w:line="276" w:lineRule="auto"/>
              <w:ind w:firstLine="0"/>
              <w:rPr>
                <w:color w:val="000000" w:themeColor="text1"/>
                <w:sz w:val="22"/>
                <w:szCs w:val="22"/>
                <w:highlight w:val="yellow"/>
                <w:lang w:val="en-US"/>
              </w:rPr>
            </w:pPr>
            <w:r w:rsidRPr="003151E2">
              <w:rPr>
                <w:color w:val="000000" w:themeColor="text1"/>
                <w:sz w:val="22"/>
                <w:szCs w:val="22"/>
                <w:lang w:val="en-US"/>
              </w:rPr>
              <w:t xml:space="preserve">Cross-sectional study investigating learning and memory in ageing combat veterans of </w:t>
            </w:r>
            <w:r>
              <w:rPr>
                <w:color w:val="000000" w:themeColor="text1"/>
                <w:sz w:val="22"/>
                <w:szCs w:val="22"/>
                <w:lang w:val="en-US"/>
              </w:rPr>
              <w:t xml:space="preserve">the </w:t>
            </w:r>
            <w:r w:rsidRPr="003151E2">
              <w:rPr>
                <w:color w:val="000000" w:themeColor="text1"/>
                <w:sz w:val="22"/>
                <w:szCs w:val="22"/>
                <w:lang w:val="en-US"/>
              </w:rPr>
              <w:t xml:space="preserve">World War II, </w:t>
            </w:r>
            <w:r>
              <w:rPr>
                <w:color w:val="000000" w:themeColor="text1"/>
                <w:sz w:val="22"/>
                <w:szCs w:val="22"/>
                <w:lang w:val="en-US"/>
              </w:rPr>
              <w:t xml:space="preserve">the </w:t>
            </w:r>
            <w:r w:rsidRPr="003151E2">
              <w:rPr>
                <w:color w:val="000000" w:themeColor="text1"/>
                <w:sz w:val="22"/>
                <w:szCs w:val="22"/>
                <w:lang w:val="en-US"/>
              </w:rPr>
              <w:t>Korean War</w:t>
            </w:r>
            <w:r>
              <w:rPr>
                <w:color w:val="000000" w:themeColor="text1"/>
                <w:sz w:val="22"/>
                <w:szCs w:val="22"/>
                <w:lang w:val="en-US"/>
              </w:rPr>
              <w:t>, and</w:t>
            </w:r>
            <w:r w:rsidRPr="003151E2">
              <w:rPr>
                <w:color w:val="000000" w:themeColor="text1"/>
                <w:sz w:val="22"/>
                <w:szCs w:val="22"/>
                <w:lang w:val="en-US"/>
              </w:rPr>
              <w:t xml:space="preserve"> </w:t>
            </w:r>
            <w:r>
              <w:rPr>
                <w:color w:val="000000" w:themeColor="text1"/>
                <w:sz w:val="22"/>
                <w:szCs w:val="22"/>
                <w:lang w:val="en-US"/>
              </w:rPr>
              <w:t xml:space="preserve">the </w:t>
            </w:r>
            <w:r w:rsidRPr="003151E2">
              <w:rPr>
                <w:color w:val="000000" w:themeColor="text1"/>
                <w:sz w:val="22"/>
                <w:szCs w:val="22"/>
                <w:lang w:val="en-US"/>
              </w:rPr>
              <w:t>Vietnam War with PTSD</w:t>
            </w:r>
            <w:r>
              <w:rPr>
                <w:color w:val="000000" w:themeColor="text1"/>
                <w:sz w:val="22"/>
                <w:szCs w:val="22"/>
                <w:lang w:val="en-US"/>
              </w:rPr>
              <w:t>; d</w:t>
            </w:r>
            <w:r w:rsidRPr="003151E2">
              <w:rPr>
                <w:color w:val="000000" w:themeColor="text1"/>
                <w:sz w:val="22"/>
                <w:szCs w:val="22"/>
                <w:lang w:val="en-US"/>
              </w:rPr>
              <w:t xml:space="preserve">ementia not diagnosed based on </w:t>
            </w:r>
            <w:r>
              <w:rPr>
                <w:color w:val="000000" w:themeColor="text1"/>
                <w:sz w:val="22"/>
                <w:szCs w:val="22"/>
                <w:lang w:val="en-US"/>
              </w:rPr>
              <w:t xml:space="preserve">established </w:t>
            </w:r>
            <w:r w:rsidRPr="003151E2">
              <w:rPr>
                <w:color w:val="000000" w:themeColor="text1"/>
                <w:sz w:val="22"/>
                <w:szCs w:val="22"/>
                <w:lang w:val="en-US"/>
              </w:rPr>
              <w:t>clinical criteria.</w:t>
            </w:r>
          </w:p>
        </w:tc>
      </w:tr>
      <w:tr w:rsidR="00CF0E9A" w:rsidRPr="00074213" w14:paraId="4C8C964C" w14:textId="77777777" w:rsidTr="00C179D1">
        <w:tc>
          <w:tcPr>
            <w:tcW w:w="2552" w:type="dxa"/>
            <w:tcBorders>
              <w:top w:val="nil"/>
            </w:tcBorders>
            <w:shd w:val="clear" w:color="auto" w:fill="auto"/>
          </w:tcPr>
          <w:p w14:paraId="375BEBEC" w14:textId="77777777" w:rsidR="00CF0E9A" w:rsidRPr="00D86409" w:rsidRDefault="00CF0E9A" w:rsidP="00CF0E9A">
            <w:pPr>
              <w:spacing w:line="276" w:lineRule="auto"/>
              <w:ind w:firstLine="0"/>
              <w:rPr>
                <w:color w:val="000000" w:themeColor="text1"/>
                <w:sz w:val="22"/>
                <w:szCs w:val="22"/>
              </w:rPr>
            </w:pPr>
            <w:r w:rsidRPr="00D86409">
              <w:rPr>
                <w:color w:val="000000" w:themeColor="text1"/>
                <w:sz w:val="22"/>
                <w:szCs w:val="22"/>
              </w:rPr>
              <w:t xml:space="preserve">Yehuda et al. (2006) </w:t>
            </w:r>
          </w:p>
        </w:tc>
        <w:tc>
          <w:tcPr>
            <w:tcW w:w="11340" w:type="dxa"/>
            <w:tcBorders>
              <w:top w:val="nil"/>
            </w:tcBorders>
            <w:shd w:val="clear" w:color="auto" w:fill="auto"/>
          </w:tcPr>
          <w:p w14:paraId="5C769706" w14:textId="77777777" w:rsidR="00CF0E9A" w:rsidRPr="003151E2" w:rsidRDefault="00CF0E9A" w:rsidP="00CF0E9A">
            <w:pPr>
              <w:spacing w:line="276" w:lineRule="auto"/>
              <w:ind w:firstLine="0"/>
              <w:rPr>
                <w:color w:val="000000" w:themeColor="text1"/>
                <w:sz w:val="22"/>
                <w:szCs w:val="22"/>
                <w:lang w:val="en-US"/>
              </w:rPr>
            </w:pPr>
            <w:r w:rsidRPr="003151E2">
              <w:rPr>
                <w:color w:val="000000" w:themeColor="text1"/>
                <w:sz w:val="22"/>
                <w:szCs w:val="22"/>
                <w:lang w:val="en-US"/>
              </w:rPr>
              <w:t>Prospective cohort study assessing cognitive function in Holocaust survivors with and without PTSD compared to a non-exposed cohort</w:t>
            </w:r>
            <w:r>
              <w:rPr>
                <w:color w:val="000000" w:themeColor="text1"/>
                <w:sz w:val="22"/>
                <w:szCs w:val="22"/>
                <w:lang w:val="en-US"/>
              </w:rPr>
              <w:t>; d</w:t>
            </w:r>
            <w:r w:rsidRPr="003151E2">
              <w:rPr>
                <w:color w:val="000000" w:themeColor="text1"/>
                <w:sz w:val="22"/>
                <w:szCs w:val="22"/>
                <w:lang w:val="en-US"/>
              </w:rPr>
              <w:t xml:space="preserve">ementia not diagnosed based on </w:t>
            </w:r>
            <w:r>
              <w:rPr>
                <w:color w:val="000000" w:themeColor="text1"/>
                <w:sz w:val="22"/>
                <w:szCs w:val="22"/>
                <w:lang w:val="en-US"/>
              </w:rPr>
              <w:t xml:space="preserve">established </w:t>
            </w:r>
            <w:r w:rsidRPr="003151E2">
              <w:rPr>
                <w:color w:val="000000" w:themeColor="text1"/>
                <w:sz w:val="22"/>
                <w:szCs w:val="22"/>
                <w:lang w:val="en-US"/>
              </w:rPr>
              <w:t>clinical criteria.</w:t>
            </w:r>
          </w:p>
        </w:tc>
      </w:tr>
    </w:tbl>
    <w:p w14:paraId="486EC8A3" w14:textId="77777777" w:rsidR="00910D06" w:rsidRPr="00223FFF" w:rsidRDefault="00910D06" w:rsidP="00910D06">
      <w:pPr>
        <w:spacing w:line="276" w:lineRule="auto"/>
        <w:rPr>
          <w:color w:val="000000" w:themeColor="text1"/>
          <w:sz w:val="20"/>
          <w:szCs w:val="20"/>
          <w:lang w:val="en-US"/>
        </w:rPr>
      </w:pPr>
      <w:r w:rsidRPr="00223FFF">
        <w:rPr>
          <w:i/>
          <w:color w:val="000000" w:themeColor="text1"/>
          <w:sz w:val="20"/>
          <w:szCs w:val="20"/>
          <w:lang w:val="en-US"/>
        </w:rPr>
        <w:t xml:space="preserve">Note. </w:t>
      </w:r>
      <w:r w:rsidRPr="00223FFF">
        <w:rPr>
          <w:color w:val="000000" w:themeColor="text1"/>
          <w:sz w:val="20"/>
          <w:szCs w:val="20"/>
          <w:lang w:val="en-US"/>
        </w:rPr>
        <w:t xml:space="preserve">PTSD: Posttraumatic stress disorder; MCI: Mild cognitive impairment; TBI: Traumatic brain injury. </w:t>
      </w:r>
    </w:p>
    <w:p w14:paraId="5D13E5B0" w14:textId="77777777" w:rsidR="00910D06" w:rsidRDefault="00910D06" w:rsidP="00910D06">
      <w:pPr>
        <w:spacing w:line="276" w:lineRule="auto"/>
        <w:rPr>
          <w:color w:val="000000" w:themeColor="text1"/>
          <w:sz w:val="18"/>
          <w:szCs w:val="18"/>
          <w:vertAlign w:val="superscript"/>
          <w:lang w:val="en-US"/>
        </w:rPr>
      </w:pPr>
    </w:p>
    <w:p w14:paraId="5F5F6DEC" w14:textId="77777777" w:rsidR="00910D06" w:rsidRPr="00DD7782" w:rsidRDefault="00910D06" w:rsidP="00910D06">
      <w:pPr>
        <w:spacing w:line="276" w:lineRule="auto"/>
        <w:rPr>
          <w:color w:val="000000" w:themeColor="text1"/>
          <w:lang w:val="en-US"/>
        </w:rPr>
      </w:pPr>
    </w:p>
    <w:p w14:paraId="1C21F4E8" w14:textId="3FBBF77B" w:rsidR="002E442A" w:rsidRDefault="002E442A">
      <w:pPr>
        <w:rPr>
          <w:color w:val="000000" w:themeColor="text1"/>
          <w:lang w:val="en-US"/>
        </w:rPr>
      </w:pPr>
    </w:p>
    <w:p w14:paraId="291207CC" w14:textId="77777777" w:rsidR="00781D53" w:rsidRDefault="00781D53">
      <w:pPr>
        <w:rPr>
          <w:rFonts w:eastAsia="Arial Unicode MS"/>
          <w:color w:val="000000" w:themeColor="text1"/>
          <w:lang w:val="en-US"/>
        </w:rPr>
        <w:sectPr w:rsidR="00781D53" w:rsidSect="0082639C">
          <w:headerReference w:type="even" r:id="rId10"/>
          <w:headerReference w:type="default" r:id="rId11"/>
          <w:pgSz w:w="16840" w:h="11900" w:orient="landscape"/>
          <w:pgMar w:top="1418" w:right="1418" w:bottom="1418" w:left="680" w:header="709" w:footer="709" w:gutter="0"/>
          <w:cols w:space="708"/>
          <w:docGrid w:linePitch="360"/>
        </w:sectPr>
      </w:pPr>
    </w:p>
    <w:p w14:paraId="72A38DD5" w14:textId="10429D11" w:rsidR="00F06B34" w:rsidRDefault="00F06B34" w:rsidP="005D632C">
      <w:pPr>
        <w:ind w:hanging="142"/>
        <w:rPr>
          <w:iCs/>
          <w:color w:val="000000" w:themeColor="text1"/>
          <w:lang w:val="en-US"/>
        </w:rPr>
      </w:pPr>
      <w:r w:rsidRPr="00934CF4">
        <w:rPr>
          <w:color w:val="000000" w:themeColor="text1"/>
          <w:lang w:val="en-US"/>
        </w:rPr>
        <w:lastRenderedPageBreak/>
        <w:t xml:space="preserve">Table </w:t>
      </w:r>
      <w:r>
        <w:rPr>
          <w:color w:val="000000" w:themeColor="text1"/>
          <w:lang w:val="en-US"/>
        </w:rPr>
        <w:t>3</w:t>
      </w:r>
      <w:r w:rsidR="00D86409">
        <w:rPr>
          <w:color w:val="000000" w:themeColor="text1"/>
          <w:lang w:val="en-US"/>
        </w:rPr>
        <w:t xml:space="preserve"> </w:t>
      </w:r>
      <w:r w:rsidRPr="00D86409">
        <w:rPr>
          <w:iCs/>
          <w:color w:val="000000" w:themeColor="text1"/>
          <w:lang w:val="en-US"/>
        </w:rPr>
        <w:t>Methodological quality of included studies</w:t>
      </w:r>
    </w:p>
    <w:tbl>
      <w:tblPr>
        <w:tblStyle w:val="TableGrid"/>
        <w:tblpPr w:leftFromText="180" w:rightFromText="180" w:vertAnchor="text" w:horzAnchor="margin" w:tblpX="-284" w:tblpY="18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2"/>
        <w:gridCol w:w="1108"/>
        <w:gridCol w:w="1229"/>
        <w:gridCol w:w="2173"/>
        <w:gridCol w:w="1817"/>
        <w:gridCol w:w="1666"/>
        <w:gridCol w:w="990"/>
        <w:gridCol w:w="1609"/>
        <w:gridCol w:w="1203"/>
        <w:gridCol w:w="1102"/>
      </w:tblGrid>
      <w:tr w:rsidR="005D632C" w:rsidRPr="006455C1" w14:paraId="382EE169" w14:textId="77777777" w:rsidTr="005D632C">
        <w:trPr>
          <w:trHeight w:val="331"/>
        </w:trPr>
        <w:tc>
          <w:tcPr>
            <w:tcW w:w="2412" w:type="dxa"/>
            <w:tcBorders>
              <w:top w:val="single" w:sz="4" w:space="0" w:color="auto"/>
              <w:bottom w:val="single" w:sz="4" w:space="0" w:color="auto"/>
            </w:tcBorders>
            <w:shd w:val="clear" w:color="auto" w:fill="auto"/>
          </w:tcPr>
          <w:p w14:paraId="65F25138" w14:textId="77777777" w:rsidR="005D632C" w:rsidRPr="003151E2" w:rsidRDefault="005D632C" w:rsidP="005D632C">
            <w:pPr>
              <w:spacing w:line="312" w:lineRule="auto"/>
              <w:jc w:val="both"/>
              <w:rPr>
                <w:iCs/>
                <w:color w:val="000000" w:themeColor="text1"/>
                <w:sz w:val="22"/>
                <w:szCs w:val="22"/>
                <w:lang w:val="en-US"/>
              </w:rPr>
            </w:pPr>
          </w:p>
        </w:tc>
        <w:tc>
          <w:tcPr>
            <w:tcW w:w="6327" w:type="dxa"/>
            <w:gridSpan w:val="4"/>
            <w:tcBorders>
              <w:top w:val="single" w:sz="4" w:space="0" w:color="auto"/>
              <w:bottom w:val="single" w:sz="4" w:space="0" w:color="auto"/>
            </w:tcBorders>
            <w:shd w:val="clear" w:color="auto" w:fill="auto"/>
          </w:tcPr>
          <w:p w14:paraId="1C22B1C7"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Selection</w:t>
            </w:r>
          </w:p>
        </w:tc>
        <w:tc>
          <w:tcPr>
            <w:tcW w:w="0" w:type="auto"/>
            <w:gridSpan w:val="2"/>
            <w:tcBorders>
              <w:top w:val="single" w:sz="4" w:space="0" w:color="auto"/>
              <w:bottom w:val="single" w:sz="4" w:space="0" w:color="auto"/>
            </w:tcBorders>
            <w:shd w:val="clear" w:color="auto" w:fill="auto"/>
          </w:tcPr>
          <w:p w14:paraId="7A0AF05D"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Comparability</w:t>
            </w:r>
          </w:p>
        </w:tc>
        <w:tc>
          <w:tcPr>
            <w:tcW w:w="2812" w:type="dxa"/>
            <w:gridSpan w:val="2"/>
            <w:tcBorders>
              <w:top w:val="single" w:sz="4" w:space="0" w:color="auto"/>
              <w:bottom w:val="single" w:sz="4" w:space="0" w:color="auto"/>
            </w:tcBorders>
            <w:shd w:val="clear" w:color="auto" w:fill="auto"/>
          </w:tcPr>
          <w:p w14:paraId="10B40E28"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Outcome</w:t>
            </w:r>
          </w:p>
        </w:tc>
        <w:tc>
          <w:tcPr>
            <w:tcW w:w="0" w:type="auto"/>
            <w:tcBorders>
              <w:top w:val="single" w:sz="4" w:space="0" w:color="auto"/>
              <w:bottom w:val="single" w:sz="4" w:space="0" w:color="auto"/>
            </w:tcBorders>
            <w:shd w:val="clear" w:color="auto" w:fill="auto"/>
          </w:tcPr>
          <w:p w14:paraId="668FDD6F" w14:textId="77777777" w:rsidR="005D632C" w:rsidRPr="003151E2" w:rsidRDefault="005D632C" w:rsidP="005D632C">
            <w:pPr>
              <w:spacing w:line="312" w:lineRule="auto"/>
              <w:ind w:left="-243" w:hanging="90"/>
              <w:jc w:val="center"/>
              <w:rPr>
                <w:iCs/>
                <w:color w:val="000000" w:themeColor="text1"/>
                <w:sz w:val="22"/>
                <w:szCs w:val="22"/>
              </w:rPr>
            </w:pPr>
            <w:r w:rsidRPr="003151E2">
              <w:rPr>
                <w:iCs/>
                <w:color w:val="000000" w:themeColor="text1"/>
                <w:sz w:val="22"/>
                <w:szCs w:val="22"/>
              </w:rPr>
              <w:t>Overall Quality</w:t>
            </w:r>
          </w:p>
        </w:tc>
      </w:tr>
      <w:tr w:rsidR="005D632C" w:rsidRPr="006455C1" w14:paraId="5B249C31" w14:textId="77777777" w:rsidTr="005D632C">
        <w:trPr>
          <w:trHeight w:val="331"/>
        </w:trPr>
        <w:tc>
          <w:tcPr>
            <w:tcW w:w="2412" w:type="dxa"/>
            <w:tcBorders>
              <w:top w:val="single" w:sz="4" w:space="0" w:color="auto"/>
            </w:tcBorders>
            <w:shd w:val="clear" w:color="auto" w:fill="auto"/>
          </w:tcPr>
          <w:p w14:paraId="798A5D2C" w14:textId="77777777" w:rsidR="005D632C" w:rsidRPr="003151E2" w:rsidRDefault="005D632C" w:rsidP="005D632C">
            <w:pPr>
              <w:spacing w:line="312" w:lineRule="auto"/>
              <w:jc w:val="both"/>
              <w:rPr>
                <w:iCs/>
                <w:color w:val="000000" w:themeColor="text1"/>
                <w:sz w:val="22"/>
                <w:szCs w:val="22"/>
              </w:rPr>
            </w:pPr>
          </w:p>
        </w:tc>
        <w:tc>
          <w:tcPr>
            <w:tcW w:w="1108" w:type="dxa"/>
            <w:tcBorders>
              <w:top w:val="single" w:sz="4" w:space="0" w:color="auto"/>
              <w:bottom w:val="single" w:sz="4" w:space="0" w:color="auto"/>
            </w:tcBorders>
            <w:shd w:val="clear" w:color="auto" w:fill="auto"/>
          </w:tcPr>
          <w:p w14:paraId="4C254DA1" w14:textId="77777777" w:rsidR="005D632C" w:rsidRDefault="005D632C" w:rsidP="005D632C">
            <w:pPr>
              <w:spacing w:line="312" w:lineRule="auto"/>
              <w:ind w:firstLine="0"/>
              <w:rPr>
                <w:iCs/>
                <w:color w:val="000000" w:themeColor="text1"/>
                <w:sz w:val="22"/>
                <w:szCs w:val="22"/>
              </w:rPr>
            </w:pPr>
          </w:p>
          <w:p w14:paraId="4E200203" w14:textId="77777777" w:rsidR="005D632C" w:rsidRPr="003151E2" w:rsidRDefault="005D632C" w:rsidP="005D632C">
            <w:pPr>
              <w:spacing w:line="312" w:lineRule="auto"/>
              <w:ind w:firstLine="0"/>
              <w:rPr>
                <w:iCs/>
                <w:color w:val="000000" w:themeColor="text1"/>
                <w:sz w:val="22"/>
                <w:szCs w:val="22"/>
              </w:rPr>
            </w:pPr>
            <w:proofErr w:type="spellStart"/>
            <w:r w:rsidRPr="003151E2">
              <w:rPr>
                <w:iCs/>
                <w:color w:val="000000" w:themeColor="text1"/>
                <w:sz w:val="22"/>
                <w:szCs w:val="22"/>
              </w:rPr>
              <w:t>Represen-tativeness</w:t>
            </w:r>
            <w:proofErr w:type="spellEnd"/>
          </w:p>
        </w:tc>
        <w:tc>
          <w:tcPr>
            <w:tcW w:w="0" w:type="auto"/>
            <w:tcBorders>
              <w:top w:val="single" w:sz="4" w:space="0" w:color="auto"/>
              <w:bottom w:val="single" w:sz="4" w:space="0" w:color="auto"/>
            </w:tcBorders>
            <w:shd w:val="clear" w:color="auto" w:fill="auto"/>
          </w:tcPr>
          <w:p w14:paraId="3CFA15D7" w14:textId="77777777" w:rsidR="005D632C" w:rsidRDefault="005D632C" w:rsidP="005D632C">
            <w:pPr>
              <w:spacing w:line="312" w:lineRule="auto"/>
              <w:ind w:firstLine="0"/>
              <w:rPr>
                <w:iCs/>
                <w:color w:val="000000" w:themeColor="text1"/>
                <w:sz w:val="22"/>
                <w:szCs w:val="22"/>
              </w:rPr>
            </w:pPr>
          </w:p>
          <w:p w14:paraId="6124B065"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Control group</w:t>
            </w:r>
          </w:p>
        </w:tc>
        <w:tc>
          <w:tcPr>
            <w:tcW w:w="0" w:type="auto"/>
            <w:tcBorders>
              <w:top w:val="single" w:sz="4" w:space="0" w:color="auto"/>
              <w:bottom w:val="single" w:sz="4" w:space="0" w:color="auto"/>
            </w:tcBorders>
            <w:shd w:val="clear" w:color="auto" w:fill="auto"/>
          </w:tcPr>
          <w:p w14:paraId="579003FB" w14:textId="77777777" w:rsidR="005D632C" w:rsidRDefault="005D632C" w:rsidP="005D632C">
            <w:pPr>
              <w:spacing w:line="312" w:lineRule="auto"/>
              <w:ind w:firstLine="0"/>
              <w:rPr>
                <w:iCs/>
                <w:color w:val="000000" w:themeColor="text1"/>
                <w:sz w:val="22"/>
                <w:szCs w:val="22"/>
              </w:rPr>
            </w:pPr>
          </w:p>
          <w:p w14:paraId="4AF5A699"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Ascertainment of Exposure</w:t>
            </w:r>
          </w:p>
        </w:tc>
        <w:tc>
          <w:tcPr>
            <w:tcW w:w="0" w:type="auto"/>
            <w:tcBorders>
              <w:top w:val="single" w:sz="4" w:space="0" w:color="auto"/>
              <w:bottom w:val="single" w:sz="4" w:space="0" w:color="auto"/>
            </w:tcBorders>
            <w:shd w:val="clear" w:color="auto" w:fill="auto"/>
          </w:tcPr>
          <w:p w14:paraId="4D05236F" w14:textId="77777777" w:rsidR="005D632C" w:rsidRDefault="005D632C" w:rsidP="005D632C">
            <w:pPr>
              <w:spacing w:line="312" w:lineRule="auto"/>
              <w:ind w:firstLine="0"/>
              <w:rPr>
                <w:iCs/>
                <w:color w:val="000000" w:themeColor="text1"/>
                <w:sz w:val="22"/>
                <w:szCs w:val="22"/>
              </w:rPr>
            </w:pPr>
          </w:p>
          <w:p w14:paraId="592D29B9"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Outcome not at baseline</w:t>
            </w:r>
          </w:p>
        </w:tc>
        <w:tc>
          <w:tcPr>
            <w:tcW w:w="0" w:type="auto"/>
            <w:tcBorders>
              <w:top w:val="single" w:sz="4" w:space="0" w:color="auto"/>
              <w:bottom w:val="single" w:sz="4" w:space="0" w:color="auto"/>
            </w:tcBorders>
            <w:shd w:val="clear" w:color="auto" w:fill="auto"/>
          </w:tcPr>
          <w:p w14:paraId="34A6743A" w14:textId="77777777" w:rsidR="005D632C" w:rsidRDefault="005D632C" w:rsidP="005D632C">
            <w:pPr>
              <w:spacing w:line="312" w:lineRule="auto"/>
              <w:ind w:firstLine="0"/>
              <w:rPr>
                <w:iCs/>
                <w:color w:val="000000" w:themeColor="text1"/>
                <w:sz w:val="22"/>
                <w:szCs w:val="22"/>
              </w:rPr>
            </w:pPr>
          </w:p>
          <w:p w14:paraId="70C59CA0"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 xml:space="preserve">Adjusted Covariates </w:t>
            </w:r>
          </w:p>
        </w:tc>
        <w:tc>
          <w:tcPr>
            <w:tcW w:w="0" w:type="auto"/>
            <w:tcBorders>
              <w:top w:val="single" w:sz="4" w:space="0" w:color="auto"/>
              <w:bottom w:val="single" w:sz="4" w:space="0" w:color="auto"/>
            </w:tcBorders>
            <w:shd w:val="clear" w:color="auto" w:fill="auto"/>
          </w:tcPr>
          <w:p w14:paraId="681691DF" w14:textId="77777777" w:rsidR="005D632C" w:rsidRDefault="005D632C" w:rsidP="005D632C">
            <w:pPr>
              <w:spacing w:line="312" w:lineRule="auto"/>
              <w:ind w:firstLine="0"/>
              <w:rPr>
                <w:iCs/>
                <w:color w:val="000000" w:themeColor="text1"/>
                <w:sz w:val="22"/>
                <w:szCs w:val="22"/>
              </w:rPr>
            </w:pPr>
          </w:p>
          <w:p w14:paraId="44E6F9A5"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Study type</w:t>
            </w:r>
          </w:p>
        </w:tc>
        <w:tc>
          <w:tcPr>
            <w:tcW w:w="1609" w:type="dxa"/>
            <w:tcBorders>
              <w:top w:val="single" w:sz="4" w:space="0" w:color="auto"/>
              <w:bottom w:val="single" w:sz="4" w:space="0" w:color="auto"/>
            </w:tcBorders>
            <w:shd w:val="clear" w:color="auto" w:fill="auto"/>
          </w:tcPr>
          <w:p w14:paraId="6C03FC6A" w14:textId="77777777" w:rsidR="005D632C" w:rsidRDefault="005D632C" w:rsidP="005D632C">
            <w:pPr>
              <w:spacing w:line="312" w:lineRule="auto"/>
              <w:ind w:firstLine="0"/>
              <w:rPr>
                <w:iCs/>
                <w:color w:val="000000" w:themeColor="text1"/>
                <w:sz w:val="22"/>
                <w:szCs w:val="22"/>
              </w:rPr>
            </w:pPr>
          </w:p>
          <w:p w14:paraId="6FF767AA"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 xml:space="preserve">Assessment of outcome </w:t>
            </w:r>
          </w:p>
        </w:tc>
        <w:tc>
          <w:tcPr>
            <w:tcW w:w="0" w:type="auto"/>
            <w:tcBorders>
              <w:top w:val="single" w:sz="4" w:space="0" w:color="auto"/>
              <w:bottom w:val="single" w:sz="4" w:space="0" w:color="auto"/>
            </w:tcBorders>
            <w:shd w:val="clear" w:color="auto" w:fill="auto"/>
          </w:tcPr>
          <w:p w14:paraId="0150DA06" w14:textId="77777777" w:rsidR="005D632C" w:rsidRDefault="005D632C" w:rsidP="005D632C">
            <w:pPr>
              <w:spacing w:line="312" w:lineRule="auto"/>
              <w:ind w:firstLine="0"/>
              <w:rPr>
                <w:iCs/>
                <w:color w:val="000000" w:themeColor="text1"/>
                <w:sz w:val="22"/>
                <w:szCs w:val="22"/>
              </w:rPr>
            </w:pPr>
          </w:p>
          <w:p w14:paraId="15C8D600"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Follow-up</w:t>
            </w:r>
            <w:r w:rsidRPr="003151E2">
              <w:rPr>
                <w:iCs/>
                <w:color w:val="000000" w:themeColor="text1"/>
                <w:sz w:val="22"/>
                <w:szCs w:val="22"/>
                <w:vertAlign w:val="superscript"/>
              </w:rPr>
              <w:t>†</w:t>
            </w:r>
          </w:p>
        </w:tc>
        <w:tc>
          <w:tcPr>
            <w:tcW w:w="0" w:type="auto"/>
            <w:tcBorders>
              <w:top w:val="single" w:sz="4" w:space="0" w:color="auto"/>
            </w:tcBorders>
            <w:shd w:val="clear" w:color="auto" w:fill="auto"/>
          </w:tcPr>
          <w:p w14:paraId="54C66BDB" w14:textId="77777777" w:rsidR="005D632C" w:rsidRPr="003151E2" w:rsidRDefault="005D632C" w:rsidP="005D632C">
            <w:pPr>
              <w:spacing w:line="312" w:lineRule="auto"/>
              <w:rPr>
                <w:iCs/>
                <w:color w:val="000000" w:themeColor="text1"/>
                <w:sz w:val="22"/>
                <w:szCs w:val="22"/>
              </w:rPr>
            </w:pPr>
          </w:p>
        </w:tc>
      </w:tr>
      <w:tr w:rsidR="005D632C" w:rsidRPr="006455C1" w14:paraId="479B4485" w14:textId="77777777" w:rsidTr="005D632C">
        <w:trPr>
          <w:trHeight w:val="122"/>
        </w:trPr>
        <w:tc>
          <w:tcPr>
            <w:tcW w:w="2412" w:type="dxa"/>
          </w:tcPr>
          <w:p w14:paraId="2688EE0D" w14:textId="77777777" w:rsidR="005D632C" w:rsidRDefault="005D632C" w:rsidP="005D632C">
            <w:pPr>
              <w:spacing w:line="312" w:lineRule="auto"/>
              <w:ind w:firstLine="0"/>
              <w:rPr>
                <w:iCs/>
                <w:color w:val="000000" w:themeColor="text1"/>
                <w:sz w:val="22"/>
                <w:szCs w:val="22"/>
              </w:rPr>
            </w:pPr>
          </w:p>
          <w:p w14:paraId="6E2131ED" w14:textId="77777777" w:rsidR="005D632C" w:rsidRPr="003151E2" w:rsidRDefault="005D632C" w:rsidP="005D632C">
            <w:pPr>
              <w:spacing w:line="312" w:lineRule="auto"/>
              <w:ind w:firstLine="0"/>
              <w:rPr>
                <w:iCs/>
                <w:color w:val="000000" w:themeColor="text1"/>
                <w:sz w:val="22"/>
                <w:szCs w:val="22"/>
                <w:shd w:val="clear" w:color="auto" w:fill="FFFFFF"/>
              </w:rPr>
            </w:pPr>
            <w:r w:rsidRPr="003151E2">
              <w:rPr>
                <w:iCs/>
                <w:color w:val="000000" w:themeColor="text1"/>
                <w:sz w:val="22"/>
                <w:szCs w:val="22"/>
              </w:rPr>
              <w:t>Bhattarai et al. (2018)</w:t>
            </w:r>
          </w:p>
        </w:tc>
        <w:tc>
          <w:tcPr>
            <w:tcW w:w="1108" w:type="dxa"/>
            <w:tcBorders>
              <w:top w:val="single" w:sz="4" w:space="0" w:color="auto"/>
            </w:tcBorders>
          </w:tcPr>
          <w:p w14:paraId="0A853CB3" w14:textId="77777777" w:rsidR="005D632C" w:rsidRDefault="005D632C" w:rsidP="005D632C">
            <w:pPr>
              <w:spacing w:line="312" w:lineRule="auto"/>
              <w:ind w:firstLine="0"/>
              <w:jc w:val="both"/>
              <w:rPr>
                <w:iCs/>
                <w:color w:val="000000" w:themeColor="text1"/>
                <w:sz w:val="22"/>
                <w:szCs w:val="22"/>
              </w:rPr>
            </w:pPr>
          </w:p>
          <w:p w14:paraId="34764C3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top w:val="single" w:sz="4" w:space="0" w:color="auto"/>
            </w:tcBorders>
          </w:tcPr>
          <w:p w14:paraId="39567B66" w14:textId="77777777" w:rsidR="005D632C" w:rsidRDefault="005D632C" w:rsidP="005D632C">
            <w:pPr>
              <w:spacing w:line="312" w:lineRule="auto"/>
              <w:ind w:firstLine="0"/>
              <w:jc w:val="both"/>
              <w:rPr>
                <w:iCs/>
                <w:color w:val="000000" w:themeColor="text1"/>
                <w:sz w:val="22"/>
                <w:szCs w:val="22"/>
              </w:rPr>
            </w:pPr>
          </w:p>
          <w:p w14:paraId="45C8D25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top w:val="single" w:sz="4" w:space="0" w:color="auto"/>
            </w:tcBorders>
          </w:tcPr>
          <w:p w14:paraId="443A4F16" w14:textId="77777777" w:rsidR="005D632C" w:rsidRDefault="005D632C" w:rsidP="005D632C">
            <w:pPr>
              <w:spacing w:line="312" w:lineRule="auto"/>
              <w:ind w:firstLine="0"/>
              <w:jc w:val="both"/>
              <w:rPr>
                <w:iCs/>
                <w:color w:val="000000" w:themeColor="text1"/>
                <w:sz w:val="22"/>
                <w:szCs w:val="22"/>
              </w:rPr>
            </w:pPr>
          </w:p>
          <w:p w14:paraId="0BF8E60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top w:val="single" w:sz="4" w:space="0" w:color="auto"/>
            </w:tcBorders>
          </w:tcPr>
          <w:p w14:paraId="669D1E4A" w14:textId="77777777" w:rsidR="005D632C" w:rsidRDefault="005D632C" w:rsidP="005D632C">
            <w:pPr>
              <w:spacing w:line="312" w:lineRule="auto"/>
              <w:ind w:firstLine="0"/>
              <w:jc w:val="both"/>
              <w:rPr>
                <w:iCs/>
                <w:color w:val="000000" w:themeColor="text1"/>
                <w:sz w:val="22"/>
                <w:szCs w:val="22"/>
              </w:rPr>
            </w:pPr>
          </w:p>
          <w:p w14:paraId="349FD9DF"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top w:val="single" w:sz="4" w:space="0" w:color="auto"/>
            </w:tcBorders>
          </w:tcPr>
          <w:p w14:paraId="73760372" w14:textId="77777777" w:rsidR="005D632C" w:rsidRDefault="005D632C" w:rsidP="005D632C">
            <w:pPr>
              <w:spacing w:line="312" w:lineRule="auto"/>
              <w:ind w:firstLine="0"/>
              <w:jc w:val="both"/>
              <w:rPr>
                <w:iCs/>
                <w:color w:val="000000" w:themeColor="text1"/>
                <w:sz w:val="22"/>
                <w:szCs w:val="22"/>
              </w:rPr>
            </w:pPr>
          </w:p>
          <w:p w14:paraId="116F188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top w:val="single" w:sz="4" w:space="0" w:color="auto"/>
            </w:tcBorders>
          </w:tcPr>
          <w:p w14:paraId="6E0D1DCD" w14:textId="77777777" w:rsidR="005D632C" w:rsidRDefault="005D632C" w:rsidP="005D632C">
            <w:pPr>
              <w:spacing w:line="312" w:lineRule="auto"/>
              <w:ind w:firstLine="0"/>
              <w:jc w:val="both"/>
              <w:rPr>
                <w:iCs/>
                <w:color w:val="000000" w:themeColor="text1"/>
                <w:sz w:val="22"/>
                <w:szCs w:val="22"/>
              </w:rPr>
            </w:pPr>
          </w:p>
          <w:p w14:paraId="083D401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Borders>
              <w:top w:val="single" w:sz="4" w:space="0" w:color="auto"/>
            </w:tcBorders>
          </w:tcPr>
          <w:p w14:paraId="30D0FE63" w14:textId="77777777" w:rsidR="005D632C" w:rsidRDefault="005D632C" w:rsidP="005D632C">
            <w:pPr>
              <w:spacing w:line="312" w:lineRule="auto"/>
              <w:ind w:firstLine="0"/>
              <w:jc w:val="both"/>
              <w:rPr>
                <w:iCs/>
                <w:color w:val="000000" w:themeColor="text1"/>
                <w:sz w:val="22"/>
                <w:szCs w:val="22"/>
              </w:rPr>
            </w:pPr>
          </w:p>
          <w:p w14:paraId="5CBBE6BE"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top w:val="single" w:sz="4" w:space="0" w:color="auto"/>
            </w:tcBorders>
          </w:tcPr>
          <w:p w14:paraId="2F8FEB81" w14:textId="77777777" w:rsidR="005D632C" w:rsidRDefault="005D632C" w:rsidP="005D632C">
            <w:pPr>
              <w:spacing w:line="312" w:lineRule="auto"/>
              <w:ind w:firstLine="0"/>
              <w:jc w:val="both"/>
              <w:rPr>
                <w:iCs/>
                <w:color w:val="000000" w:themeColor="text1"/>
                <w:sz w:val="22"/>
                <w:szCs w:val="22"/>
              </w:rPr>
            </w:pPr>
          </w:p>
          <w:p w14:paraId="3F4A7D9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27C0FFDF" w14:textId="77777777" w:rsidR="005D632C" w:rsidRDefault="005D632C" w:rsidP="005D632C">
            <w:pPr>
              <w:spacing w:line="312" w:lineRule="auto"/>
              <w:ind w:firstLine="0"/>
              <w:jc w:val="both"/>
              <w:rPr>
                <w:iCs/>
                <w:color w:val="000000" w:themeColor="text1"/>
                <w:sz w:val="22"/>
                <w:szCs w:val="22"/>
              </w:rPr>
            </w:pPr>
          </w:p>
          <w:p w14:paraId="3224C4B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Good</w:t>
            </w:r>
          </w:p>
        </w:tc>
      </w:tr>
      <w:tr w:rsidR="005D632C" w:rsidRPr="006455C1" w14:paraId="072367B7" w14:textId="77777777" w:rsidTr="005D632C">
        <w:trPr>
          <w:trHeight w:val="219"/>
        </w:trPr>
        <w:tc>
          <w:tcPr>
            <w:tcW w:w="2412" w:type="dxa"/>
          </w:tcPr>
          <w:p w14:paraId="2AA08A52" w14:textId="77777777" w:rsidR="005D632C" w:rsidRPr="003151E2" w:rsidRDefault="005D632C" w:rsidP="005D632C">
            <w:pPr>
              <w:spacing w:line="312" w:lineRule="auto"/>
              <w:ind w:firstLine="0"/>
              <w:rPr>
                <w:iCs/>
                <w:color w:val="000000" w:themeColor="text1"/>
                <w:sz w:val="22"/>
                <w:szCs w:val="22"/>
              </w:rPr>
            </w:pPr>
            <w:proofErr w:type="spellStart"/>
            <w:r w:rsidRPr="003151E2">
              <w:rPr>
                <w:iCs/>
                <w:color w:val="000000" w:themeColor="text1"/>
                <w:sz w:val="22"/>
                <w:szCs w:val="22"/>
              </w:rPr>
              <w:t>Bonanni</w:t>
            </w:r>
            <w:proofErr w:type="spellEnd"/>
            <w:r w:rsidRPr="003151E2">
              <w:rPr>
                <w:iCs/>
                <w:color w:val="000000" w:themeColor="text1"/>
                <w:sz w:val="22"/>
                <w:szCs w:val="22"/>
              </w:rPr>
              <w:t xml:space="preserve"> et al. (2018)</w:t>
            </w:r>
          </w:p>
        </w:tc>
        <w:tc>
          <w:tcPr>
            <w:tcW w:w="1108" w:type="dxa"/>
          </w:tcPr>
          <w:p w14:paraId="6BE723C2" w14:textId="77777777" w:rsidR="005D632C" w:rsidRPr="003151E2" w:rsidRDefault="005D632C" w:rsidP="005D632C">
            <w:pPr>
              <w:spacing w:line="312" w:lineRule="auto"/>
              <w:jc w:val="both"/>
              <w:rPr>
                <w:iCs/>
                <w:color w:val="000000" w:themeColor="text1"/>
                <w:sz w:val="22"/>
                <w:szCs w:val="22"/>
              </w:rPr>
            </w:pPr>
          </w:p>
        </w:tc>
        <w:tc>
          <w:tcPr>
            <w:tcW w:w="0" w:type="auto"/>
          </w:tcPr>
          <w:p w14:paraId="1D53BD9E" w14:textId="77777777" w:rsidR="005D632C" w:rsidRPr="003151E2" w:rsidRDefault="005D632C" w:rsidP="005D632C">
            <w:pPr>
              <w:spacing w:line="312" w:lineRule="auto"/>
              <w:jc w:val="both"/>
              <w:rPr>
                <w:iCs/>
                <w:color w:val="000000" w:themeColor="text1"/>
                <w:sz w:val="22"/>
                <w:szCs w:val="22"/>
              </w:rPr>
            </w:pPr>
          </w:p>
        </w:tc>
        <w:tc>
          <w:tcPr>
            <w:tcW w:w="0" w:type="auto"/>
          </w:tcPr>
          <w:p w14:paraId="309E1EDB" w14:textId="77777777" w:rsidR="005D632C" w:rsidRPr="003151E2" w:rsidRDefault="005D632C" w:rsidP="005D632C">
            <w:pPr>
              <w:spacing w:line="312" w:lineRule="auto"/>
              <w:ind w:firstLine="0"/>
              <w:jc w:val="both"/>
              <w:rPr>
                <w:iCs/>
                <w:color w:val="000000" w:themeColor="text1"/>
                <w:sz w:val="22"/>
                <w:szCs w:val="22"/>
              </w:rPr>
            </w:pPr>
          </w:p>
        </w:tc>
        <w:tc>
          <w:tcPr>
            <w:tcW w:w="0" w:type="auto"/>
          </w:tcPr>
          <w:p w14:paraId="3D1283D6" w14:textId="77777777" w:rsidR="005D632C" w:rsidRPr="003151E2" w:rsidRDefault="005D632C" w:rsidP="005D632C">
            <w:pPr>
              <w:spacing w:line="312" w:lineRule="auto"/>
              <w:jc w:val="both"/>
              <w:rPr>
                <w:iCs/>
                <w:color w:val="000000" w:themeColor="text1"/>
                <w:sz w:val="22"/>
                <w:szCs w:val="22"/>
              </w:rPr>
            </w:pPr>
          </w:p>
        </w:tc>
        <w:tc>
          <w:tcPr>
            <w:tcW w:w="0" w:type="auto"/>
          </w:tcPr>
          <w:p w14:paraId="0A587F23" w14:textId="77777777" w:rsidR="005D632C" w:rsidRPr="003151E2" w:rsidRDefault="005D632C" w:rsidP="005D632C">
            <w:pPr>
              <w:spacing w:line="312" w:lineRule="auto"/>
              <w:jc w:val="both"/>
              <w:rPr>
                <w:iCs/>
                <w:color w:val="000000" w:themeColor="text1"/>
                <w:sz w:val="22"/>
                <w:szCs w:val="22"/>
              </w:rPr>
            </w:pPr>
          </w:p>
        </w:tc>
        <w:tc>
          <w:tcPr>
            <w:tcW w:w="0" w:type="auto"/>
          </w:tcPr>
          <w:p w14:paraId="001225C1" w14:textId="77777777" w:rsidR="005D632C" w:rsidRPr="003151E2" w:rsidRDefault="005D632C" w:rsidP="005D632C">
            <w:pPr>
              <w:spacing w:line="312" w:lineRule="auto"/>
              <w:jc w:val="both"/>
              <w:rPr>
                <w:iCs/>
                <w:color w:val="000000" w:themeColor="text1"/>
                <w:sz w:val="22"/>
                <w:szCs w:val="22"/>
              </w:rPr>
            </w:pPr>
          </w:p>
        </w:tc>
        <w:tc>
          <w:tcPr>
            <w:tcW w:w="1609" w:type="dxa"/>
          </w:tcPr>
          <w:p w14:paraId="533F0DE4" w14:textId="77777777" w:rsidR="005D632C" w:rsidRPr="003151E2" w:rsidRDefault="005D632C" w:rsidP="005D632C">
            <w:pPr>
              <w:spacing w:line="312" w:lineRule="auto"/>
              <w:jc w:val="both"/>
              <w:rPr>
                <w:iCs/>
                <w:color w:val="000000" w:themeColor="text1"/>
                <w:sz w:val="22"/>
                <w:szCs w:val="22"/>
              </w:rPr>
            </w:pPr>
          </w:p>
        </w:tc>
        <w:tc>
          <w:tcPr>
            <w:tcW w:w="0" w:type="auto"/>
          </w:tcPr>
          <w:p w14:paraId="3504C72F" w14:textId="77777777" w:rsidR="005D632C" w:rsidRPr="003151E2" w:rsidRDefault="005D632C" w:rsidP="005D632C">
            <w:pPr>
              <w:spacing w:line="312" w:lineRule="auto"/>
              <w:jc w:val="both"/>
              <w:rPr>
                <w:iCs/>
                <w:color w:val="000000" w:themeColor="text1"/>
                <w:sz w:val="22"/>
                <w:szCs w:val="22"/>
              </w:rPr>
            </w:pPr>
          </w:p>
        </w:tc>
        <w:tc>
          <w:tcPr>
            <w:tcW w:w="0" w:type="auto"/>
          </w:tcPr>
          <w:p w14:paraId="135A3802" w14:textId="77777777" w:rsidR="005D632C" w:rsidRPr="003151E2" w:rsidRDefault="005D632C" w:rsidP="005D632C">
            <w:pPr>
              <w:spacing w:line="312" w:lineRule="auto"/>
              <w:jc w:val="both"/>
              <w:rPr>
                <w:iCs/>
                <w:color w:val="000000" w:themeColor="text1"/>
                <w:sz w:val="22"/>
                <w:szCs w:val="22"/>
              </w:rPr>
            </w:pPr>
          </w:p>
        </w:tc>
      </w:tr>
      <w:tr w:rsidR="005D632C" w:rsidRPr="006455C1" w14:paraId="50C6CCFC" w14:textId="77777777" w:rsidTr="005D632C">
        <w:trPr>
          <w:trHeight w:val="219"/>
        </w:trPr>
        <w:tc>
          <w:tcPr>
            <w:tcW w:w="2412" w:type="dxa"/>
          </w:tcPr>
          <w:p w14:paraId="066ED113" w14:textId="06F65421" w:rsidR="005D632C" w:rsidRPr="003151E2" w:rsidRDefault="005D632C" w:rsidP="0023290F">
            <w:pPr>
              <w:spacing w:line="312" w:lineRule="auto"/>
              <w:ind w:firstLine="0"/>
              <w:rPr>
                <w:iCs/>
                <w:color w:val="000000" w:themeColor="text1"/>
                <w:sz w:val="22"/>
                <w:szCs w:val="22"/>
              </w:rPr>
            </w:pPr>
            <w:r w:rsidRPr="003151E2">
              <w:rPr>
                <w:iCs/>
                <w:color w:val="000000" w:themeColor="text1"/>
                <w:sz w:val="22"/>
                <w:szCs w:val="22"/>
              </w:rPr>
              <w:t xml:space="preserve">    Prospective cohort</w:t>
            </w:r>
          </w:p>
        </w:tc>
        <w:tc>
          <w:tcPr>
            <w:tcW w:w="1108" w:type="dxa"/>
          </w:tcPr>
          <w:p w14:paraId="64576E9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093A628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1FE2E6C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5EBC454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77BB48C0"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66E2ED47"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1609" w:type="dxa"/>
          </w:tcPr>
          <w:p w14:paraId="2AB59CA1"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4468C2E"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717C8352"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Poor</w:t>
            </w:r>
          </w:p>
        </w:tc>
      </w:tr>
      <w:tr w:rsidR="005D632C" w:rsidRPr="006455C1" w14:paraId="6B216390" w14:textId="77777777" w:rsidTr="005D632C">
        <w:trPr>
          <w:trHeight w:val="219"/>
        </w:trPr>
        <w:tc>
          <w:tcPr>
            <w:tcW w:w="2412" w:type="dxa"/>
          </w:tcPr>
          <w:p w14:paraId="6628497F" w14:textId="090E2BFD" w:rsidR="005D632C" w:rsidRPr="003151E2" w:rsidRDefault="005D632C" w:rsidP="0023290F">
            <w:pPr>
              <w:spacing w:line="312" w:lineRule="auto"/>
              <w:ind w:firstLine="0"/>
              <w:rPr>
                <w:iCs/>
                <w:color w:val="000000" w:themeColor="text1"/>
                <w:sz w:val="22"/>
                <w:szCs w:val="22"/>
              </w:rPr>
            </w:pPr>
            <w:r w:rsidRPr="003151E2">
              <w:rPr>
                <w:iCs/>
                <w:color w:val="000000" w:themeColor="text1"/>
                <w:sz w:val="22"/>
                <w:szCs w:val="22"/>
              </w:rPr>
              <w:t xml:space="preserve">    Retrospective cohort</w:t>
            </w:r>
          </w:p>
        </w:tc>
        <w:tc>
          <w:tcPr>
            <w:tcW w:w="1108" w:type="dxa"/>
          </w:tcPr>
          <w:p w14:paraId="32986A93"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C3D504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773DD3E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9F7983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4A975883"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2B2B6DF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Pr>
          <w:p w14:paraId="3C263E13"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2228323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2</w:t>
            </w:r>
          </w:p>
        </w:tc>
        <w:tc>
          <w:tcPr>
            <w:tcW w:w="0" w:type="auto"/>
          </w:tcPr>
          <w:p w14:paraId="7B1B8DF1"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Fair</w:t>
            </w:r>
          </w:p>
        </w:tc>
      </w:tr>
      <w:tr w:rsidR="005D632C" w:rsidRPr="006455C1" w14:paraId="2A2215C9" w14:textId="77777777" w:rsidTr="005D632C">
        <w:trPr>
          <w:trHeight w:val="147"/>
        </w:trPr>
        <w:tc>
          <w:tcPr>
            <w:tcW w:w="2412" w:type="dxa"/>
          </w:tcPr>
          <w:p w14:paraId="7AF585D1" w14:textId="77777777" w:rsidR="005D632C" w:rsidRPr="003151E2" w:rsidRDefault="005D632C" w:rsidP="005D632C">
            <w:pPr>
              <w:spacing w:line="312" w:lineRule="auto"/>
              <w:ind w:firstLine="0"/>
              <w:rPr>
                <w:iCs/>
                <w:color w:val="000000" w:themeColor="text1"/>
                <w:sz w:val="22"/>
                <w:szCs w:val="22"/>
                <w:shd w:val="clear" w:color="auto" w:fill="FFFFFF"/>
              </w:rPr>
            </w:pPr>
            <w:r w:rsidRPr="003151E2">
              <w:rPr>
                <w:iCs/>
                <w:color w:val="000000" w:themeColor="text1"/>
                <w:sz w:val="22"/>
                <w:szCs w:val="22"/>
              </w:rPr>
              <w:t>Flatt et al. (2018)</w:t>
            </w:r>
          </w:p>
        </w:tc>
        <w:tc>
          <w:tcPr>
            <w:tcW w:w="1108" w:type="dxa"/>
          </w:tcPr>
          <w:p w14:paraId="381BA28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736FBC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3658F8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5A401B83"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686C58E3"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F9AF6AD"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Pr>
          <w:p w14:paraId="16F60824"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77A316E1"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46B1B2B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Good</w:t>
            </w:r>
          </w:p>
        </w:tc>
      </w:tr>
      <w:tr w:rsidR="005D632C" w:rsidRPr="006455C1" w14:paraId="2D3C43BC" w14:textId="77777777" w:rsidTr="005D632C">
        <w:trPr>
          <w:trHeight w:val="219"/>
        </w:trPr>
        <w:tc>
          <w:tcPr>
            <w:tcW w:w="2412" w:type="dxa"/>
          </w:tcPr>
          <w:p w14:paraId="78AA8ACB" w14:textId="77777777" w:rsidR="005D632C" w:rsidRPr="003151E2" w:rsidRDefault="005D632C" w:rsidP="005D632C">
            <w:pPr>
              <w:spacing w:line="312" w:lineRule="auto"/>
              <w:ind w:firstLine="0"/>
              <w:rPr>
                <w:iCs/>
                <w:color w:val="000000" w:themeColor="text1"/>
                <w:sz w:val="22"/>
                <w:szCs w:val="22"/>
              </w:rPr>
            </w:pPr>
            <w:proofErr w:type="spellStart"/>
            <w:r w:rsidRPr="003151E2">
              <w:rPr>
                <w:iCs/>
                <w:color w:val="000000" w:themeColor="text1"/>
                <w:sz w:val="22"/>
                <w:szCs w:val="22"/>
              </w:rPr>
              <w:t>Folnegović-Šmalc</w:t>
            </w:r>
            <w:proofErr w:type="spellEnd"/>
            <w:r w:rsidRPr="003151E2">
              <w:rPr>
                <w:iCs/>
                <w:color w:val="000000" w:themeColor="text1"/>
                <w:sz w:val="22"/>
                <w:szCs w:val="22"/>
              </w:rPr>
              <w:t xml:space="preserve"> et al. (1997)</w:t>
            </w:r>
          </w:p>
        </w:tc>
        <w:tc>
          <w:tcPr>
            <w:tcW w:w="1108" w:type="dxa"/>
          </w:tcPr>
          <w:p w14:paraId="419B9897"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939A2A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03220404"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4B00C00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76D3BDAF"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3420DE0F"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1609" w:type="dxa"/>
          </w:tcPr>
          <w:p w14:paraId="6BF3A61C"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7D387701"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7A3A64DC"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Poor</w:t>
            </w:r>
          </w:p>
        </w:tc>
      </w:tr>
      <w:tr w:rsidR="005D632C" w:rsidRPr="006455C1" w14:paraId="16360B54" w14:textId="77777777" w:rsidTr="005D632C">
        <w:trPr>
          <w:trHeight w:val="176"/>
        </w:trPr>
        <w:tc>
          <w:tcPr>
            <w:tcW w:w="2412" w:type="dxa"/>
          </w:tcPr>
          <w:p w14:paraId="7BFF47DA"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Gradus et al. (2018)</w:t>
            </w:r>
          </w:p>
        </w:tc>
        <w:tc>
          <w:tcPr>
            <w:tcW w:w="1108" w:type="dxa"/>
          </w:tcPr>
          <w:p w14:paraId="0B747E1E"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F170B8F"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2232B72"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A465443"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71B4963"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CDB2A8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Pr>
          <w:p w14:paraId="4EFBC63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2BF06D9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41A947D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Good</w:t>
            </w:r>
          </w:p>
        </w:tc>
      </w:tr>
      <w:tr w:rsidR="005D632C" w:rsidRPr="006455C1" w14:paraId="6EDCF7B7" w14:textId="77777777" w:rsidTr="005D632C">
        <w:trPr>
          <w:trHeight w:val="165"/>
        </w:trPr>
        <w:tc>
          <w:tcPr>
            <w:tcW w:w="2412" w:type="dxa"/>
          </w:tcPr>
          <w:p w14:paraId="325D5189" w14:textId="77777777" w:rsidR="005D632C" w:rsidRPr="003151E2" w:rsidRDefault="005D632C" w:rsidP="005D632C">
            <w:pPr>
              <w:spacing w:line="312" w:lineRule="auto"/>
              <w:ind w:firstLine="0"/>
              <w:rPr>
                <w:iCs/>
                <w:color w:val="000000" w:themeColor="text1"/>
                <w:sz w:val="22"/>
                <w:szCs w:val="22"/>
              </w:rPr>
            </w:pPr>
            <w:proofErr w:type="spellStart"/>
            <w:r w:rsidRPr="003151E2">
              <w:rPr>
                <w:iCs/>
                <w:color w:val="000000" w:themeColor="text1"/>
                <w:sz w:val="22"/>
                <w:szCs w:val="22"/>
              </w:rPr>
              <w:t>Mawanda</w:t>
            </w:r>
            <w:proofErr w:type="spellEnd"/>
            <w:r w:rsidRPr="003151E2">
              <w:rPr>
                <w:iCs/>
                <w:color w:val="000000" w:themeColor="text1"/>
                <w:sz w:val="22"/>
                <w:szCs w:val="22"/>
              </w:rPr>
              <w:t xml:space="preserve"> et al. (2017)</w:t>
            </w:r>
          </w:p>
        </w:tc>
        <w:tc>
          <w:tcPr>
            <w:tcW w:w="1108" w:type="dxa"/>
          </w:tcPr>
          <w:p w14:paraId="410DBB34"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46D389D7"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C5BCFAD"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293B0022"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5780DB7C"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5711AA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Pr>
          <w:p w14:paraId="5F188D7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4BF8511E"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04CD6E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Good</w:t>
            </w:r>
          </w:p>
        </w:tc>
      </w:tr>
      <w:tr w:rsidR="005D632C" w:rsidRPr="006455C1" w14:paraId="39743861" w14:textId="77777777" w:rsidTr="005D632C">
        <w:trPr>
          <w:trHeight w:val="147"/>
        </w:trPr>
        <w:tc>
          <w:tcPr>
            <w:tcW w:w="2412" w:type="dxa"/>
          </w:tcPr>
          <w:p w14:paraId="2E18103B" w14:textId="77777777" w:rsidR="005D632C" w:rsidRPr="003151E2" w:rsidRDefault="005D632C" w:rsidP="005D632C">
            <w:pPr>
              <w:spacing w:line="312" w:lineRule="auto"/>
              <w:ind w:firstLine="0"/>
              <w:rPr>
                <w:iCs/>
                <w:color w:val="000000" w:themeColor="text1"/>
                <w:sz w:val="22"/>
                <w:szCs w:val="22"/>
                <w:shd w:val="clear" w:color="auto" w:fill="FFFFFF"/>
              </w:rPr>
            </w:pPr>
            <w:proofErr w:type="spellStart"/>
            <w:r w:rsidRPr="003151E2">
              <w:rPr>
                <w:iCs/>
                <w:color w:val="000000" w:themeColor="text1"/>
                <w:sz w:val="22"/>
                <w:szCs w:val="22"/>
              </w:rPr>
              <w:t>Meziab</w:t>
            </w:r>
            <w:proofErr w:type="spellEnd"/>
            <w:r w:rsidRPr="003151E2">
              <w:rPr>
                <w:iCs/>
                <w:color w:val="000000" w:themeColor="text1"/>
                <w:sz w:val="22"/>
                <w:szCs w:val="22"/>
              </w:rPr>
              <w:t xml:space="preserve"> et al. (2014)</w:t>
            </w:r>
          </w:p>
        </w:tc>
        <w:tc>
          <w:tcPr>
            <w:tcW w:w="1108" w:type="dxa"/>
          </w:tcPr>
          <w:p w14:paraId="6C337EDF"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E97303E"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59227E7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B5B2B3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395EAD3"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795E4E35"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Pr>
          <w:p w14:paraId="31EB31E1"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26E54A80"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4567C81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Good</w:t>
            </w:r>
          </w:p>
        </w:tc>
      </w:tr>
      <w:tr w:rsidR="005D632C" w:rsidRPr="006455C1" w14:paraId="7B78434A" w14:textId="77777777" w:rsidTr="005D632C">
        <w:trPr>
          <w:trHeight w:val="147"/>
        </w:trPr>
        <w:tc>
          <w:tcPr>
            <w:tcW w:w="2412" w:type="dxa"/>
          </w:tcPr>
          <w:p w14:paraId="3AA3BE26"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Qureshi et al. (2010)</w:t>
            </w:r>
          </w:p>
        </w:tc>
        <w:tc>
          <w:tcPr>
            <w:tcW w:w="1108" w:type="dxa"/>
          </w:tcPr>
          <w:p w14:paraId="36C29AA3"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62B3291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E3C5B4F"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C87942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384B8DAF"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4587538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Pr>
          <w:p w14:paraId="739C63E4"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51B119B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12344CF0"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Good</w:t>
            </w:r>
          </w:p>
        </w:tc>
      </w:tr>
      <w:tr w:rsidR="005D632C" w:rsidRPr="006455C1" w14:paraId="766F207C" w14:textId="77777777" w:rsidTr="005D632C">
        <w:trPr>
          <w:trHeight w:val="169"/>
        </w:trPr>
        <w:tc>
          <w:tcPr>
            <w:tcW w:w="2412" w:type="dxa"/>
          </w:tcPr>
          <w:p w14:paraId="4FBA5F40"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Roughead et al. (2017)</w:t>
            </w:r>
          </w:p>
        </w:tc>
        <w:tc>
          <w:tcPr>
            <w:tcW w:w="1108" w:type="dxa"/>
          </w:tcPr>
          <w:p w14:paraId="3BE4ED5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587233A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034F3C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7A78C5CC"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6491F45"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E414CC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Pr>
          <w:p w14:paraId="6A2BE075"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04EEB1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5E9E354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Good</w:t>
            </w:r>
          </w:p>
        </w:tc>
      </w:tr>
      <w:tr w:rsidR="005D632C" w:rsidRPr="006455C1" w14:paraId="32FA0902" w14:textId="77777777" w:rsidTr="005D632C">
        <w:trPr>
          <w:trHeight w:val="169"/>
        </w:trPr>
        <w:tc>
          <w:tcPr>
            <w:tcW w:w="2412" w:type="dxa"/>
          </w:tcPr>
          <w:p w14:paraId="203E35A0" w14:textId="77777777" w:rsidR="005D632C" w:rsidRPr="003151E2" w:rsidRDefault="005D632C" w:rsidP="005D632C">
            <w:pPr>
              <w:spacing w:line="312" w:lineRule="auto"/>
              <w:ind w:firstLine="0"/>
              <w:rPr>
                <w:iCs/>
                <w:color w:val="000000" w:themeColor="text1"/>
                <w:sz w:val="22"/>
                <w:szCs w:val="22"/>
              </w:rPr>
            </w:pPr>
            <w:r w:rsidRPr="003151E2">
              <w:rPr>
                <w:iCs/>
                <w:color w:val="000000" w:themeColor="text1"/>
                <w:sz w:val="22"/>
                <w:szCs w:val="22"/>
              </w:rPr>
              <w:t>Wang et al. (2016)</w:t>
            </w:r>
          </w:p>
        </w:tc>
        <w:tc>
          <w:tcPr>
            <w:tcW w:w="1108" w:type="dxa"/>
          </w:tcPr>
          <w:p w14:paraId="0D9C0947"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61CAD94"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53BD6DE"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63AEBCC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418D8FC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6ED1FC44"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Pr>
          <w:p w14:paraId="08C7AC46"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6F28BEBC"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0" w:type="auto"/>
          </w:tcPr>
          <w:p w14:paraId="092A332D"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Poor</w:t>
            </w:r>
          </w:p>
        </w:tc>
      </w:tr>
      <w:tr w:rsidR="005D632C" w:rsidRPr="006455C1" w14:paraId="3B2EDF61" w14:textId="77777777" w:rsidTr="005D632C">
        <w:trPr>
          <w:trHeight w:val="135"/>
        </w:trPr>
        <w:tc>
          <w:tcPr>
            <w:tcW w:w="2412" w:type="dxa"/>
          </w:tcPr>
          <w:p w14:paraId="3D386C64" w14:textId="77777777" w:rsidR="005D632C" w:rsidRPr="003151E2" w:rsidRDefault="005D632C" w:rsidP="005D632C">
            <w:pPr>
              <w:spacing w:line="312" w:lineRule="auto"/>
              <w:ind w:firstLine="0"/>
              <w:rPr>
                <w:iCs/>
                <w:color w:val="000000" w:themeColor="text1"/>
                <w:sz w:val="22"/>
                <w:szCs w:val="22"/>
                <w:shd w:val="clear" w:color="auto" w:fill="FFFFFF"/>
              </w:rPr>
            </w:pPr>
            <w:proofErr w:type="spellStart"/>
            <w:r w:rsidRPr="003151E2">
              <w:rPr>
                <w:iCs/>
                <w:color w:val="000000" w:themeColor="text1"/>
                <w:sz w:val="22"/>
                <w:szCs w:val="22"/>
              </w:rPr>
              <w:t>Yaffe</w:t>
            </w:r>
            <w:proofErr w:type="spellEnd"/>
            <w:r w:rsidRPr="003151E2">
              <w:rPr>
                <w:iCs/>
                <w:color w:val="000000" w:themeColor="text1"/>
                <w:sz w:val="22"/>
                <w:szCs w:val="22"/>
              </w:rPr>
              <w:t xml:space="preserve"> et al. (2010)</w:t>
            </w:r>
          </w:p>
        </w:tc>
        <w:tc>
          <w:tcPr>
            <w:tcW w:w="1108" w:type="dxa"/>
          </w:tcPr>
          <w:p w14:paraId="38A309ED"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61C09B84"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51B0FA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6A34B822"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388E63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5F49B1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Pr>
          <w:p w14:paraId="03EF2D75"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09AFA265"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Pr>
          <w:p w14:paraId="31F5BBB5"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Good</w:t>
            </w:r>
          </w:p>
        </w:tc>
      </w:tr>
      <w:tr w:rsidR="005D632C" w:rsidRPr="006455C1" w14:paraId="08E3033F" w14:textId="77777777" w:rsidTr="005D632C">
        <w:trPr>
          <w:trHeight w:val="74"/>
        </w:trPr>
        <w:tc>
          <w:tcPr>
            <w:tcW w:w="2412" w:type="dxa"/>
            <w:tcBorders>
              <w:bottom w:val="single" w:sz="4" w:space="0" w:color="auto"/>
            </w:tcBorders>
          </w:tcPr>
          <w:p w14:paraId="103C50CD" w14:textId="77777777" w:rsidR="005D632C" w:rsidRPr="003151E2" w:rsidRDefault="005D632C" w:rsidP="005D632C">
            <w:pPr>
              <w:spacing w:line="312" w:lineRule="auto"/>
              <w:ind w:firstLine="0"/>
              <w:rPr>
                <w:iCs/>
                <w:color w:val="000000" w:themeColor="text1"/>
                <w:sz w:val="22"/>
                <w:szCs w:val="22"/>
              </w:rPr>
            </w:pPr>
            <w:proofErr w:type="spellStart"/>
            <w:r w:rsidRPr="003151E2">
              <w:rPr>
                <w:iCs/>
                <w:color w:val="000000" w:themeColor="text1"/>
                <w:sz w:val="22"/>
                <w:szCs w:val="22"/>
              </w:rPr>
              <w:t>Yaffe</w:t>
            </w:r>
            <w:proofErr w:type="spellEnd"/>
            <w:r w:rsidRPr="003151E2">
              <w:rPr>
                <w:iCs/>
                <w:color w:val="000000" w:themeColor="text1"/>
                <w:sz w:val="22"/>
                <w:szCs w:val="22"/>
              </w:rPr>
              <w:t xml:space="preserve"> et al. (2019)</w:t>
            </w:r>
          </w:p>
        </w:tc>
        <w:tc>
          <w:tcPr>
            <w:tcW w:w="1108" w:type="dxa"/>
            <w:tcBorders>
              <w:bottom w:val="single" w:sz="4" w:space="0" w:color="auto"/>
            </w:tcBorders>
          </w:tcPr>
          <w:p w14:paraId="74F483A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bottom w:val="single" w:sz="4" w:space="0" w:color="auto"/>
            </w:tcBorders>
          </w:tcPr>
          <w:p w14:paraId="636BFDA0"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bottom w:val="single" w:sz="4" w:space="0" w:color="auto"/>
            </w:tcBorders>
          </w:tcPr>
          <w:p w14:paraId="40EDE07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bottom w:val="single" w:sz="4" w:space="0" w:color="auto"/>
            </w:tcBorders>
          </w:tcPr>
          <w:p w14:paraId="00C9A41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bottom w:val="single" w:sz="4" w:space="0" w:color="auto"/>
            </w:tcBorders>
          </w:tcPr>
          <w:p w14:paraId="52A955FB"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bottom w:val="single" w:sz="4" w:space="0" w:color="auto"/>
            </w:tcBorders>
          </w:tcPr>
          <w:p w14:paraId="4554648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0</w:t>
            </w:r>
          </w:p>
        </w:tc>
        <w:tc>
          <w:tcPr>
            <w:tcW w:w="1609" w:type="dxa"/>
            <w:tcBorders>
              <w:bottom w:val="single" w:sz="4" w:space="0" w:color="auto"/>
            </w:tcBorders>
          </w:tcPr>
          <w:p w14:paraId="51A1C5B8"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bottom w:val="single" w:sz="4" w:space="0" w:color="auto"/>
            </w:tcBorders>
          </w:tcPr>
          <w:p w14:paraId="462AF78A"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1</w:t>
            </w:r>
          </w:p>
        </w:tc>
        <w:tc>
          <w:tcPr>
            <w:tcW w:w="0" w:type="auto"/>
            <w:tcBorders>
              <w:bottom w:val="single" w:sz="4" w:space="0" w:color="auto"/>
            </w:tcBorders>
          </w:tcPr>
          <w:p w14:paraId="79673ED9" w14:textId="77777777" w:rsidR="005D632C" w:rsidRPr="003151E2" w:rsidRDefault="005D632C" w:rsidP="005D632C">
            <w:pPr>
              <w:spacing w:line="312" w:lineRule="auto"/>
              <w:ind w:firstLine="0"/>
              <w:jc w:val="both"/>
              <w:rPr>
                <w:iCs/>
                <w:color w:val="000000" w:themeColor="text1"/>
                <w:sz w:val="22"/>
                <w:szCs w:val="22"/>
              </w:rPr>
            </w:pPr>
            <w:r w:rsidRPr="003151E2">
              <w:rPr>
                <w:iCs/>
                <w:color w:val="000000" w:themeColor="text1"/>
                <w:sz w:val="22"/>
                <w:szCs w:val="22"/>
              </w:rPr>
              <w:t>Good</w:t>
            </w:r>
          </w:p>
        </w:tc>
      </w:tr>
    </w:tbl>
    <w:p w14:paraId="077F2CA0" w14:textId="44875508" w:rsidR="00F06B34" w:rsidRPr="003151E2" w:rsidRDefault="00BC2DB9" w:rsidP="002D54E4">
      <w:pPr>
        <w:spacing w:line="276" w:lineRule="auto"/>
        <w:ind w:hanging="426"/>
        <w:jc w:val="both"/>
        <w:outlineLvl w:val="0"/>
        <w:rPr>
          <w:color w:val="000000" w:themeColor="text1"/>
          <w:sz w:val="20"/>
          <w:szCs w:val="20"/>
          <w:lang w:val="en-US"/>
        </w:rPr>
      </w:pPr>
      <w:r>
        <w:rPr>
          <w:i/>
          <w:iCs/>
          <w:color w:val="000000" w:themeColor="text1"/>
          <w:sz w:val="20"/>
          <w:szCs w:val="20"/>
          <w:lang w:val="en-US"/>
        </w:rPr>
        <w:t xml:space="preserve">       </w:t>
      </w:r>
      <w:r w:rsidR="00F06B34" w:rsidRPr="003151E2">
        <w:rPr>
          <w:i/>
          <w:iCs/>
          <w:color w:val="000000" w:themeColor="text1"/>
          <w:sz w:val="20"/>
          <w:szCs w:val="20"/>
          <w:lang w:val="en-US"/>
        </w:rPr>
        <w:t>Note.</w:t>
      </w:r>
      <w:r w:rsidR="006455C1" w:rsidRPr="003151E2">
        <w:rPr>
          <w:i/>
          <w:iCs/>
          <w:color w:val="000000" w:themeColor="text1"/>
          <w:sz w:val="20"/>
          <w:szCs w:val="20"/>
          <w:lang w:val="en-US"/>
        </w:rPr>
        <w:t xml:space="preserve"> </w:t>
      </w:r>
      <w:r w:rsidR="00F06B34" w:rsidRPr="003151E2">
        <w:rPr>
          <w:color w:val="000000" w:themeColor="text1"/>
          <w:sz w:val="20"/>
          <w:szCs w:val="20"/>
          <w:vertAlign w:val="superscript"/>
          <w:lang w:val="en-US"/>
        </w:rPr>
        <w:t>†</w:t>
      </w:r>
      <w:r w:rsidR="00F06B34" w:rsidRPr="003151E2">
        <w:rPr>
          <w:color w:val="000000" w:themeColor="text1"/>
          <w:sz w:val="20"/>
          <w:szCs w:val="20"/>
          <w:lang w:val="en-US"/>
        </w:rPr>
        <w:t>Up to 2 points for follow-up</w:t>
      </w:r>
    </w:p>
    <w:p w14:paraId="34DFA1CF" w14:textId="77777777" w:rsidR="00F06B34" w:rsidRDefault="00F06B34" w:rsidP="008717AA">
      <w:pPr>
        <w:spacing w:line="276" w:lineRule="auto"/>
        <w:rPr>
          <w:color w:val="000000" w:themeColor="text1"/>
        </w:rPr>
      </w:pPr>
    </w:p>
    <w:p w14:paraId="024F5812" w14:textId="77777777" w:rsidR="00696B7D" w:rsidRPr="00DD7782" w:rsidRDefault="00696B7D" w:rsidP="008717AA">
      <w:pPr>
        <w:spacing w:line="276" w:lineRule="auto"/>
        <w:rPr>
          <w:color w:val="000000" w:themeColor="text1"/>
        </w:rPr>
        <w:sectPr w:rsidR="00696B7D" w:rsidRPr="00DD7782" w:rsidSect="00BC2DB9">
          <w:pgSz w:w="16840" w:h="11900" w:orient="landscape"/>
          <w:pgMar w:top="1418" w:right="1418" w:bottom="1418" w:left="680" w:header="709" w:footer="709" w:gutter="0"/>
          <w:cols w:space="708"/>
          <w:docGrid w:linePitch="360"/>
        </w:sectPr>
      </w:pPr>
    </w:p>
    <w:p w14:paraId="0713540E" w14:textId="77777777" w:rsidR="00354148" w:rsidRDefault="00354148" w:rsidP="00F5501A">
      <w:pPr>
        <w:spacing w:line="276" w:lineRule="auto"/>
        <w:rPr>
          <w:color w:val="000000" w:themeColor="text1"/>
          <w:lang w:val="en-US"/>
        </w:rPr>
      </w:pPr>
    </w:p>
    <w:p w14:paraId="0B8C5A9B" w14:textId="411CFFE0" w:rsidR="00354148" w:rsidRPr="00DD7782" w:rsidRDefault="00A86237" w:rsidP="00354148">
      <w:pPr>
        <w:spacing w:line="276" w:lineRule="auto"/>
        <w:rPr>
          <w:color w:val="000000" w:themeColor="text1"/>
          <w:lang w:val="en-US"/>
        </w:rPr>
      </w:pPr>
      <w:r>
        <w:rPr>
          <w:rFonts w:ascii="Calibri" w:hAnsi="Calibri" w:cs="Calibri"/>
          <w:noProof/>
          <w:color w:val="FFFFFF" w:themeColor="background1"/>
          <w:lang w:eastAsia="en-GB"/>
        </w:rPr>
        <w:drawing>
          <wp:inline distT="0" distB="0" distL="0" distR="0" wp14:anchorId="109100F4" wp14:editId="25DE5C8B">
            <wp:extent cx="5243332" cy="3495555"/>
            <wp:effectExtent l="0" t="0" r="190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_OmittingStudyHR_Severe_20.03.png"/>
                    <pic:cNvPicPr/>
                  </pic:nvPicPr>
                  <pic:blipFill>
                    <a:blip r:embed="rId12">
                      <a:extLst>
                        <a:ext uri="{28A0092B-C50C-407E-A947-70E740481C1C}">
                          <a14:useLocalDpi xmlns:a14="http://schemas.microsoft.com/office/drawing/2010/main" val="0"/>
                        </a:ext>
                      </a:extLst>
                    </a:blip>
                    <a:stretch>
                      <a:fillRect/>
                    </a:stretch>
                  </pic:blipFill>
                  <pic:spPr>
                    <a:xfrm>
                      <a:off x="0" y="0"/>
                      <a:ext cx="5248148" cy="3498765"/>
                    </a:xfrm>
                    <a:prstGeom prst="rect">
                      <a:avLst/>
                    </a:prstGeom>
                  </pic:spPr>
                </pic:pic>
              </a:graphicData>
            </a:graphic>
          </wp:inline>
        </w:drawing>
      </w:r>
    </w:p>
    <w:p w14:paraId="5491041A" w14:textId="77777777" w:rsidR="009D493A" w:rsidRDefault="009D493A" w:rsidP="00F5501A">
      <w:pPr>
        <w:spacing w:line="276" w:lineRule="auto"/>
        <w:rPr>
          <w:i/>
          <w:color w:val="000000" w:themeColor="text1"/>
          <w:lang w:val="en-US"/>
        </w:rPr>
      </w:pPr>
    </w:p>
    <w:p w14:paraId="26C7631B" w14:textId="1FE7D166" w:rsidR="00783359" w:rsidRDefault="00354148" w:rsidP="000609EE">
      <w:pPr>
        <w:spacing w:line="276" w:lineRule="auto"/>
        <w:rPr>
          <w:color w:val="000000" w:themeColor="text1"/>
          <w:lang w:val="en-US"/>
        </w:rPr>
      </w:pPr>
      <w:r w:rsidRPr="00DD7782">
        <w:rPr>
          <w:i/>
          <w:color w:val="000000" w:themeColor="text1"/>
          <w:lang w:val="en-US"/>
        </w:rPr>
        <w:t xml:space="preserve">Figure </w:t>
      </w:r>
      <w:r w:rsidR="008827F9">
        <w:rPr>
          <w:i/>
          <w:color w:val="000000" w:themeColor="text1"/>
          <w:lang w:val="en-US"/>
        </w:rPr>
        <w:t>1</w:t>
      </w:r>
      <w:r w:rsidRPr="00DD7782">
        <w:rPr>
          <w:iCs/>
          <w:color w:val="000000" w:themeColor="text1"/>
          <w:lang w:val="en-US"/>
        </w:rPr>
        <w:t>. Sensitivity analyses to explore</w:t>
      </w:r>
      <w:r w:rsidRPr="00DD7782">
        <w:rPr>
          <w:i/>
          <w:color w:val="000000" w:themeColor="text1"/>
          <w:lang w:val="en-US"/>
        </w:rPr>
        <w:t xml:space="preserve"> </w:t>
      </w:r>
      <w:r w:rsidR="00196DEE" w:rsidRPr="00196DEE">
        <w:rPr>
          <w:color w:val="000000" w:themeColor="text1"/>
          <w:lang w:val="en-US"/>
        </w:rPr>
        <w:t>the</w:t>
      </w:r>
      <w:r w:rsidR="00196DEE">
        <w:rPr>
          <w:i/>
          <w:color w:val="000000" w:themeColor="text1"/>
          <w:lang w:val="en-US"/>
        </w:rPr>
        <w:t xml:space="preserve"> </w:t>
      </w:r>
      <w:r w:rsidRPr="00DD7782">
        <w:rPr>
          <w:iCs/>
          <w:color w:val="000000" w:themeColor="text1"/>
          <w:lang w:val="en-US"/>
        </w:rPr>
        <w:t xml:space="preserve">impact of each </w:t>
      </w:r>
      <w:r w:rsidR="009D493A">
        <w:rPr>
          <w:iCs/>
          <w:color w:val="000000" w:themeColor="text1"/>
          <w:lang w:val="en-US"/>
        </w:rPr>
        <w:t xml:space="preserve">individual </w:t>
      </w:r>
      <w:r w:rsidRPr="00DD7782">
        <w:rPr>
          <w:iCs/>
          <w:color w:val="000000" w:themeColor="text1"/>
          <w:lang w:val="en-US"/>
        </w:rPr>
        <w:t xml:space="preserve">study on </w:t>
      </w:r>
      <w:r w:rsidRPr="00DD7782">
        <w:rPr>
          <w:color w:val="000000" w:themeColor="text1"/>
          <w:lang w:val="en-US"/>
        </w:rPr>
        <w:t xml:space="preserve">the </w:t>
      </w:r>
      <w:r w:rsidR="009D493A">
        <w:rPr>
          <w:color w:val="000000" w:themeColor="text1"/>
          <w:lang w:val="en-US"/>
        </w:rPr>
        <w:t xml:space="preserve">association between PTSD  dementia. </w:t>
      </w:r>
    </w:p>
    <w:p w14:paraId="1B58EF9A" w14:textId="3DECAD9A" w:rsidR="006870EA" w:rsidRDefault="006870EA" w:rsidP="000609EE">
      <w:pPr>
        <w:spacing w:line="276" w:lineRule="auto"/>
        <w:rPr>
          <w:color w:val="000000" w:themeColor="text1"/>
          <w:lang w:val="en-US"/>
        </w:rPr>
      </w:pPr>
    </w:p>
    <w:p w14:paraId="3BCCD1CD" w14:textId="2294CE98" w:rsidR="006870EA" w:rsidRPr="00DD7782" w:rsidRDefault="006870EA" w:rsidP="000609EE">
      <w:pPr>
        <w:spacing w:line="276" w:lineRule="auto"/>
        <w:rPr>
          <w:rFonts w:eastAsia="Times New Roman"/>
          <w:b/>
          <w:lang w:val="en-US"/>
        </w:rPr>
      </w:pPr>
    </w:p>
    <w:sectPr w:rsidR="006870EA" w:rsidRPr="00DD7782" w:rsidSect="002E442A">
      <w:pgSz w:w="11900" w:h="16840"/>
      <w:pgMar w:top="68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60348F" w14:textId="77777777" w:rsidR="00006FE2" w:rsidRDefault="00006FE2" w:rsidP="003F5313">
      <w:r>
        <w:separator/>
      </w:r>
    </w:p>
  </w:endnote>
  <w:endnote w:type="continuationSeparator" w:id="0">
    <w:p w14:paraId="33E175DB" w14:textId="77777777" w:rsidR="00006FE2" w:rsidRDefault="00006FE2" w:rsidP="003F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4779FF" w14:textId="77777777" w:rsidR="00006FE2" w:rsidRDefault="00006FE2" w:rsidP="003F5313">
      <w:r>
        <w:separator/>
      </w:r>
    </w:p>
  </w:footnote>
  <w:footnote w:type="continuationSeparator" w:id="0">
    <w:p w14:paraId="0E78D44F" w14:textId="77777777" w:rsidR="00006FE2" w:rsidRDefault="00006FE2" w:rsidP="003F5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83061999"/>
      <w:docPartObj>
        <w:docPartGallery w:val="Page Numbers (Top of Page)"/>
        <w:docPartUnique/>
      </w:docPartObj>
    </w:sdtPr>
    <w:sdtEndPr>
      <w:rPr>
        <w:rStyle w:val="PageNumber"/>
      </w:rPr>
    </w:sdtEndPr>
    <w:sdtContent>
      <w:p w14:paraId="5E805D37" w14:textId="70102EAC" w:rsidR="009A00C4" w:rsidRDefault="009A00C4" w:rsidP="00C66A7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C3C599" w14:textId="77777777" w:rsidR="009A00C4" w:rsidRDefault="009A00C4" w:rsidP="009A00C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86759130"/>
      <w:docPartObj>
        <w:docPartGallery w:val="Page Numbers (Top of Page)"/>
        <w:docPartUnique/>
      </w:docPartObj>
    </w:sdtPr>
    <w:sdtEndPr>
      <w:rPr>
        <w:rStyle w:val="PageNumber"/>
      </w:rPr>
    </w:sdtEndPr>
    <w:sdtContent>
      <w:p w14:paraId="164D121E" w14:textId="08BA173C" w:rsidR="009A00C4" w:rsidRDefault="009A00C4" w:rsidP="00C66A7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D4727">
          <w:rPr>
            <w:rStyle w:val="PageNumber"/>
            <w:noProof/>
          </w:rPr>
          <w:t>1</w:t>
        </w:r>
        <w:r>
          <w:rPr>
            <w:rStyle w:val="PageNumber"/>
          </w:rPr>
          <w:fldChar w:fldCharType="end"/>
        </w:r>
      </w:p>
    </w:sdtContent>
  </w:sdt>
  <w:p w14:paraId="7340C185" w14:textId="77777777" w:rsidR="009A00C4" w:rsidRDefault="009A00C4" w:rsidP="009A00C4">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92290600"/>
      <w:docPartObj>
        <w:docPartGallery w:val="Page Numbers (Top of Page)"/>
        <w:docPartUnique/>
      </w:docPartObj>
    </w:sdtPr>
    <w:sdtEndPr>
      <w:rPr>
        <w:rStyle w:val="PageNumber"/>
      </w:rPr>
    </w:sdtEndPr>
    <w:sdtContent>
      <w:p w14:paraId="7455A275" w14:textId="77777777" w:rsidR="00C179D1" w:rsidRDefault="00C179D1" w:rsidP="00ED343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466794" w14:textId="77777777" w:rsidR="00C179D1" w:rsidRDefault="00C179D1" w:rsidP="003F5313">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53204126"/>
      <w:docPartObj>
        <w:docPartGallery w:val="Page Numbers (Top of Page)"/>
        <w:docPartUnique/>
      </w:docPartObj>
    </w:sdtPr>
    <w:sdtEndPr>
      <w:rPr>
        <w:rStyle w:val="PageNumber"/>
      </w:rPr>
    </w:sdtEndPr>
    <w:sdtContent>
      <w:p w14:paraId="65E390E1" w14:textId="5688F89E" w:rsidR="00C179D1" w:rsidRDefault="00C179D1" w:rsidP="00ED343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D4727">
          <w:rPr>
            <w:rStyle w:val="PageNumber"/>
            <w:noProof/>
          </w:rPr>
          <w:t>6</w:t>
        </w:r>
        <w:r>
          <w:rPr>
            <w:rStyle w:val="PageNumber"/>
          </w:rPr>
          <w:fldChar w:fldCharType="end"/>
        </w:r>
      </w:p>
    </w:sdtContent>
  </w:sdt>
  <w:p w14:paraId="6639EE77" w14:textId="77777777" w:rsidR="00C179D1" w:rsidRDefault="00C179D1" w:rsidP="003F531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C3199"/>
    <w:multiLevelType w:val="hybridMultilevel"/>
    <w:tmpl w:val="ED0ED1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5D77A4"/>
    <w:multiLevelType w:val="hybridMultilevel"/>
    <w:tmpl w:val="7D8CCA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83A2101"/>
    <w:multiLevelType w:val="hybridMultilevel"/>
    <w:tmpl w:val="DA6626DA"/>
    <w:lvl w:ilvl="0" w:tplc="E5EEA28C">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312F7A"/>
    <w:multiLevelType w:val="hybridMultilevel"/>
    <w:tmpl w:val="E5B60976"/>
    <w:lvl w:ilvl="0" w:tplc="304654AC">
      <w:start w:val="1"/>
      <w:numFmt w:val="decimal"/>
      <w:lvlText w:val="%1"/>
      <w:lvlJc w:val="left"/>
      <w:pPr>
        <w:ind w:left="780" w:hanging="4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B744C2A"/>
    <w:multiLevelType w:val="hybridMultilevel"/>
    <w:tmpl w:val="6B8C4F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62538F9"/>
    <w:multiLevelType w:val="hybridMultilevel"/>
    <w:tmpl w:val="14D22C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08543B"/>
    <w:multiLevelType w:val="hybridMultilevel"/>
    <w:tmpl w:val="FDCCFD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7F5D1C"/>
    <w:multiLevelType w:val="hybridMultilevel"/>
    <w:tmpl w:val="7816627A"/>
    <w:lvl w:ilvl="0" w:tplc="AF782C08">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114A34"/>
    <w:multiLevelType w:val="hybridMultilevel"/>
    <w:tmpl w:val="555ABDF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D2B4E1B"/>
    <w:multiLevelType w:val="hybridMultilevel"/>
    <w:tmpl w:val="A0683410"/>
    <w:lvl w:ilvl="0" w:tplc="6B8C415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DFE06F9"/>
    <w:multiLevelType w:val="hybridMultilevel"/>
    <w:tmpl w:val="747E7E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7387DC1"/>
    <w:multiLevelType w:val="hybridMultilevel"/>
    <w:tmpl w:val="8430BB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8"/>
  </w:num>
  <w:num w:numId="3">
    <w:abstractNumId w:val="11"/>
  </w:num>
  <w:num w:numId="4">
    <w:abstractNumId w:val="4"/>
  </w:num>
  <w:num w:numId="5">
    <w:abstractNumId w:val="0"/>
  </w:num>
  <w:num w:numId="6">
    <w:abstractNumId w:val="7"/>
  </w:num>
  <w:num w:numId="7">
    <w:abstractNumId w:val="3"/>
  </w:num>
  <w:num w:numId="8">
    <w:abstractNumId w:val="10"/>
  </w:num>
  <w:num w:numId="9">
    <w:abstractNumId w:val="1"/>
  </w:num>
  <w:num w:numId="10">
    <w:abstractNumId w:val="9"/>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CB1"/>
    <w:rsid w:val="000007E7"/>
    <w:rsid w:val="00003862"/>
    <w:rsid w:val="00006FE2"/>
    <w:rsid w:val="0001149C"/>
    <w:rsid w:val="000122DE"/>
    <w:rsid w:val="00017BC5"/>
    <w:rsid w:val="000226EB"/>
    <w:rsid w:val="0002426D"/>
    <w:rsid w:val="000417AD"/>
    <w:rsid w:val="00050556"/>
    <w:rsid w:val="00050BAE"/>
    <w:rsid w:val="00052F95"/>
    <w:rsid w:val="00055803"/>
    <w:rsid w:val="000609EE"/>
    <w:rsid w:val="0006501F"/>
    <w:rsid w:val="0006548F"/>
    <w:rsid w:val="000676AE"/>
    <w:rsid w:val="000736F5"/>
    <w:rsid w:val="00074213"/>
    <w:rsid w:val="000750EF"/>
    <w:rsid w:val="0007622F"/>
    <w:rsid w:val="00080D75"/>
    <w:rsid w:val="000844A1"/>
    <w:rsid w:val="00084939"/>
    <w:rsid w:val="00095AC3"/>
    <w:rsid w:val="000A49C9"/>
    <w:rsid w:val="000A69A2"/>
    <w:rsid w:val="000B0044"/>
    <w:rsid w:val="000C1CEA"/>
    <w:rsid w:val="000C4329"/>
    <w:rsid w:val="000C4B2F"/>
    <w:rsid w:val="000C63D2"/>
    <w:rsid w:val="000D7EC8"/>
    <w:rsid w:val="000E13E0"/>
    <w:rsid w:val="000F7860"/>
    <w:rsid w:val="0010367A"/>
    <w:rsid w:val="00103B86"/>
    <w:rsid w:val="0011171F"/>
    <w:rsid w:val="001117D9"/>
    <w:rsid w:val="00111A5B"/>
    <w:rsid w:val="00115C97"/>
    <w:rsid w:val="00116C7D"/>
    <w:rsid w:val="00117CB1"/>
    <w:rsid w:val="001265CC"/>
    <w:rsid w:val="00136127"/>
    <w:rsid w:val="001410AE"/>
    <w:rsid w:val="001464B2"/>
    <w:rsid w:val="001464DE"/>
    <w:rsid w:val="00146F89"/>
    <w:rsid w:val="0015654C"/>
    <w:rsid w:val="00166407"/>
    <w:rsid w:val="00167EB4"/>
    <w:rsid w:val="00174370"/>
    <w:rsid w:val="00175644"/>
    <w:rsid w:val="00181ED2"/>
    <w:rsid w:val="00183770"/>
    <w:rsid w:val="001917C2"/>
    <w:rsid w:val="00196DEE"/>
    <w:rsid w:val="001A2B2D"/>
    <w:rsid w:val="001A654B"/>
    <w:rsid w:val="001B15D7"/>
    <w:rsid w:val="001B1AAF"/>
    <w:rsid w:val="001B641E"/>
    <w:rsid w:val="001B7E37"/>
    <w:rsid w:val="001C0325"/>
    <w:rsid w:val="001C56E4"/>
    <w:rsid w:val="001D3ADB"/>
    <w:rsid w:val="001E186B"/>
    <w:rsid w:val="001F3953"/>
    <w:rsid w:val="001F6A46"/>
    <w:rsid w:val="0020152E"/>
    <w:rsid w:val="00202A18"/>
    <w:rsid w:val="002053A7"/>
    <w:rsid w:val="00215FC8"/>
    <w:rsid w:val="00222895"/>
    <w:rsid w:val="00223236"/>
    <w:rsid w:val="00223FFF"/>
    <w:rsid w:val="0023290F"/>
    <w:rsid w:val="00232E15"/>
    <w:rsid w:val="00241E79"/>
    <w:rsid w:val="00246EBE"/>
    <w:rsid w:val="00251669"/>
    <w:rsid w:val="00251840"/>
    <w:rsid w:val="00251E02"/>
    <w:rsid w:val="002601B4"/>
    <w:rsid w:val="00260976"/>
    <w:rsid w:val="002615EA"/>
    <w:rsid w:val="002628A8"/>
    <w:rsid w:val="002632E9"/>
    <w:rsid w:val="00264328"/>
    <w:rsid w:val="00273169"/>
    <w:rsid w:val="00273B48"/>
    <w:rsid w:val="00283EA8"/>
    <w:rsid w:val="00284155"/>
    <w:rsid w:val="00287953"/>
    <w:rsid w:val="00295A8C"/>
    <w:rsid w:val="002A2404"/>
    <w:rsid w:val="002A47E6"/>
    <w:rsid w:val="002B3B74"/>
    <w:rsid w:val="002C18F8"/>
    <w:rsid w:val="002C3C0C"/>
    <w:rsid w:val="002C453F"/>
    <w:rsid w:val="002D049D"/>
    <w:rsid w:val="002D54E4"/>
    <w:rsid w:val="002E442A"/>
    <w:rsid w:val="002E444A"/>
    <w:rsid w:val="002E4494"/>
    <w:rsid w:val="002E62A8"/>
    <w:rsid w:val="002E62F8"/>
    <w:rsid w:val="002F05D4"/>
    <w:rsid w:val="002F0D99"/>
    <w:rsid w:val="002F2065"/>
    <w:rsid w:val="002F23E9"/>
    <w:rsid w:val="00310C04"/>
    <w:rsid w:val="003151E2"/>
    <w:rsid w:val="00317A7B"/>
    <w:rsid w:val="00321323"/>
    <w:rsid w:val="00325055"/>
    <w:rsid w:val="00325134"/>
    <w:rsid w:val="00344096"/>
    <w:rsid w:val="00346E75"/>
    <w:rsid w:val="0034756F"/>
    <w:rsid w:val="00347612"/>
    <w:rsid w:val="00354148"/>
    <w:rsid w:val="00355E9D"/>
    <w:rsid w:val="003602F0"/>
    <w:rsid w:val="00361B95"/>
    <w:rsid w:val="00363F6A"/>
    <w:rsid w:val="00374ACC"/>
    <w:rsid w:val="003753CE"/>
    <w:rsid w:val="003767CF"/>
    <w:rsid w:val="003923D4"/>
    <w:rsid w:val="00396E7A"/>
    <w:rsid w:val="003A6369"/>
    <w:rsid w:val="003B4709"/>
    <w:rsid w:val="003B7443"/>
    <w:rsid w:val="003C4697"/>
    <w:rsid w:val="003C502F"/>
    <w:rsid w:val="003D4727"/>
    <w:rsid w:val="003D7446"/>
    <w:rsid w:val="003E35D0"/>
    <w:rsid w:val="003E5A44"/>
    <w:rsid w:val="003F01B4"/>
    <w:rsid w:val="003F0617"/>
    <w:rsid w:val="003F5313"/>
    <w:rsid w:val="003F749B"/>
    <w:rsid w:val="004029EB"/>
    <w:rsid w:val="004126D9"/>
    <w:rsid w:val="004215F3"/>
    <w:rsid w:val="0042516D"/>
    <w:rsid w:val="00425474"/>
    <w:rsid w:val="00427374"/>
    <w:rsid w:val="00430410"/>
    <w:rsid w:val="0043238E"/>
    <w:rsid w:val="004325B8"/>
    <w:rsid w:val="00433F4E"/>
    <w:rsid w:val="00446EF5"/>
    <w:rsid w:val="00447E36"/>
    <w:rsid w:val="00450643"/>
    <w:rsid w:val="004511AB"/>
    <w:rsid w:val="004565C6"/>
    <w:rsid w:val="00457863"/>
    <w:rsid w:val="00470EFB"/>
    <w:rsid w:val="00472C9B"/>
    <w:rsid w:val="00472E96"/>
    <w:rsid w:val="0047420B"/>
    <w:rsid w:val="0047751A"/>
    <w:rsid w:val="0048006B"/>
    <w:rsid w:val="00483278"/>
    <w:rsid w:val="00487753"/>
    <w:rsid w:val="004923A1"/>
    <w:rsid w:val="00496EB0"/>
    <w:rsid w:val="004A0586"/>
    <w:rsid w:val="004A1921"/>
    <w:rsid w:val="004A65FD"/>
    <w:rsid w:val="004A68F2"/>
    <w:rsid w:val="004A7E29"/>
    <w:rsid w:val="004B57D9"/>
    <w:rsid w:val="004B70E0"/>
    <w:rsid w:val="004C3A7E"/>
    <w:rsid w:val="004C69A2"/>
    <w:rsid w:val="004D0293"/>
    <w:rsid w:val="004D1D75"/>
    <w:rsid w:val="004D453A"/>
    <w:rsid w:val="004D6FB4"/>
    <w:rsid w:val="004E7752"/>
    <w:rsid w:val="004E796F"/>
    <w:rsid w:val="004E7DD0"/>
    <w:rsid w:val="004F4DD9"/>
    <w:rsid w:val="004F7DE1"/>
    <w:rsid w:val="005104BC"/>
    <w:rsid w:val="005116D4"/>
    <w:rsid w:val="005147E0"/>
    <w:rsid w:val="0052699C"/>
    <w:rsid w:val="00531F89"/>
    <w:rsid w:val="00532B2B"/>
    <w:rsid w:val="00533FD0"/>
    <w:rsid w:val="00535E8C"/>
    <w:rsid w:val="00541C8F"/>
    <w:rsid w:val="0054515C"/>
    <w:rsid w:val="00546A24"/>
    <w:rsid w:val="00551EF8"/>
    <w:rsid w:val="00561476"/>
    <w:rsid w:val="00564F3D"/>
    <w:rsid w:val="005732FD"/>
    <w:rsid w:val="005766CA"/>
    <w:rsid w:val="00581C57"/>
    <w:rsid w:val="00584976"/>
    <w:rsid w:val="00586D32"/>
    <w:rsid w:val="00586E31"/>
    <w:rsid w:val="00587770"/>
    <w:rsid w:val="005925E0"/>
    <w:rsid w:val="00593077"/>
    <w:rsid w:val="00593855"/>
    <w:rsid w:val="005938FA"/>
    <w:rsid w:val="00593EBB"/>
    <w:rsid w:val="00594279"/>
    <w:rsid w:val="00595F97"/>
    <w:rsid w:val="005A19A1"/>
    <w:rsid w:val="005A53BD"/>
    <w:rsid w:val="005A5732"/>
    <w:rsid w:val="005A575C"/>
    <w:rsid w:val="005B16DE"/>
    <w:rsid w:val="005B25D2"/>
    <w:rsid w:val="005B5A79"/>
    <w:rsid w:val="005B619A"/>
    <w:rsid w:val="005B66B8"/>
    <w:rsid w:val="005B674E"/>
    <w:rsid w:val="005B6A27"/>
    <w:rsid w:val="005B705F"/>
    <w:rsid w:val="005C0404"/>
    <w:rsid w:val="005C2430"/>
    <w:rsid w:val="005C5D48"/>
    <w:rsid w:val="005C7F33"/>
    <w:rsid w:val="005D07C1"/>
    <w:rsid w:val="005D2EB9"/>
    <w:rsid w:val="005D632C"/>
    <w:rsid w:val="005D66DB"/>
    <w:rsid w:val="005D6765"/>
    <w:rsid w:val="005E7E8E"/>
    <w:rsid w:val="00601848"/>
    <w:rsid w:val="00601C8F"/>
    <w:rsid w:val="00605F8A"/>
    <w:rsid w:val="006069A9"/>
    <w:rsid w:val="00613A23"/>
    <w:rsid w:val="0061495C"/>
    <w:rsid w:val="00616510"/>
    <w:rsid w:val="0061713F"/>
    <w:rsid w:val="006232BC"/>
    <w:rsid w:val="00625FB5"/>
    <w:rsid w:val="00627E01"/>
    <w:rsid w:val="00636A19"/>
    <w:rsid w:val="006455C1"/>
    <w:rsid w:val="00646588"/>
    <w:rsid w:val="006562D5"/>
    <w:rsid w:val="006568A6"/>
    <w:rsid w:val="0066039E"/>
    <w:rsid w:val="00663B1E"/>
    <w:rsid w:val="00666E33"/>
    <w:rsid w:val="0067676F"/>
    <w:rsid w:val="00685A9B"/>
    <w:rsid w:val="006870EA"/>
    <w:rsid w:val="00693012"/>
    <w:rsid w:val="00693F52"/>
    <w:rsid w:val="00696B7D"/>
    <w:rsid w:val="00696EF7"/>
    <w:rsid w:val="006A1A7C"/>
    <w:rsid w:val="006B2BC5"/>
    <w:rsid w:val="006B642C"/>
    <w:rsid w:val="006B7BEB"/>
    <w:rsid w:val="006C4C56"/>
    <w:rsid w:val="006D0C4A"/>
    <w:rsid w:val="006D0F42"/>
    <w:rsid w:val="006D4C34"/>
    <w:rsid w:val="006D66E0"/>
    <w:rsid w:val="006F1FA6"/>
    <w:rsid w:val="006F3E1D"/>
    <w:rsid w:val="0070223D"/>
    <w:rsid w:val="00704A94"/>
    <w:rsid w:val="007105BE"/>
    <w:rsid w:val="00711CBF"/>
    <w:rsid w:val="00713D03"/>
    <w:rsid w:val="00724FDA"/>
    <w:rsid w:val="00726430"/>
    <w:rsid w:val="0072794C"/>
    <w:rsid w:val="00727F3A"/>
    <w:rsid w:val="00730052"/>
    <w:rsid w:val="00745897"/>
    <w:rsid w:val="00751953"/>
    <w:rsid w:val="00757FE8"/>
    <w:rsid w:val="00766A89"/>
    <w:rsid w:val="00776E9C"/>
    <w:rsid w:val="00781B9B"/>
    <w:rsid w:val="00781D53"/>
    <w:rsid w:val="00783359"/>
    <w:rsid w:val="00792739"/>
    <w:rsid w:val="007A557D"/>
    <w:rsid w:val="007B0065"/>
    <w:rsid w:val="007B4843"/>
    <w:rsid w:val="007B61F1"/>
    <w:rsid w:val="007B679E"/>
    <w:rsid w:val="007C0B49"/>
    <w:rsid w:val="007C5403"/>
    <w:rsid w:val="007C6194"/>
    <w:rsid w:val="007C6AB4"/>
    <w:rsid w:val="007D15A4"/>
    <w:rsid w:val="007E0E27"/>
    <w:rsid w:val="007E46BA"/>
    <w:rsid w:val="007F0449"/>
    <w:rsid w:val="007F0D61"/>
    <w:rsid w:val="007F1305"/>
    <w:rsid w:val="007F365C"/>
    <w:rsid w:val="007F4C6F"/>
    <w:rsid w:val="007F4FAE"/>
    <w:rsid w:val="00800258"/>
    <w:rsid w:val="008042E7"/>
    <w:rsid w:val="00806A5D"/>
    <w:rsid w:val="008072DB"/>
    <w:rsid w:val="008104E2"/>
    <w:rsid w:val="008109F0"/>
    <w:rsid w:val="00812F38"/>
    <w:rsid w:val="00820EBE"/>
    <w:rsid w:val="008239F3"/>
    <w:rsid w:val="0082639C"/>
    <w:rsid w:val="00826732"/>
    <w:rsid w:val="0083579A"/>
    <w:rsid w:val="00845A21"/>
    <w:rsid w:val="00846D36"/>
    <w:rsid w:val="0084759B"/>
    <w:rsid w:val="00851C23"/>
    <w:rsid w:val="008538AB"/>
    <w:rsid w:val="00856B34"/>
    <w:rsid w:val="00857473"/>
    <w:rsid w:val="0085798E"/>
    <w:rsid w:val="00860DDF"/>
    <w:rsid w:val="008624DD"/>
    <w:rsid w:val="00862729"/>
    <w:rsid w:val="00862752"/>
    <w:rsid w:val="008717AA"/>
    <w:rsid w:val="00881517"/>
    <w:rsid w:val="008827F9"/>
    <w:rsid w:val="0088547F"/>
    <w:rsid w:val="00893602"/>
    <w:rsid w:val="0089683A"/>
    <w:rsid w:val="008A7CF5"/>
    <w:rsid w:val="008B4C27"/>
    <w:rsid w:val="008B4FDF"/>
    <w:rsid w:val="008C1484"/>
    <w:rsid w:val="008C2C33"/>
    <w:rsid w:val="008C3248"/>
    <w:rsid w:val="008C508B"/>
    <w:rsid w:val="008C600B"/>
    <w:rsid w:val="008D0DCB"/>
    <w:rsid w:val="008D26C3"/>
    <w:rsid w:val="008D41D3"/>
    <w:rsid w:val="008D76C6"/>
    <w:rsid w:val="008E08CE"/>
    <w:rsid w:val="008F233B"/>
    <w:rsid w:val="008F2FCC"/>
    <w:rsid w:val="008F3783"/>
    <w:rsid w:val="008F728F"/>
    <w:rsid w:val="009012FA"/>
    <w:rsid w:val="00903795"/>
    <w:rsid w:val="00910D06"/>
    <w:rsid w:val="009144C7"/>
    <w:rsid w:val="009216A1"/>
    <w:rsid w:val="00926329"/>
    <w:rsid w:val="00927A31"/>
    <w:rsid w:val="00931F34"/>
    <w:rsid w:val="00933A8A"/>
    <w:rsid w:val="00940467"/>
    <w:rsid w:val="00946654"/>
    <w:rsid w:val="009500EB"/>
    <w:rsid w:val="00950A28"/>
    <w:rsid w:val="0095424E"/>
    <w:rsid w:val="00955CFA"/>
    <w:rsid w:val="00957751"/>
    <w:rsid w:val="00963764"/>
    <w:rsid w:val="00964898"/>
    <w:rsid w:val="009653A9"/>
    <w:rsid w:val="00966B16"/>
    <w:rsid w:val="00975467"/>
    <w:rsid w:val="00976C65"/>
    <w:rsid w:val="009771D8"/>
    <w:rsid w:val="00981C4F"/>
    <w:rsid w:val="0098403D"/>
    <w:rsid w:val="00993FFC"/>
    <w:rsid w:val="00995511"/>
    <w:rsid w:val="0099562A"/>
    <w:rsid w:val="0099772F"/>
    <w:rsid w:val="009A00C4"/>
    <w:rsid w:val="009B2435"/>
    <w:rsid w:val="009B38D9"/>
    <w:rsid w:val="009B3EEB"/>
    <w:rsid w:val="009B54BD"/>
    <w:rsid w:val="009B5D79"/>
    <w:rsid w:val="009C2BB5"/>
    <w:rsid w:val="009C4248"/>
    <w:rsid w:val="009D02A8"/>
    <w:rsid w:val="009D493A"/>
    <w:rsid w:val="009E3E88"/>
    <w:rsid w:val="009E4627"/>
    <w:rsid w:val="00A01E9A"/>
    <w:rsid w:val="00A02E1F"/>
    <w:rsid w:val="00A05541"/>
    <w:rsid w:val="00A0798D"/>
    <w:rsid w:val="00A144D2"/>
    <w:rsid w:val="00A146A2"/>
    <w:rsid w:val="00A14EC7"/>
    <w:rsid w:val="00A474E6"/>
    <w:rsid w:val="00A50645"/>
    <w:rsid w:val="00A65A33"/>
    <w:rsid w:val="00A672C0"/>
    <w:rsid w:val="00A74A3C"/>
    <w:rsid w:val="00A77F92"/>
    <w:rsid w:val="00A84C19"/>
    <w:rsid w:val="00A86237"/>
    <w:rsid w:val="00A95610"/>
    <w:rsid w:val="00AA7249"/>
    <w:rsid w:val="00AB2DD2"/>
    <w:rsid w:val="00AB45ED"/>
    <w:rsid w:val="00AB53EA"/>
    <w:rsid w:val="00AC5B6B"/>
    <w:rsid w:val="00AC63CE"/>
    <w:rsid w:val="00AE2D98"/>
    <w:rsid w:val="00AE49B0"/>
    <w:rsid w:val="00AF7925"/>
    <w:rsid w:val="00B019CB"/>
    <w:rsid w:val="00B01EE2"/>
    <w:rsid w:val="00B04047"/>
    <w:rsid w:val="00B06512"/>
    <w:rsid w:val="00B17F38"/>
    <w:rsid w:val="00B2488D"/>
    <w:rsid w:val="00B275EC"/>
    <w:rsid w:val="00B35725"/>
    <w:rsid w:val="00B36D2E"/>
    <w:rsid w:val="00B46DA5"/>
    <w:rsid w:val="00B52C8D"/>
    <w:rsid w:val="00B6044C"/>
    <w:rsid w:val="00B6160E"/>
    <w:rsid w:val="00B62107"/>
    <w:rsid w:val="00B73B5A"/>
    <w:rsid w:val="00B9595C"/>
    <w:rsid w:val="00B95FDE"/>
    <w:rsid w:val="00B97CF3"/>
    <w:rsid w:val="00BA1AD5"/>
    <w:rsid w:val="00BB1E3E"/>
    <w:rsid w:val="00BB357B"/>
    <w:rsid w:val="00BB6882"/>
    <w:rsid w:val="00BC1391"/>
    <w:rsid w:val="00BC2DB9"/>
    <w:rsid w:val="00BE03F1"/>
    <w:rsid w:val="00BE0ADF"/>
    <w:rsid w:val="00BE0C94"/>
    <w:rsid w:val="00BE722B"/>
    <w:rsid w:val="00C0230D"/>
    <w:rsid w:val="00C02882"/>
    <w:rsid w:val="00C104C7"/>
    <w:rsid w:val="00C11A29"/>
    <w:rsid w:val="00C179D1"/>
    <w:rsid w:val="00C25ED1"/>
    <w:rsid w:val="00C275FC"/>
    <w:rsid w:val="00C34457"/>
    <w:rsid w:val="00C54625"/>
    <w:rsid w:val="00C62FB3"/>
    <w:rsid w:val="00C63B28"/>
    <w:rsid w:val="00C650D7"/>
    <w:rsid w:val="00C65390"/>
    <w:rsid w:val="00C73EDC"/>
    <w:rsid w:val="00C741F9"/>
    <w:rsid w:val="00C75E38"/>
    <w:rsid w:val="00C7706C"/>
    <w:rsid w:val="00CA34C2"/>
    <w:rsid w:val="00CA4113"/>
    <w:rsid w:val="00CA57B2"/>
    <w:rsid w:val="00CB0026"/>
    <w:rsid w:val="00CC5621"/>
    <w:rsid w:val="00CD0C87"/>
    <w:rsid w:val="00CD3F73"/>
    <w:rsid w:val="00CD456F"/>
    <w:rsid w:val="00CD54A3"/>
    <w:rsid w:val="00CE3695"/>
    <w:rsid w:val="00CE4ECA"/>
    <w:rsid w:val="00CE72AA"/>
    <w:rsid w:val="00CE7804"/>
    <w:rsid w:val="00CF03B5"/>
    <w:rsid w:val="00CF0E9A"/>
    <w:rsid w:val="00D01AC3"/>
    <w:rsid w:val="00D12C6D"/>
    <w:rsid w:val="00D13494"/>
    <w:rsid w:val="00D22207"/>
    <w:rsid w:val="00D22937"/>
    <w:rsid w:val="00D2635E"/>
    <w:rsid w:val="00D445A4"/>
    <w:rsid w:val="00D47374"/>
    <w:rsid w:val="00D47A50"/>
    <w:rsid w:val="00D5567D"/>
    <w:rsid w:val="00D55F53"/>
    <w:rsid w:val="00D56C70"/>
    <w:rsid w:val="00D62227"/>
    <w:rsid w:val="00D65E48"/>
    <w:rsid w:val="00D829B7"/>
    <w:rsid w:val="00D86409"/>
    <w:rsid w:val="00DA01EB"/>
    <w:rsid w:val="00DA2836"/>
    <w:rsid w:val="00DB7E50"/>
    <w:rsid w:val="00DC272D"/>
    <w:rsid w:val="00DC2CFE"/>
    <w:rsid w:val="00DC4126"/>
    <w:rsid w:val="00DD7782"/>
    <w:rsid w:val="00DE1C51"/>
    <w:rsid w:val="00DE4AB4"/>
    <w:rsid w:val="00DF05A2"/>
    <w:rsid w:val="00DF7DC9"/>
    <w:rsid w:val="00E0124F"/>
    <w:rsid w:val="00E04C1D"/>
    <w:rsid w:val="00E10F3C"/>
    <w:rsid w:val="00E32CE6"/>
    <w:rsid w:val="00E33072"/>
    <w:rsid w:val="00E346F7"/>
    <w:rsid w:val="00E36BAD"/>
    <w:rsid w:val="00E36EC2"/>
    <w:rsid w:val="00E41C72"/>
    <w:rsid w:val="00E46EE0"/>
    <w:rsid w:val="00E473BE"/>
    <w:rsid w:val="00E51C6E"/>
    <w:rsid w:val="00E527D0"/>
    <w:rsid w:val="00E54D08"/>
    <w:rsid w:val="00E72723"/>
    <w:rsid w:val="00E732D4"/>
    <w:rsid w:val="00E74EDE"/>
    <w:rsid w:val="00E82595"/>
    <w:rsid w:val="00E86BF1"/>
    <w:rsid w:val="00EA2730"/>
    <w:rsid w:val="00EC42C7"/>
    <w:rsid w:val="00ED343A"/>
    <w:rsid w:val="00ED4300"/>
    <w:rsid w:val="00ED5186"/>
    <w:rsid w:val="00ED6312"/>
    <w:rsid w:val="00ED7602"/>
    <w:rsid w:val="00EE1031"/>
    <w:rsid w:val="00EE26D9"/>
    <w:rsid w:val="00EE426B"/>
    <w:rsid w:val="00EE5519"/>
    <w:rsid w:val="00F000DD"/>
    <w:rsid w:val="00F00312"/>
    <w:rsid w:val="00F036D5"/>
    <w:rsid w:val="00F06B34"/>
    <w:rsid w:val="00F13B7F"/>
    <w:rsid w:val="00F15DDE"/>
    <w:rsid w:val="00F26349"/>
    <w:rsid w:val="00F2667B"/>
    <w:rsid w:val="00F27B03"/>
    <w:rsid w:val="00F468E0"/>
    <w:rsid w:val="00F5501A"/>
    <w:rsid w:val="00F60A75"/>
    <w:rsid w:val="00F72458"/>
    <w:rsid w:val="00F73615"/>
    <w:rsid w:val="00F73B05"/>
    <w:rsid w:val="00F84688"/>
    <w:rsid w:val="00F84A5F"/>
    <w:rsid w:val="00F85170"/>
    <w:rsid w:val="00F863FB"/>
    <w:rsid w:val="00F92B91"/>
    <w:rsid w:val="00F94CD0"/>
    <w:rsid w:val="00F959EC"/>
    <w:rsid w:val="00F97C88"/>
    <w:rsid w:val="00FA30BE"/>
    <w:rsid w:val="00FA4E68"/>
    <w:rsid w:val="00FA7E16"/>
    <w:rsid w:val="00FB2FCC"/>
    <w:rsid w:val="00FB59BF"/>
    <w:rsid w:val="00FB6ABF"/>
    <w:rsid w:val="00FC25B1"/>
    <w:rsid w:val="00FC4677"/>
    <w:rsid w:val="00FD11EA"/>
    <w:rsid w:val="00FD23E2"/>
    <w:rsid w:val="00FD26CF"/>
    <w:rsid w:val="00FD380D"/>
    <w:rsid w:val="00FD6D0C"/>
    <w:rsid w:val="00FE0216"/>
    <w:rsid w:val="00FE0408"/>
    <w:rsid w:val="00FE0C4E"/>
    <w:rsid w:val="00FE21FF"/>
    <w:rsid w:val="00FE3A6E"/>
    <w:rsid w:val="00FE6AE8"/>
    <w:rsid w:val="00FF3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E8B7FF"/>
  <w15:chartTrackingRefBased/>
  <w15:docId w15:val="{6EA7D6A0-4D66-694F-97CA-0341BCD9C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CB1"/>
    <w:rPr>
      <w:rFonts w:ascii="Times New Roman" w:hAnsi="Times New Roman" w:cs="Times New Roman"/>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F365C"/>
    <w:pPr>
      <w:spacing w:before="100" w:beforeAutospacing="1" w:after="100" w:afterAutospacing="1"/>
    </w:pPr>
  </w:style>
  <w:style w:type="character" w:styleId="Emphasis">
    <w:name w:val="Emphasis"/>
    <w:basedOn w:val="DefaultParagraphFont"/>
    <w:uiPriority w:val="20"/>
    <w:qFormat/>
    <w:rsid w:val="00745897"/>
    <w:rPr>
      <w:i/>
      <w:iCs/>
    </w:rPr>
  </w:style>
  <w:style w:type="paragraph" w:styleId="BalloonText">
    <w:name w:val="Balloon Text"/>
    <w:basedOn w:val="Normal"/>
    <w:link w:val="BalloonTextChar"/>
    <w:uiPriority w:val="99"/>
    <w:semiHidden/>
    <w:unhideWhenUsed/>
    <w:rsid w:val="003F5313"/>
    <w:rPr>
      <w:sz w:val="18"/>
      <w:szCs w:val="18"/>
    </w:rPr>
  </w:style>
  <w:style w:type="character" w:customStyle="1" w:styleId="BalloonTextChar">
    <w:name w:val="Balloon Text Char"/>
    <w:basedOn w:val="DefaultParagraphFont"/>
    <w:link w:val="BalloonText"/>
    <w:uiPriority w:val="99"/>
    <w:semiHidden/>
    <w:rsid w:val="003F5313"/>
    <w:rPr>
      <w:rFonts w:ascii="Times New Roman" w:hAnsi="Times New Roman" w:cs="Times New Roman"/>
      <w:sz w:val="18"/>
      <w:szCs w:val="18"/>
      <w:lang w:val="en-GB" w:eastAsia="de-DE"/>
    </w:rPr>
  </w:style>
  <w:style w:type="paragraph" w:styleId="Header">
    <w:name w:val="header"/>
    <w:basedOn w:val="Normal"/>
    <w:link w:val="HeaderChar"/>
    <w:uiPriority w:val="99"/>
    <w:unhideWhenUsed/>
    <w:rsid w:val="003F5313"/>
    <w:pPr>
      <w:tabs>
        <w:tab w:val="center" w:pos="4536"/>
        <w:tab w:val="right" w:pos="9072"/>
      </w:tabs>
    </w:pPr>
  </w:style>
  <w:style w:type="character" w:customStyle="1" w:styleId="HeaderChar">
    <w:name w:val="Header Char"/>
    <w:basedOn w:val="DefaultParagraphFont"/>
    <w:link w:val="Header"/>
    <w:uiPriority w:val="99"/>
    <w:rsid w:val="003F5313"/>
    <w:rPr>
      <w:rFonts w:ascii="Times New Roman" w:hAnsi="Times New Roman" w:cs="Times New Roman"/>
      <w:lang w:val="en-GB" w:eastAsia="de-DE"/>
    </w:rPr>
  </w:style>
  <w:style w:type="character" w:styleId="PageNumber">
    <w:name w:val="page number"/>
    <w:basedOn w:val="DefaultParagraphFont"/>
    <w:uiPriority w:val="99"/>
    <w:semiHidden/>
    <w:unhideWhenUsed/>
    <w:rsid w:val="003F5313"/>
  </w:style>
  <w:style w:type="paragraph" w:styleId="Footer">
    <w:name w:val="footer"/>
    <w:basedOn w:val="Normal"/>
    <w:link w:val="FooterChar"/>
    <w:uiPriority w:val="99"/>
    <w:unhideWhenUsed/>
    <w:rsid w:val="003F5313"/>
    <w:pPr>
      <w:tabs>
        <w:tab w:val="center" w:pos="4536"/>
        <w:tab w:val="right" w:pos="9072"/>
      </w:tabs>
    </w:pPr>
  </w:style>
  <w:style w:type="character" w:customStyle="1" w:styleId="FooterChar">
    <w:name w:val="Footer Char"/>
    <w:basedOn w:val="DefaultParagraphFont"/>
    <w:link w:val="Footer"/>
    <w:uiPriority w:val="99"/>
    <w:rsid w:val="003F5313"/>
    <w:rPr>
      <w:rFonts w:ascii="Times New Roman" w:hAnsi="Times New Roman" w:cs="Times New Roman"/>
      <w:lang w:val="en-GB" w:eastAsia="de-DE"/>
    </w:rPr>
  </w:style>
  <w:style w:type="table" w:styleId="TableGrid">
    <w:name w:val="Table Grid"/>
    <w:basedOn w:val="TableNormal"/>
    <w:uiPriority w:val="39"/>
    <w:rsid w:val="003F5313"/>
    <w:pPr>
      <w:ind w:firstLine="720"/>
    </w:pPr>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gure">
    <w:name w:val="Table/Figure"/>
    <w:basedOn w:val="Normal"/>
    <w:uiPriority w:val="39"/>
    <w:qFormat/>
    <w:rsid w:val="008F2FCC"/>
    <w:pPr>
      <w:spacing w:before="240" w:line="480" w:lineRule="auto"/>
      <w:contextualSpacing/>
    </w:pPr>
    <w:rPr>
      <w:rFonts w:asciiTheme="minorHAnsi" w:eastAsiaTheme="minorEastAsia" w:hAnsiTheme="minorHAnsi" w:cstheme="minorBidi"/>
      <w:kern w:val="24"/>
      <w:lang w:eastAsia="ja-JP"/>
    </w:rPr>
  </w:style>
  <w:style w:type="paragraph" w:styleId="NoSpacing">
    <w:name w:val="No Spacing"/>
    <w:aliases w:val="No Indent"/>
    <w:uiPriority w:val="3"/>
    <w:qFormat/>
    <w:rsid w:val="00F5501A"/>
    <w:pPr>
      <w:spacing w:line="480" w:lineRule="auto"/>
    </w:pPr>
    <w:rPr>
      <w:rFonts w:eastAsiaTheme="minorEastAsia"/>
      <w:lang w:val="en-US" w:eastAsia="ja-JP"/>
    </w:rPr>
  </w:style>
  <w:style w:type="paragraph" w:styleId="ListParagraph">
    <w:name w:val="List Paragraph"/>
    <w:basedOn w:val="Normal"/>
    <w:uiPriority w:val="34"/>
    <w:unhideWhenUsed/>
    <w:qFormat/>
    <w:rsid w:val="00F5501A"/>
    <w:pPr>
      <w:spacing w:line="480" w:lineRule="auto"/>
      <w:ind w:left="720"/>
      <w:contextualSpacing/>
    </w:pPr>
    <w:rPr>
      <w:rFonts w:asciiTheme="minorHAnsi" w:eastAsiaTheme="minorEastAsia" w:hAnsiTheme="minorHAnsi" w:cstheme="minorBidi"/>
      <w:kern w:val="24"/>
      <w:lang w:eastAsia="ja-JP"/>
    </w:rPr>
  </w:style>
  <w:style w:type="paragraph" w:customStyle="1" w:styleId="Default">
    <w:name w:val="Default"/>
    <w:rsid w:val="00F5501A"/>
    <w:pPr>
      <w:widowControl w:val="0"/>
      <w:autoSpaceDE w:val="0"/>
      <w:autoSpaceDN w:val="0"/>
      <w:adjustRightInd w:val="0"/>
    </w:pPr>
    <w:rPr>
      <w:rFonts w:ascii="Calibri" w:eastAsia="Times New Roman" w:hAnsi="Calibri" w:cs="Calibri"/>
      <w:color w:val="000000"/>
      <w:lang w:val="en-CA" w:eastAsia="en-CA"/>
    </w:rPr>
  </w:style>
  <w:style w:type="paragraph" w:styleId="CommentText">
    <w:name w:val="annotation text"/>
    <w:basedOn w:val="Normal"/>
    <w:link w:val="CommentTextChar"/>
    <w:uiPriority w:val="99"/>
    <w:semiHidden/>
    <w:unhideWhenUsed/>
    <w:rsid w:val="00F959EC"/>
    <w:rPr>
      <w:rFonts w:asciiTheme="minorHAnsi" w:eastAsiaTheme="minorEastAsia" w:hAnsiTheme="minorHAnsi" w:cstheme="minorBidi"/>
      <w:kern w:val="24"/>
      <w:sz w:val="22"/>
      <w:szCs w:val="20"/>
      <w:lang w:eastAsia="ja-JP"/>
    </w:rPr>
  </w:style>
  <w:style w:type="character" w:customStyle="1" w:styleId="CommentTextChar">
    <w:name w:val="Comment Text Char"/>
    <w:basedOn w:val="DefaultParagraphFont"/>
    <w:link w:val="CommentText"/>
    <w:uiPriority w:val="99"/>
    <w:semiHidden/>
    <w:rsid w:val="00F959EC"/>
    <w:rPr>
      <w:rFonts w:eastAsiaTheme="minorEastAsia"/>
      <w:kern w:val="24"/>
      <w:sz w:val="22"/>
      <w:szCs w:val="20"/>
      <w:lang w:val="en-GB" w:eastAsia="ja-JP"/>
    </w:rPr>
  </w:style>
  <w:style w:type="character" w:styleId="CommentReference">
    <w:name w:val="annotation reference"/>
    <w:basedOn w:val="DefaultParagraphFont"/>
    <w:uiPriority w:val="99"/>
    <w:semiHidden/>
    <w:unhideWhenUsed/>
    <w:rsid w:val="00F959EC"/>
    <w:rPr>
      <w:sz w:val="22"/>
      <w:szCs w:val="16"/>
    </w:rPr>
  </w:style>
  <w:style w:type="paragraph" w:styleId="CommentSubject">
    <w:name w:val="annotation subject"/>
    <w:basedOn w:val="CommentText"/>
    <w:next w:val="CommentText"/>
    <w:link w:val="CommentSubjectChar"/>
    <w:uiPriority w:val="99"/>
    <w:semiHidden/>
    <w:unhideWhenUsed/>
    <w:rsid w:val="006B2BC5"/>
    <w:rPr>
      <w:rFonts w:ascii="Times New Roman" w:eastAsiaTheme="minorHAnsi" w:hAnsi="Times New Roman" w:cs="Times New Roman"/>
      <w:b/>
      <w:bCs/>
      <w:kern w:val="0"/>
      <w:sz w:val="20"/>
      <w:lang w:eastAsia="de-DE"/>
    </w:rPr>
  </w:style>
  <w:style w:type="character" w:customStyle="1" w:styleId="CommentSubjectChar">
    <w:name w:val="Comment Subject Char"/>
    <w:basedOn w:val="CommentTextChar"/>
    <w:link w:val="CommentSubject"/>
    <w:uiPriority w:val="99"/>
    <w:semiHidden/>
    <w:rsid w:val="006B2BC5"/>
    <w:rPr>
      <w:rFonts w:ascii="Times New Roman" w:eastAsiaTheme="minorEastAsia" w:hAnsi="Times New Roman" w:cs="Times New Roman"/>
      <w:b/>
      <w:bCs/>
      <w:kern w:val="24"/>
      <w:sz w:val="20"/>
      <w:szCs w:val="20"/>
      <w:lang w:val="en-GB" w:eastAsia="de-DE"/>
    </w:rPr>
  </w:style>
  <w:style w:type="character" w:styleId="Hyperlink">
    <w:name w:val="Hyperlink"/>
    <w:basedOn w:val="DefaultParagraphFont"/>
    <w:uiPriority w:val="99"/>
    <w:semiHidden/>
    <w:unhideWhenUsed/>
    <w:rsid w:val="004511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096987">
      <w:bodyDiv w:val="1"/>
      <w:marLeft w:val="0"/>
      <w:marRight w:val="0"/>
      <w:marTop w:val="0"/>
      <w:marBottom w:val="0"/>
      <w:divBdr>
        <w:top w:val="none" w:sz="0" w:space="0" w:color="auto"/>
        <w:left w:val="none" w:sz="0" w:space="0" w:color="auto"/>
        <w:bottom w:val="none" w:sz="0" w:space="0" w:color="auto"/>
        <w:right w:val="none" w:sz="0" w:space="0" w:color="auto"/>
      </w:divBdr>
    </w:div>
    <w:div w:id="990600027">
      <w:bodyDiv w:val="1"/>
      <w:marLeft w:val="0"/>
      <w:marRight w:val="0"/>
      <w:marTop w:val="0"/>
      <w:marBottom w:val="0"/>
      <w:divBdr>
        <w:top w:val="none" w:sz="0" w:space="0" w:color="auto"/>
        <w:left w:val="none" w:sz="0" w:space="0" w:color="auto"/>
        <w:bottom w:val="none" w:sz="0" w:space="0" w:color="auto"/>
        <w:right w:val="none" w:sz="0" w:space="0" w:color="auto"/>
      </w:divBdr>
    </w:div>
    <w:div w:id="170008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25D5D-32F0-4887-A28D-8031FFCA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1911</Words>
  <Characters>10899</Characters>
  <Application>Microsoft Office Word</Application>
  <DocSecurity>0</DocSecurity>
  <Lines>90</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Gunak, Mia</dc:creator>
  <cp:keywords/>
  <dc:description/>
  <cp:lastModifiedBy>valina14@outlook.com</cp:lastModifiedBy>
  <cp:revision>8</cp:revision>
  <dcterms:created xsi:type="dcterms:W3CDTF">2020-05-28T14:16:00Z</dcterms:created>
  <dcterms:modified xsi:type="dcterms:W3CDTF">2020-06-05T18:57:00Z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Citation Style_1">
    <vt:lpwstr>http://www.zotero.org/styles/vancouver</vt:lpwstr>
  </property>
  <property fmtid="{D5CDD505-2E9C-101B-9397-08002B2CF9AE}" pid="23" name="Mendeley Document_1">
    <vt:lpwstr>True</vt:lpwstr>
  </property>
  <property fmtid="{D5CDD505-2E9C-101B-9397-08002B2CF9AE}" pid="24" name="Mendeley Unique User Id_1">
    <vt:lpwstr>d61f6954-27fc-3f10-94c1-b9468df9504b</vt:lpwstr>
  </property>
</Properties>
</file>