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B0296" w14:textId="4EFC0DBA" w:rsidR="00A1767E" w:rsidRPr="009660D5" w:rsidRDefault="00410628" w:rsidP="00A1767E">
      <w:pPr>
        <w:pStyle w:val="NoSpacing"/>
        <w:rPr>
          <w:b/>
          <w:bCs/>
        </w:rPr>
      </w:pPr>
      <w:r>
        <w:rPr>
          <w:b/>
          <w:bCs/>
        </w:rPr>
        <w:t xml:space="preserve">Supplementary </w:t>
      </w:r>
      <w:r w:rsidR="00A1767E" w:rsidRPr="009660D5">
        <w:rPr>
          <w:b/>
          <w:bCs/>
        </w:rPr>
        <w:t xml:space="preserve">Table </w:t>
      </w:r>
      <w:r w:rsidR="00A1767E">
        <w:rPr>
          <w:b/>
          <w:bCs/>
        </w:rPr>
        <w:t>1</w:t>
      </w:r>
      <w:r w:rsidR="00A1767E">
        <w:t xml:space="preserve"> Models adjusted for internalizing and externalizing disorders, and for number of disorders </w:t>
      </w:r>
    </w:p>
    <w:p w14:paraId="3E0F2329" w14:textId="77777777" w:rsidR="00A1767E" w:rsidRDefault="00A1767E" w:rsidP="00A1767E">
      <w:pPr>
        <w:pStyle w:val="NoSpacing"/>
      </w:pPr>
    </w:p>
    <w:p w14:paraId="65C4C099" w14:textId="77777777" w:rsidR="00A1767E" w:rsidRDefault="00A1767E" w:rsidP="00A1767E">
      <w:pPr>
        <w:pStyle w:val="NoSpacing"/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2184"/>
        <w:gridCol w:w="1984"/>
      </w:tblGrid>
      <w:tr w:rsidR="00A1767E" w:rsidRPr="00A07FFD" w14:paraId="611E5E00" w14:textId="77777777" w:rsidTr="00CF1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481D8C37" w14:textId="77777777" w:rsidR="00A1767E" w:rsidRPr="00A07FFD" w:rsidRDefault="00A1767E" w:rsidP="00CF120C">
            <w:pPr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 Outcomes</w:t>
            </w:r>
          </w:p>
        </w:tc>
        <w:tc>
          <w:tcPr>
            <w:tcW w:w="2184" w:type="dxa"/>
            <w:noWrap/>
            <w:hideMark/>
          </w:tcPr>
          <w:p w14:paraId="309903A1" w14:textId="77777777" w:rsidR="00A1767E" w:rsidRPr="00A07FFD" w:rsidRDefault="00A1767E" w:rsidP="00CF1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Model</w:t>
            </w:r>
          </w:p>
          <w:p w14:paraId="792D15AC" w14:textId="77777777" w:rsidR="00A1767E" w:rsidRPr="00A07FFD" w:rsidRDefault="00A1767E" w:rsidP="00CF1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M5.1</w:t>
            </w:r>
          </w:p>
        </w:tc>
        <w:tc>
          <w:tcPr>
            <w:tcW w:w="1984" w:type="dxa"/>
            <w:noWrap/>
            <w:hideMark/>
          </w:tcPr>
          <w:p w14:paraId="51A54DB0" w14:textId="77777777" w:rsidR="00A1767E" w:rsidRPr="00A07FFD" w:rsidRDefault="00A1767E" w:rsidP="00CF1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 xml:space="preserve">Model </w:t>
            </w:r>
          </w:p>
          <w:p w14:paraId="4DA2297C" w14:textId="77777777" w:rsidR="00A1767E" w:rsidRPr="00A07FFD" w:rsidRDefault="00A1767E" w:rsidP="00CF1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M5.2</w:t>
            </w:r>
          </w:p>
        </w:tc>
      </w:tr>
      <w:tr w:rsidR="00A1767E" w:rsidRPr="00A07FFD" w14:paraId="61419AAD" w14:textId="77777777" w:rsidTr="00CF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65090BAD" w14:textId="77777777" w:rsidR="00A1767E" w:rsidRPr="00A07FFD" w:rsidRDefault="00A1767E" w:rsidP="00CF120C">
            <w:pPr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Analysis sample</w:t>
            </w:r>
          </w:p>
          <w:p w14:paraId="2711D858" w14:textId="77777777" w:rsidR="00A1767E" w:rsidRPr="00A07FFD" w:rsidRDefault="00A1767E" w:rsidP="00CF120C">
            <w:pPr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(N=2140)</w:t>
            </w:r>
          </w:p>
        </w:tc>
        <w:tc>
          <w:tcPr>
            <w:tcW w:w="2184" w:type="dxa"/>
            <w:noWrap/>
          </w:tcPr>
          <w:p w14:paraId="72A58268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noWrap/>
          </w:tcPr>
          <w:p w14:paraId="5288B2D6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1767E" w:rsidRPr="00A07FFD" w14:paraId="18AFBE4D" w14:textId="77777777" w:rsidTr="00CF12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2CD7BE02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b w:val="0"/>
                <w:bCs w:val="0"/>
                <w:sz w:val="16"/>
                <w:szCs w:val="16"/>
              </w:rPr>
              <w:t xml:space="preserve">Individual </w:t>
            </w: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earnings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6BA1206D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-3819.30</w:t>
            </w:r>
          </w:p>
          <w:p w14:paraId="1F65DD4D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(-7626.</w:t>
            </w:r>
            <w:r>
              <w:rPr>
                <w:color w:val="000000"/>
                <w:sz w:val="16"/>
                <w:szCs w:val="16"/>
              </w:rPr>
              <w:t>40</w:t>
            </w:r>
            <w:r w:rsidRPr="00A07FFD">
              <w:rPr>
                <w:color w:val="000000"/>
                <w:sz w:val="16"/>
                <w:szCs w:val="16"/>
              </w:rPr>
              <w:t xml:space="preserve"> to -12.20)</w:t>
            </w:r>
          </w:p>
        </w:tc>
        <w:tc>
          <w:tcPr>
            <w:tcW w:w="1984" w:type="dxa"/>
            <w:noWrap/>
            <w:vAlign w:val="bottom"/>
          </w:tcPr>
          <w:p w14:paraId="21E79570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-5361.9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14:paraId="4C5CA195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(-9142.1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A07FFD">
              <w:rPr>
                <w:color w:val="000000"/>
                <w:sz w:val="16"/>
                <w:szCs w:val="16"/>
              </w:rPr>
              <w:t xml:space="preserve"> to -1581.6</w:t>
            </w:r>
            <w:r>
              <w:rPr>
                <w:color w:val="000000"/>
                <w:sz w:val="16"/>
                <w:szCs w:val="16"/>
              </w:rPr>
              <w:t>5</w:t>
            </w:r>
            <w:r w:rsidRPr="00A07FFD">
              <w:rPr>
                <w:color w:val="000000"/>
                <w:sz w:val="16"/>
                <w:szCs w:val="16"/>
              </w:rPr>
              <w:t>)</w:t>
            </w:r>
          </w:p>
        </w:tc>
      </w:tr>
      <w:tr w:rsidR="00A1767E" w:rsidRPr="00A07FFD" w14:paraId="2A3595F8" w14:textId="77777777" w:rsidTr="00CF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29245C67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b w:val="0"/>
                <w:bCs w:val="0"/>
                <w:sz w:val="16"/>
                <w:szCs w:val="16"/>
              </w:rPr>
              <w:t xml:space="preserve">Retirement </w:t>
            </w: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savings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72F99962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-1302.30</w:t>
            </w:r>
          </w:p>
          <w:p w14:paraId="6C7E26C1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(-2898.31 to 293.7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07FF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noWrap/>
            <w:vAlign w:val="bottom"/>
          </w:tcPr>
          <w:p w14:paraId="3EA1B885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-1839.8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5D308A46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(-3413.0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07FFD">
              <w:rPr>
                <w:color w:val="000000"/>
                <w:sz w:val="16"/>
                <w:szCs w:val="16"/>
              </w:rPr>
              <w:t xml:space="preserve"> to -266.</w:t>
            </w:r>
            <w:r>
              <w:rPr>
                <w:color w:val="000000"/>
                <w:sz w:val="16"/>
                <w:szCs w:val="16"/>
              </w:rPr>
              <w:t>60</w:t>
            </w:r>
            <w:r w:rsidRPr="00A07FFD">
              <w:rPr>
                <w:color w:val="000000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A1767E" w:rsidRPr="00A07FFD" w14:paraId="5E786B24" w14:textId="77777777" w:rsidTr="00CF12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64C70C34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Welfare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432C212C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1.91</w:t>
            </w:r>
          </w:p>
          <w:p w14:paraId="0F017F9C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(1.31 to 2.78)</w:t>
            </w:r>
          </w:p>
        </w:tc>
        <w:tc>
          <w:tcPr>
            <w:tcW w:w="1984" w:type="dxa"/>
            <w:noWrap/>
            <w:vAlign w:val="bottom"/>
          </w:tcPr>
          <w:p w14:paraId="4789495B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2.24</w:t>
            </w:r>
          </w:p>
          <w:p w14:paraId="78CFFF0C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color w:val="000000"/>
                <w:sz w:val="16"/>
                <w:szCs w:val="16"/>
              </w:rPr>
              <w:t>(1.47 to 3.40)</w:t>
            </w:r>
          </w:p>
        </w:tc>
      </w:tr>
      <w:tr w:rsidR="00A1767E" w:rsidRPr="00A07FFD" w14:paraId="1842A433" w14:textId="77777777" w:rsidTr="00CF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4CB3209D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Bankruptcy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0EF70D64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1.34</w:t>
            </w:r>
          </w:p>
          <w:p w14:paraId="36C96D73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(0.85 to 2.11)</w:t>
            </w:r>
          </w:p>
        </w:tc>
        <w:tc>
          <w:tcPr>
            <w:tcW w:w="1984" w:type="dxa"/>
            <w:noWrap/>
            <w:vAlign w:val="bottom"/>
          </w:tcPr>
          <w:p w14:paraId="6878B07D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1.45</w:t>
            </w:r>
          </w:p>
          <w:p w14:paraId="791791D5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(0.92 to 2.31)</w:t>
            </w:r>
          </w:p>
        </w:tc>
      </w:tr>
      <w:tr w:rsidR="00A1767E" w:rsidRPr="00A07FFD" w14:paraId="3E12DC8D" w14:textId="77777777" w:rsidTr="00CF12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4FA1E9E8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Partnership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119737A9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0.82</w:t>
            </w:r>
          </w:p>
          <w:p w14:paraId="713F01B8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(0.73 to 0.93)</w:t>
            </w:r>
          </w:p>
        </w:tc>
        <w:tc>
          <w:tcPr>
            <w:tcW w:w="1984" w:type="dxa"/>
            <w:noWrap/>
            <w:vAlign w:val="bottom"/>
          </w:tcPr>
          <w:p w14:paraId="1931D9F2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0.81</w:t>
            </w:r>
          </w:p>
          <w:p w14:paraId="2882D42F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(0.71 to 0.91)</w:t>
            </w:r>
          </w:p>
        </w:tc>
      </w:tr>
      <w:tr w:rsidR="00A1767E" w:rsidRPr="00A07FFD" w14:paraId="3E1C0D9D" w14:textId="77777777" w:rsidTr="00CF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74A3E004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b w:val="0"/>
                <w:bCs w:val="0"/>
                <w:sz w:val="16"/>
                <w:szCs w:val="16"/>
              </w:rPr>
              <w:t>Separation/</w:t>
            </w: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divorce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4DD5EEA4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1.17</w:t>
            </w:r>
          </w:p>
          <w:p w14:paraId="2330E6B7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(0.87 to 1.58)</w:t>
            </w:r>
          </w:p>
        </w:tc>
        <w:tc>
          <w:tcPr>
            <w:tcW w:w="1984" w:type="dxa"/>
            <w:noWrap/>
            <w:vAlign w:val="bottom"/>
          </w:tcPr>
          <w:p w14:paraId="260FCBDB" w14:textId="77777777" w:rsidR="00A1767E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1.20</w:t>
            </w:r>
          </w:p>
          <w:p w14:paraId="470C4E13" w14:textId="77777777" w:rsidR="00A1767E" w:rsidRPr="00A07FFD" w:rsidRDefault="00A1767E" w:rsidP="00CF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(0.89 to 1.61)</w:t>
            </w:r>
          </w:p>
        </w:tc>
      </w:tr>
      <w:tr w:rsidR="00A1767E" w:rsidRPr="00A07FFD" w14:paraId="36A50CD7" w14:textId="77777777" w:rsidTr="00CF12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55430A4A" w14:textId="77777777" w:rsidR="00A1767E" w:rsidRPr="00A07FFD" w:rsidRDefault="00A1767E" w:rsidP="00CF120C">
            <w:pPr>
              <w:ind w:left="175"/>
              <w:rPr>
                <w:b w:val="0"/>
                <w:bCs w:val="0"/>
                <w:sz w:val="16"/>
                <w:szCs w:val="16"/>
              </w:rPr>
            </w:pPr>
            <w:r w:rsidRPr="00A07FFD">
              <w:rPr>
                <w:b w:val="0"/>
                <w:bCs w:val="0"/>
                <w:sz w:val="16"/>
                <w:szCs w:val="16"/>
              </w:rPr>
              <w:t xml:space="preserve">No. of children in </w:t>
            </w:r>
            <w:proofErr w:type="spellStart"/>
            <w:r w:rsidRPr="00A07FFD">
              <w:rPr>
                <w:b w:val="0"/>
                <w:bCs w:val="0"/>
                <w:sz w:val="16"/>
                <w:szCs w:val="16"/>
              </w:rPr>
              <w:t>household</w:t>
            </w:r>
            <w:r w:rsidRPr="00A07FFD">
              <w:rPr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2184" w:type="dxa"/>
            <w:noWrap/>
            <w:vAlign w:val="bottom"/>
          </w:tcPr>
          <w:p w14:paraId="07EE92F3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0.88</w:t>
            </w:r>
          </w:p>
          <w:p w14:paraId="6688347D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(0.75 to 1.02)</w:t>
            </w:r>
          </w:p>
        </w:tc>
        <w:tc>
          <w:tcPr>
            <w:tcW w:w="1984" w:type="dxa"/>
            <w:noWrap/>
            <w:vAlign w:val="bottom"/>
          </w:tcPr>
          <w:p w14:paraId="125292CE" w14:textId="77777777" w:rsidR="00A1767E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0.85</w:t>
            </w:r>
          </w:p>
          <w:p w14:paraId="04D691D3" w14:textId="77777777" w:rsidR="00A1767E" w:rsidRPr="00A07FFD" w:rsidRDefault="00A1767E" w:rsidP="00CF1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FFD">
              <w:rPr>
                <w:sz w:val="16"/>
                <w:szCs w:val="16"/>
              </w:rPr>
              <w:t>(0.73 to 0.99)</w:t>
            </w:r>
          </w:p>
        </w:tc>
      </w:tr>
    </w:tbl>
    <w:p w14:paraId="74EA6EFE" w14:textId="77777777" w:rsidR="00A1767E" w:rsidRDefault="00A1767E" w:rsidP="00A1767E">
      <w:pPr>
        <w:pStyle w:val="NoSpacing"/>
        <w:rPr>
          <w:b/>
          <w:bCs/>
        </w:rPr>
      </w:pPr>
    </w:p>
    <w:p w14:paraId="60B0ECC6" w14:textId="77777777" w:rsidR="00A1767E" w:rsidRPr="00E3402D" w:rsidRDefault="00A1767E" w:rsidP="00A1767E">
      <w:pPr>
        <w:pStyle w:val="NoSpacing"/>
        <w:rPr>
          <w:szCs w:val="22"/>
          <w:lang w:val="en-CA"/>
        </w:rPr>
      </w:pPr>
      <w:r>
        <w:rPr>
          <w:szCs w:val="22"/>
        </w:rPr>
        <w:t xml:space="preserve">Estimates are </w:t>
      </w:r>
      <w:proofErr w:type="gramStart"/>
      <w:r w:rsidRPr="00E3402D">
        <w:rPr>
          <w:szCs w:val="22"/>
          <w:vertAlign w:val="superscript"/>
        </w:rPr>
        <w:t>a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beta coefficients</w:t>
      </w:r>
      <w:proofErr w:type="gramEnd"/>
      <w:r>
        <w:rPr>
          <w:szCs w:val="22"/>
        </w:rPr>
        <w:t xml:space="preserve"> for T</w:t>
      </w:r>
      <w:r w:rsidRPr="00E3402D">
        <w:rPr>
          <w:szCs w:val="22"/>
        </w:rPr>
        <w:t>obit regression</w:t>
      </w:r>
      <w:r>
        <w:rPr>
          <w:szCs w:val="22"/>
        </w:rPr>
        <w:t xml:space="preserve"> and Risk Ratios for </w:t>
      </w:r>
      <w:r>
        <w:rPr>
          <w:szCs w:val="22"/>
          <w:vertAlign w:val="superscript"/>
        </w:rPr>
        <w:t xml:space="preserve">b </w:t>
      </w:r>
      <w:r>
        <w:rPr>
          <w:szCs w:val="22"/>
        </w:rPr>
        <w:t>Negative binomial</w:t>
      </w:r>
      <w:r w:rsidRPr="00E3402D">
        <w:rPr>
          <w:szCs w:val="22"/>
        </w:rPr>
        <w:t xml:space="preserve"> </w:t>
      </w:r>
      <w:r>
        <w:rPr>
          <w:szCs w:val="22"/>
        </w:rPr>
        <w:t>and</w:t>
      </w:r>
      <w:r w:rsidRPr="00E3402D">
        <w:rPr>
          <w:szCs w:val="22"/>
        </w:rPr>
        <w:t xml:space="preserve"> </w:t>
      </w:r>
      <w:r>
        <w:rPr>
          <w:szCs w:val="22"/>
          <w:vertAlign w:val="superscript"/>
        </w:rPr>
        <w:t xml:space="preserve">c </w:t>
      </w:r>
      <w:r>
        <w:rPr>
          <w:szCs w:val="22"/>
        </w:rPr>
        <w:t>Poisson</w:t>
      </w:r>
      <w:r w:rsidRPr="00E3402D">
        <w:rPr>
          <w:szCs w:val="22"/>
        </w:rPr>
        <w:t xml:space="preserve"> regression</w:t>
      </w:r>
      <w:r>
        <w:rPr>
          <w:szCs w:val="22"/>
        </w:rPr>
        <w:t>s, with 95% confidence intervals.</w:t>
      </w:r>
    </w:p>
    <w:p w14:paraId="7E785459" w14:textId="77777777" w:rsidR="00A1767E" w:rsidRDefault="00A1767E" w:rsidP="00A1767E">
      <w:pPr>
        <w:pStyle w:val="NoSpacing"/>
        <w:rPr>
          <w:lang w:val="en-CA"/>
        </w:rPr>
      </w:pPr>
    </w:p>
    <w:p w14:paraId="2A003696" w14:textId="77777777" w:rsidR="00A1767E" w:rsidRDefault="00A1767E" w:rsidP="00A1767E">
      <w:pPr>
        <w:pStyle w:val="NoSpacing"/>
        <w:rPr>
          <w:b/>
          <w:bCs/>
        </w:rPr>
      </w:pPr>
    </w:p>
    <w:p w14:paraId="653ADE79" w14:textId="77777777" w:rsidR="00A1767E" w:rsidRDefault="00A1767E" w:rsidP="00A1767E">
      <w:pPr>
        <w:pStyle w:val="NoSpacing"/>
        <w:rPr>
          <w:lang w:val="en-CA"/>
        </w:rPr>
      </w:pPr>
      <w:r>
        <w:rPr>
          <w:lang w:val="en-CA"/>
        </w:rPr>
        <w:t xml:space="preserve">Both models are </w:t>
      </w:r>
      <w:r w:rsidRPr="00E3402D">
        <w:rPr>
          <w:lang w:val="en-CA"/>
        </w:rPr>
        <w:t xml:space="preserve">adjusted for the variable </w:t>
      </w:r>
      <w:r>
        <w:rPr>
          <w:lang w:val="en-CA"/>
        </w:rPr>
        <w:t xml:space="preserve">“sample” (representative vs. disruptive), </w:t>
      </w:r>
      <w:r w:rsidRPr="00E3402D">
        <w:rPr>
          <w:lang w:val="en-CA"/>
        </w:rPr>
        <w:t>child age at enrollment</w:t>
      </w:r>
      <w:r>
        <w:rPr>
          <w:lang w:val="en-CA"/>
        </w:rPr>
        <w:t xml:space="preserve"> in the cohort, </w:t>
      </w:r>
      <w:proofErr w:type="gramStart"/>
      <w:r w:rsidRPr="00E3402D">
        <w:rPr>
          <w:lang w:val="en-CA"/>
        </w:rPr>
        <w:t>child</w:t>
      </w:r>
      <w:proofErr w:type="gramEnd"/>
      <w:r w:rsidRPr="00E3402D">
        <w:rPr>
          <w:lang w:val="en-CA"/>
        </w:rPr>
        <w:t xml:space="preserve"> sex</w:t>
      </w:r>
      <w:r>
        <w:rPr>
          <w:lang w:val="en-CA"/>
        </w:rPr>
        <w:t xml:space="preserve">, </w:t>
      </w:r>
      <w:r w:rsidRPr="00E3402D">
        <w:rPr>
          <w:lang w:val="en-CA"/>
        </w:rPr>
        <w:t xml:space="preserve">family socioeconomic status, low birth weight, child verbal IQ, family history of suicide, maternal and paternal </w:t>
      </w:r>
      <w:r>
        <w:rPr>
          <w:lang w:val="en-CA"/>
        </w:rPr>
        <w:t>mental disorders</w:t>
      </w:r>
    </w:p>
    <w:p w14:paraId="1E75BAD3" w14:textId="77777777" w:rsidR="00A1767E" w:rsidRDefault="00A1767E" w:rsidP="00A1767E">
      <w:pPr>
        <w:pStyle w:val="NoSpacing"/>
        <w:rPr>
          <w:lang w:val="en-CA"/>
        </w:rPr>
      </w:pPr>
    </w:p>
    <w:p w14:paraId="258CF597" w14:textId="77777777" w:rsidR="00A1767E" w:rsidRDefault="00A1767E" w:rsidP="00A1767E">
      <w:pPr>
        <w:pStyle w:val="NoSpacing"/>
        <w:rPr>
          <w:lang w:val="en-CA"/>
        </w:rPr>
      </w:pPr>
      <w:r w:rsidRPr="00E3402D">
        <w:rPr>
          <w:lang w:val="en-CA"/>
        </w:rPr>
        <w:t>M</w:t>
      </w:r>
      <w:r>
        <w:rPr>
          <w:lang w:val="en-CA"/>
        </w:rPr>
        <w:t>5.1 is</w:t>
      </w:r>
      <w:r w:rsidRPr="00E3402D">
        <w:rPr>
          <w:lang w:val="en-CA"/>
        </w:rPr>
        <w:t xml:space="preserve"> additionally adjusted for </w:t>
      </w:r>
      <w:r>
        <w:rPr>
          <w:lang w:val="en-CA"/>
        </w:rPr>
        <w:t>adolescent</w:t>
      </w:r>
      <w:r w:rsidRPr="00E3402D">
        <w:rPr>
          <w:lang w:val="en-CA"/>
        </w:rPr>
        <w:t xml:space="preserve"> </w:t>
      </w:r>
      <w:r>
        <w:rPr>
          <w:lang w:val="en-CA"/>
        </w:rPr>
        <w:t>internalizing disorders, externalizing disorders, cannabis use, alcohol use, and hard drug use, while M5.2 is additionally adjusted for a count variable indicating the number of mental disorders among the previously listed ones.</w:t>
      </w:r>
    </w:p>
    <w:p w14:paraId="2BB65987" w14:textId="77777777" w:rsidR="00A1767E" w:rsidRDefault="00A1767E" w:rsidP="00A1767E">
      <w:pPr>
        <w:pStyle w:val="NoSpacing"/>
        <w:rPr>
          <w:lang w:val="en-CA"/>
        </w:rPr>
      </w:pPr>
    </w:p>
    <w:p w14:paraId="0D956850" w14:textId="77777777" w:rsidR="00A1767E" w:rsidRDefault="00A1767E" w:rsidP="00A1767E">
      <w:pPr>
        <w:pStyle w:val="NoSpacing"/>
        <w:rPr>
          <w:lang w:val="en-CA"/>
        </w:rPr>
      </w:pPr>
    </w:p>
    <w:p w14:paraId="2D27D99E" w14:textId="77777777" w:rsidR="00A1767E" w:rsidRPr="00E77098" w:rsidRDefault="00A1767E" w:rsidP="00A1767E">
      <w:pPr>
        <w:pStyle w:val="NoSpacing"/>
        <w:rPr>
          <w:b/>
          <w:bCs/>
          <w:lang w:val="en-CA"/>
        </w:rPr>
      </w:pPr>
    </w:p>
    <w:p w14:paraId="51C5BDB5" w14:textId="33004CB4" w:rsidR="009660D5" w:rsidRPr="009660D5" w:rsidRDefault="00A1767E" w:rsidP="009660D5">
      <w:pPr>
        <w:pStyle w:val="NoSpacing"/>
        <w:rPr>
          <w:b/>
          <w:bCs/>
        </w:rPr>
      </w:pPr>
      <w:r>
        <w:rPr>
          <w:b/>
          <w:bCs/>
        </w:rPr>
        <w:t xml:space="preserve">Supplementary </w:t>
      </w:r>
      <w:r w:rsidR="009660D5" w:rsidRPr="009660D5">
        <w:rPr>
          <w:b/>
          <w:bCs/>
        </w:rPr>
        <w:t xml:space="preserve">Table </w:t>
      </w:r>
      <w:r>
        <w:rPr>
          <w:b/>
          <w:bCs/>
        </w:rPr>
        <w:t>2</w:t>
      </w:r>
      <w:r w:rsidR="009660D5">
        <w:t xml:space="preserve"> Association between suicide attempt and adult economic outcomes </w:t>
      </w:r>
    </w:p>
    <w:p w14:paraId="5A01EC36" w14:textId="2A0BAE22" w:rsidR="009660D5" w:rsidRDefault="009660D5" w:rsidP="009660D5">
      <w:pPr>
        <w:pStyle w:val="NoSpacing"/>
      </w:pPr>
    </w:p>
    <w:p w14:paraId="16CFAE0F" w14:textId="77777777" w:rsidR="009660D5" w:rsidRDefault="009660D5" w:rsidP="009660D5">
      <w:pPr>
        <w:pStyle w:val="NoSpacing"/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831"/>
        <w:gridCol w:w="1831"/>
        <w:gridCol w:w="1831"/>
        <w:gridCol w:w="1831"/>
        <w:gridCol w:w="1832"/>
      </w:tblGrid>
      <w:tr w:rsidR="00832A88" w:rsidRPr="000C7EA8" w14:paraId="557909E8" w14:textId="00019C57" w:rsidTr="000C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38553224" w14:textId="7F07444C" w:rsidR="00832A88" w:rsidRPr="000C7EA8" w:rsidRDefault="00832A88" w:rsidP="00D4084E">
            <w:pPr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 Outcomes</w:t>
            </w:r>
          </w:p>
        </w:tc>
        <w:tc>
          <w:tcPr>
            <w:tcW w:w="1831" w:type="dxa"/>
            <w:noWrap/>
            <w:hideMark/>
          </w:tcPr>
          <w:p w14:paraId="37716DDD" w14:textId="77777777" w:rsidR="00832A88" w:rsidRPr="000C7EA8" w:rsidRDefault="00832A88" w:rsidP="00D40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M1 unadjusted</w:t>
            </w:r>
          </w:p>
        </w:tc>
        <w:tc>
          <w:tcPr>
            <w:tcW w:w="1831" w:type="dxa"/>
            <w:noWrap/>
            <w:hideMark/>
          </w:tcPr>
          <w:p w14:paraId="15908883" w14:textId="77777777" w:rsidR="00832A88" w:rsidRPr="000C7EA8" w:rsidRDefault="00832A88" w:rsidP="00D40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M2 adjusted for sex</w:t>
            </w:r>
          </w:p>
        </w:tc>
        <w:tc>
          <w:tcPr>
            <w:tcW w:w="1831" w:type="dxa"/>
            <w:noWrap/>
            <w:hideMark/>
          </w:tcPr>
          <w:p w14:paraId="64D1B92B" w14:textId="77777777" w:rsidR="00832A88" w:rsidRPr="000C7EA8" w:rsidRDefault="00832A88" w:rsidP="00D40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M3 adjusted for background</w:t>
            </w:r>
          </w:p>
        </w:tc>
        <w:tc>
          <w:tcPr>
            <w:tcW w:w="1831" w:type="dxa"/>
            <w:noWrap/>
            <w:hideMark/>
          </w:tcPr>
          <w:p w14:paraId="5CB98D92" w14:textId="77777777" w:rsidR="00832A88" w:rsidRPr="000C7EA8" w:rsidRDefault="00832A88" w:rsidP="00D40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M4 adjusted for mental health</w:t>
            </w:r>
          </w:p>
        </w:tc>
        <w:tc>
          <w:tcPr>
            <w:tcW w:w="1832" w:type="dxa"/>
          </w:tcPr>
          <w:p w14:paraId="58D77704" w14:textId="57FDAEE1" w:rsidR="00832A88" w:rsidRPr="000C7EA8" w:rsidRDefault="00832A88" w:rsidP="00D40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M</w:t>
            </w:r>
            <w:r w:rsidR="00E77098">
              <w:rPr>
                <w:rFonts w:ascii="Times" w:hAnsi="Times"/>
                <w:sz w:val="16"/>
                <w:szCs w:val="16"/>
              </w:rPr>
              <w:t>5</w:t>
            </w:r>
            <w:r w:rsidRPr="000C7EA8">
              <w:rPr>
                <w:rFonts w:ascii="Times" w:hAnsi="Times"/>
                <w:sz w:val="16"/>
                <w:szCs w:val="16"/>
              </w:rPr>
              <w:t xml:space="preserve"> adjusted for substance use</w:t>
            </w:r>
          </w:p>
        </w:tc>
      </w:tr>
      <w:tr w:rsidR="00832A88" w:rsidRPr="000C7EA8" w14:paraId="123FD524" w14:textId="5CFDC43F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627A5DD3" w14:textId="77777777" w:rsidR="00832A88" w:rsidRDefault="00832A88" w:rsidP="00034383">
            <w:pPr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Analysis sample</w:t>
            </w:r>
          </w:p>
          <w:p w14:paraId="727DAC24" w14:textId="070D9F56" w:rsidR="00AC4DC7" w:rsidRPr="000C7EA8" w:rsidRDefault="00AC4DC7" w:rsidP="00034383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(N=2140)</w:t>
            </w:r>
          </w:p>
        </w:tc>
        <w:tc>
          <w:tcPr>
            <w:tcW w:w="1831" w:type="dxa"/>
            <w:noWrap/>
          </w:tcPr>
          <w:p w14:paraId="2C807813" w14:textId="4B690695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1371E736" w14:textId="7D29E5FD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3CC7E7BF" w14:textId="7F5F115C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45741B15" w14:textId="35E077C2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0E5E8CE4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32A88" w:rsidRPr="000C7EA8" w14:paraId="644E1CED" w14:textId="5C4FBECC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1F7DEA64" w14:textId="7C79D9E9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Individual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earnings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831" w:type="dxa"/>
            <w:noWrap/>
            <w:hideMark/>
          </w:tcPr>
          <w:p w14:paraId="3C95C164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-10491.69</w:t>
            </w:r>
          </w:p>
          <w:p w14:paraId="5828E29B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(-14331.53 to -6651.85)</w:t>
            </w:r>
          </w:p>
        </w:tc>
        <w:tc>
          <w:tcPr>
            <w:tcW w:w="1831" w:type="dxa"/>
            <w:noWrap/>
            <w:hideMark/>
          </w:tcPr>
          <w:p w14:paraId="338A46E0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-8254.81</w:t>
            </w:r>
          </w:p>
          <w:p w14:paraId="5ACDCECC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(-12083.01 to -4426.61)</w:t>
            </w:r>
          </w:p>
        </w:tc>
        <w:tc>
          <w:tcPr>
            <w:tcW w:w="1831" w:type="dxa"/>
            <w:noWrap/>
            <w:hideMark/>
          </w:tcPr>
          <w:p w14:paraId="248356A1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-6689.639</w:t>
            </w:r>
          </w:p>
          <w:p w14:paraId="5D9F3541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(-10491.35 to -2887.93)</w:t>
            </w:r>
          </w:p>
        </w:tc>
        <w:tc>
          <w:tcPr>
            <w:tcW w:w="1831" w:type="dxa"/>
            <w:noWrap/>
            <w:hideMark/>
          </w:tcPr>
          <w:p w14:paraId="3FCAE57D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-5459.065</w:t>
            </w:r>
          </w:p>
          <w:p w14:paraId="65D2D54F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(-9228.41 to -1689.72)</w:t>
            </w:r>
          </w:p>
        </w:tc>
        <w:tc>
          <w:tcPr>
            <w:tcW w:w="1832" w:type="dxa"/>
          </w:tcPr>
          <w:p w14:paraId="45541E34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-4133.791</w:t>
            </w:r>
          </w:p>
          <w:p w14:paraId="7A578C3F" w14:textId="6C1FA0B7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(-7950.23 to -317.35)</w:t>
            </w:r>
          </w:p>
        </w:tc>
      </w:tr>
      <w:tr w:rsidR="000C7EA8" w:rsidRPr="000C7EA8" w14:paraId="5539B630" w14:textId="0BAC3B8F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74BC59C1" w14:textId="2E40765E" w:rsidR="000C7EA8" w:rsidRPr="000C7EA8" w:rsidRDefault="000C7EA8" w:rsidP="000C7EA8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Retirement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savings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831" w:type="dxa"/>
            <w:noWrap/>
            <w:vAlign w:val="bottom"/>
            <w:hideMark/>
          </w:tcPr>
          <w:p w14:paraId="4EF571F8" w14:textId="5372EED7" w:rsidR="000C7EA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-2689.28 (-4215.04 to -1163.52)</w:t>
            </w:r>
          </w:p>
        </w:tc>
        <w:tc>
          <w:tcPr>
            <w:tcW w:w="1831" w:type="dxa"/>
            <w:noWrap/>
            <w:vAlign w:val="bottom"/>
            <w:hideMark/>
          </w:tcPr>
          <w:p w14:paraId="0DEFE145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-2629.017</w:t>
            </w:r>
          </w:p>
          <w:p w14:paraId="6A43FA41" w14:textId="7B3A7D8F" w:rsidR="000C7EA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(-4159.99 to -1098.05)</w:t>
            </w:r>
          </w:p>
        </w:tc>
        <w:tc>
          <w:tcPr>
            <w:tcW w:w="1831" w:type="dxa"/>
            <w:noWrap/>
            <w:vAlign w:val="bottom"/>
            <w:hideMark/>
          </w:tcPr>
          <w:p w14:paraId="3EE30684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-2226.94</w:t>
            </w:r>
          </w:p>
          <w:p w14:paraId="742C7C19" w14:textId="493CDC7A" w:rsidR="000C7EA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(-3729.51 to -724.37)</w:t>
            </w:r>
          </w:p>
        </w:tc>
        <w:tc>
          <w:tcPr>
            <w:tcW w:w="1831" w:type="dxa"/>
            <w:noWrap/>
            <w:vAlign w:val="bottom"/>
            <w:hideMark/>
          </w:tcPr>
          <w:p w14:paraId="3B0F95B8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-1806.64</w:t>
            </w:r>
          </w:p>
          <w:p w14:paraId="7FCF77F4" w14:textId="4517BF38" w:rsidR="000C7EA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(-3318.64 to -294.64)</w:t>
            </w:r>
          </w:p>
        </w:tc>
        <w:tc>
          <w:tcPr>
            <w:tcW w:w="1832" w:type="dxa"/>
            <w:vAlign w:val="bottom"/>
          </w:tcPr>
          <w:p w14:paraId="48892A7F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-1386.71</w:t>
            </w:r>
          </w:p>
          <w:p w14:paraId="69759B5D" w14:textId="04158482" w:rsidR="000C7EA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(-2982.18 to 208.76)</w:t>
            </w:r>
          </w:p>
        </w:tc>
      </w:tr>
      <w:tr w:rsidR="00832A88" w:rsidRPr="000C7EA8" w14:paraId="2B746CC1" w14:textId="5FD62463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220F34AB" w14:textId="1736C4BD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Welfare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831" w:type="dxa"/>
            <w:noWrap/>
            <w:hideMark/>
          </w:tcPr>
          <w:p w14:paraId="3C6446CF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2.37</w:t>
            </w:r>
          </w:p>
          <w:p w14:paraId="6DFD4000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(1.73 to 3.26)</w:t>
            </w:r>
          </w:p>
        </w:tc>
        <w:tc>
          <w:tcPr>
            <w:tcW w:w="1831" w:type="dxa"/>
            <w:noWrap/>
            <w:hideMark/>
          </w:tcPr>
          <w:p w14:paraId="278D20CF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2.36</w:t>
            </w:r>
          </w:p>
          <w:p w14:paraId="6C3072BF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(1.71 to 3.27)</w:t>
            </w:r>
          </w:p>
        </w:tc>
        <w:tc>
          <w:tcPr>
            <w:tcW w:w="1831" w:type="dxa"/>
            <w:noWrap/>
            <w:hideMark/>
          </w:tcPr>
          <w:p w14:paraId="19AF0984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2.53</w:t>
            </w:r>
          </w:p>
          <w:p w14:paraId="6B0CD7CE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(1.66 to 3.85)</w:t>
            </w:r>
          </w:p>
        </w:tc>
        <w:tc>
          <w:tcPr>
            <w:tcW w:w="1831" w:type="dxa"/>
            <w:noWrap/>
            <w:hideMark/>
          </w:tcPr>
          <w:p w14:paraId="66BFE548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2.32</w:t>
            </w:r>
          </w:p>
          <w:p w14:paraId="6ACBE747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(1.55 to 3.45)</w:t>
            </w:r>
          </w:p>
        </w:tc>
        <w:tc>
          <w:tcPr>
            <w:tcW w:w="1832" w:type="dxa"/>
          </w:tcPr>
          <w:p w14:paraId="2726F43A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2.05</w:t>
            </w:r>
          </w:p>
          <w:p w14:paraId="353ECF7E" w14:textId="2B4C3F59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(1.39 to 3.04)</w:t>
            </w:r>
          </w:p>
        </w:tc>
      </w:tr>
      <w:tr w:rsidR="00832A88" w:rsidRPr="000C7EA8" w14:paraId="48D74508" w14:textId="45AAF355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2C7CF990" w14:textId="50D651AB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Bankruptcy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hideMark/>
          </w:tcPr>
          <w:p w14:paraId="517ECDCC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1.94</w:t>
            </w:r>
          </w:p>
          <w:p w14:paraId="08A9E5B4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(1.28 to 2.93)</w:t>
            </w:r>
          </w:p>
        </w:tc>
        <w:tc>
          <w:tcPr>
            <w:tcW w:w="1831" w:type="dxa"/>
            <w:noWrap/>
            <w:hideMark/>
          </w:tcPr>
          <w:p w14:paraId="78DDCEA7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1.95</w:t>
            </w:r>
          </w:p>
          <w:p w14:paraId="704DD992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(1.28 to 2.96)</w:t>
            </w:r>
          </w:p>
        </w:tc>
        <w:tc>
          <w:tcPr>
            <w:tcW w:w="1831" w:type="dxa"/>
            <w:noWrap/>
            <w:hideMark/>
          </w:tcPr>
          <w:p w14:paraId="75A0AE72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1.71</w:t>
            </w:r>
          </w:p>
          <w:p w14:paraId="305147B9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(1.1 to 2.67)</w:t>
            </w:r>
          </w:p>
        </w:tc>
        <w:tc>
          <w:tcPr>
            <w:tcW w:w="1831" w:type="dxa"/>
            <w:noWrap/>
            <w:hideMark/>
          </w:tcPr>
          <w:p w14:paraId="393944DF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1.53</w:t>
            </w:r>
          </w:p>
          <w:p w14:paraId="6513EF7C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(0.97 to 2.4)</w:t>
            </w:r>
          </w:p>
        </w:tc>
        <w:tc>
          <w:tcPr>
            <w:tcW w:w="1832" w:type="dxa"/>
          </w:tcPr>
          <w:p w14:paraId="59105608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1.44</w:t>
            </w:r>
          </w:p>
          <w:p w14:paraId="4A45E68F" w14:textId="51E854F7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(0.92 to 2.27)</w:t>
            </w:r>
          </w:p>
        </w:tc>
      </w:tr>
      <w:tr w:rsidR="00832A88" w:rsidRPr="000C7EA8" w14:paraId="3F3937FB" w14:textId="76AADE41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05802DB5" w14:textId="0CC4913D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Partnership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831" w:type="dxa"/>
            <w:noWrap/>
            <w:hideMark/>
          </w:tcPr>
          <w:p w14:paraId="21663E84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0.84</w:t>
            </w:r>
          </w:p>
          <w:p w14:paraId="6A79058C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(0.74 to 0.94)</w:t>
            </w:r>
          </w:p>
        </w:tc>
        <w:tc>
          <w:tcPr>
            <w:tcW w:w="1831" w:type="dxa"/>
            <w:noWrap/>
            <w:hideMark/>
          </w:tcPr>
          <w:p w14:paraId="3FD6C385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0.79</w:t>
            </w:r>
          </w:p>
          <w:p w14:paraId="2D17A23B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 to 0.89)</w:t>
            </w:r>
          </w:p>
        </w:tc>
        <w:tc>
          <w:tcPr>
            <w:tcW w:w="1831" w:type="dxa"/>
            <w:noWrap/>
            <w:hideMark/>
          </w:tcPr>
          <w:p w14:paraId="7EB76DE6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0.78</w:t>
            </w:r>
          </w:p>
          <w:p w14:paraId="5E0000CC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(0.69 to 0.88)</w:t>
            </w:r>
          </w:p>
        </w:tc>
        <w:tc>
          <w:tcPr>
            <w:tcW w:w="1831" w:type="dxa"/>
            <w:noWrap/>
            <w:hideMark/>
          </w:tcPr>
          <w:p w14:paraId="412B6FD8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0.81</w:t>
            </w:r>
          </w:p>
          <w:p w14:paraId="3A6E943A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(0.71 to 0.91)</w:t>
            </w:r>
          </w:p>
        </w:tc>
        <w:tc>
          <w:tcPr>
            <w:tcW w:w="1832" w:type="dxa"/>
          </w:tcPr>
          <w:p w14:paraId="3399A7C1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0.82</w:t>
            </w:r>
          </w:p>
          <w:p w14:paraId="141D4972" w14:textId="358B1461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(0.73 to 0.93)</w:t>
            </w:r>
          </w:p>
        </w:tc>
      </w:tr>
      <w:tr w:rsidR="00832A88" w:rsidRPr="000C7EA8" w14:paraId="1B90434F" w14:textId="42974832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112579E5" w14:textId="1C17E594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Separation/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divorce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hideMark/>
          </w:tcPr>
          <w:p w14:paraId="65C1F445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1.33</w:t>
            </w:r>
          </w:p>
          <w:p w14:paraId="5CC4F01A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(1.00 to 1.77)</w:t>
            </w:r>
          </w:p>
        </w:tc>
        <w:tc>
          <w:tcPr>
            <w:tcW w:w="1831" w:type="dxa"/>
            <w:noWrap/>
            <w:hideMark/>
          </w:tcPr>
          <w:p w14:paraId="0A3C0B03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1.23</w:t>
            </w:r>
          </w:p>
          <w:p w14:paraId="3C7F2557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(0.92 to 1.63)</w:t>
            </w:r>
          </w:p>
        </w:tc>
        <w:tc>
          <w:tcPr>
            <w:tcW w:w="1831" w:type="dxa"/>
            <w:noWrap/>
            <w:hideMark/>
          </w:tcPr>
          <w:p w14:paraId="74C85DBC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1.20</w:t>
            </w:r>
          </w:p>
          <w:p w14:paraId="45C0DB0D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(0.89 to 1.61)</w:t>
            </w:r>
          </w:p>
        </w:tc>
        <w:tc>
          <w:tcPr>
            <w:tcW w:w="1831" w:type="dxa"/>
            <w:noWrap/>
            <w:hideMark/>
          </w:tcPr>
          <w:p w14:paraId="12A04EFA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1.17</w:t>
            </w:r>
          </w:p>
          <w:p w14:paraId="2B028AB6" w14:textId="77777777" w:rsidR="00832A88" w:rsidRPr="000C7EA8" w:rsidRDefault="00832A88" w:rsidP="00D40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(0.87 to 1.58)</w:t>
            </w:r>
          </w:p>
        </w:tc>
        <w:tc>
          <w:tcPr>
            <w:tcW w:w="1832" w:type="dxa"/>
          </w:tcPr>
          <w:p w14:paraId="2C1197B8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1.21</w:t>
            </w:r>
          </w:p>
          <w:p w14:paraId="40B97F54" w14:textId="2EE54194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(0.90 to 1.63)</w:t>
            </w:r>
          </w:p>
        </w:tc>
      </w:tr>
      <w:tr w:rsidR="00832A88" w:rsidRPr="000C7EA8" w14:paraId="2ACA79A4" w14:textId="27569933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0872E35A" w14:textId="66FC140C" w:rsidR="00832A88" w:rsidRPr="000C7EA8" w:rsidRDefault="00832A88" w:rsidP="00D31CC6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No. of children in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household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hideMark/>
          </w:tcPr>
          <w:p w14:paraId="3A88A945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0.89</w:t>
            </w:r>
          </w:p>
          <w:p w14:paraId="27D29109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(0.77 to 1.03)</w:t>
            </w:r>
          </w:p>
        </w:tc>
        <w:tc>
          <w:tcPr>
            <w:tcW w:w="1831" w:type="dxa"/>
            <w:noWrap/>
            <w:hideMark/>
          </w:tcPr>
          <w:p w14:paraId="5412DF5C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0.84</w:t>
            </w:r>
          </w:p>
          <w:p w14:paraId="730FA522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(0.73 to 0.97)</w:t>
            </w:r>
          </w:p>
        </w:tc>
        <w:tc>
          <w:tcPr>
            <w:tcW w:w="1831" w:type="dxa"/>
            <w:noWrap/>
            <w:hideMark/>
          </w:tcPr>
          <w:p w14:paraId="3A3F0BF4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0.84</w:t>
            </w:r>
          </w:p>
          <w:p w14:paraId="1FBA5A32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(0.72 to 0.97)</w:t>
            </w:r>
          </w:p>
        </w:tc>
        <w:tc>
          <w:tcPr>
            <w:tcW w:w="1831" w:type="dxa"/>
            <w:noWrap/>
            <w:hideMark/>
          </w:tcPr>
          <w:p w14:paraId="4B22FFBD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0.84</w:t>
            </w:r>
          </w:p>
          <w:p w14:paraId="18B9CBC1" w14:textId="77777777" w:rsidR="00832A88" w:rsidRPr="000C7EA8" w:rsidRDefault="00832A88" w:rsidP="00D4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(0.74 to 0.99)</w:t>
            </w:r>
          </w:p>
        </w:tc>
        <w:tc>
          <w:tcPr>
            <w:tcW w:w="1832" w:type="dxa"/>
          </w:tcPr>
          <w:p w14:paraId="25DFF0D1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0.88</w:t>
            </w:r>
          </w:p>
          <w:p w14:paraId="404011A5" w14:textId="36383898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(0.76 to 1.02)</w:t>
            </w:r>
          </w:p>
        </w:tc>
      </w:tr>
      <w:tr w:rsidR="00832A88" w:rsidRPr="000C7EA8" w14:paraId="3DADC517" w14:textId="74F1B1CB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7CA99177" w14:textId="4E6EDF38" w:rsidR="00832A88" w:rsidRPr="000C7EA8" w:rsidRDefault="00832A88" w:rsidP="00034383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103E8BE1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4A88DDC7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7FB0E71E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409F6335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773EA431" w14:textId="77777777" w:rsidR="00832A88" w:rsidRPr="000C7EA8" w:rsidRDefault="00832A88" w:rsidP="00034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32A88" w:rsidRPr="000C7EA8" w14:paraId="59562EC6" w14:textId="392DD7EC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7AFCB4E7" w14:textId="77777777" w:rsidR="00832A88" w:rsidRDefault="00832A88" w:rsidP="00034383">
            <w:pPr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Imputed sample </w:t>
            </w:r>
          </w:p>
          <w:p w14:paraId="6A1A6E46" w14:textId="7A0F104B" w:rsidR="00AC4DC7" w:rsidRPr="000C7EA8" w:rsidRDefault="00AC4DC7" w:rsidP="00034383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(N=3</w:t>
            </w:r>
            <w:r w:rsidR="00D9500D">
              <w:rPr>
                <w:rFonts w:ascii="Times" w:hAnsi="Times"/>
                <w:sz w:val="16"/>
                <w:szCs w:val="16"/>
              </w:rPr>
              <w:t>02</w:t>
            </w:r>
            <w:r>
              <w:rPr>
                <w:rFonts w:ascii="Times" w:hAnsi="Times"/>
                <w:sz w:val="16"/>
                <w:szCs w:val="16"/>
              </w:rPr>
              <w:t>0)</w:t>
            </w:r>
          </w:p>
        </w:tc>
        <w:tc>
          <w:tcPr>
            <w:tcW w:w="1831" w:type="dxa"/>
            <w:noWrap/>
          </w:tcPr>
          <w:p w14:paraId="50C7DB54" w14:textId="42D45B6D" w:rsidR="00832A88" w:rsidRPr="000C7EA8" w:rsidRDefault="00832A88" w:rsidP="00034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190DB22C" w14:textId="442E648D" w:rsidR="00832A88" w:rsidRPr="000C7EA8" w:rsidRDefault="00832A88" w:rsidP="00034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668CC918" w14:textId="60B2BDF6" w:rsidR="00832A88" w:rsidRPr="000C7EA8" w:rsidRDefault="00832A88" w:rsidP="00034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1" w:type="dxa"/>
            <w:noWrap/>
          </w:tcPr>
          <w:p w14:paraId="50E76D3A" w14:textId="5A4D4090" w:rsidR="00832A88" w:rsidRPr="000C7EA8" w:rsidRDefault="00832A88" w:rsidP="00034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14:paraId="2EC156C5" w14:textId="77777777" w:rsidR="00832A88" w:rsidRPr="000C7EA8" w:rsidRDefault="00832A88" w:rsidP="00034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32A88" w:rsidRPr="000C7EA8" w14:paraId="6CDF55A4" w14:textId="4A2A9BD5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373DA561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Individual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earnings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494F3DC4" w14:textId="3F56FB1B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-10541.41</w:t>
            </w:r>
          </w:p>
          <w:p w14:paraId="01FD942A" w14:textId="3E90851B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(-14101.66 to -6981.17)</w:t>
            </w:r>
          </w:p>
        </w:tc>
        <w:tc>
          <w:tcPr>
            <w:tcW w:w="1831" w:type="dxa"/>
            <w:noWrap/>
            <w:vAlign w:val="bottom"/>
          </w:tcPr>
          <w:p w14:paraId="505A4ED2" w14:textId="5DE89989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-8597.88</w:t>
            </w:r>
          </w:p>
          <w:p w14:paraId="771A6135" w14:textId="000163B2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(-12175.41 to -5020.36)</w:t>
            </w:r>
          </w:p>
        </w:tc>
        <w:tc>
          <w:tcPr>
            <w:tcW w:w="1831" w:type="dxa"/>
            <w:noWrap/>
            <w:vAlign w:val="bottom"/>
          </w:tcPr>
          <w:p w14:paraId="066CB024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-6707.22 </w:t>
            </w:r>
          </w:p>
          <w:p w14:paraId="68016533" w14:textId="338EC01C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(-10254.14 to -3160.29)</w:t>
            </w:r>
          </w:p>
        </w:tc>
        <w:tc>
          <w:tcPr>
            <w:tcW w:w="1831" w:type="dxa"/>
            <w:noWrap/>
            <w:vAlign w:val="bottom"/>
          </w:tcPr>
          <w:p w14:paraId="3ACA12E7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-5427.46 </w:t>
            </w:r>
          </w:p>
          <w:p w14:paraId="0B3434EE" w14:textId="12AE10E0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(-8963.06 to -1891.86)</w:t>
            </w:r>
          </w:p>
        </w:tc>
        <w:tc>
          <w:tcPr>
            <w:tcW w:w="1832" w:type="dxa"/>
          </w:tcPr>
          <w:p w14:paraId="43413170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-4537.98</w:t>
            </w:r>
          </w:p>
          <w:p w14:paraId="5FA9132B" w14:textId="40A634B7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(-8309.24 to -766.67)</w:t>
            </w:r>
          </w:p>
        </w:tc>
      </w:tr>
      <w:tr w:rsidR="000C7EA8" w:rsidRPr="000C7EA8" w14:paraId="226C63EB" w14:textId="74513BD3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4C27ABD8" w14:textId="77777777" w:rsidR="000C7EA8" w:rsidRPr="000C7EA8" w:rsidRDefault="000C7EA8" w:rsidP="000C7EA8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Retirement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savings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1EB35A97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-2819.99</w:t>
            </w:r>
          </w:p>
          <w:p w14:paraId="5D4B0010" w14:textId="287EACAE" w:rsidR="000C7EA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(-4308.60 to -1331.40)</w:t>
            </w:r>
          </w:p>
        </w:tc>
        <w:tc>
          <w:tcPr>
            <w:tcW w:w="1831" w:type="dxa"/>
            <w:noWrap/>
            <w:vAlign w:val="bottom"/>
          </w:tcPr>
          <w:p w14:paraId="4EEEF9B8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-2795.87</w:t>
            </w:r>
          </w:p>
          <w:p w14:paraId="55BB2F7F" w14:textId="63DDCC2E" w:rsidR="000C7EA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(-4288.63 to -1303.10)</w:t>
            </w:r>
          </w:p>
        </w:tc>
        <w:tc>
          <w:tcPr>
            <w:tcW w:w="1831" w:type="dxa"/>
            <w:noWrap/>
            <w:vAlign w:val="bottom"/>
          </w:tcPr>
          <w:p w14:paraId="15CEFCB5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-2312.08</w:t>
            </w:r>
          </w:p>
          <w:p w14:paraId="47222699" w14:textId="29575119" w:rsidR="000C7EA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(-3807.23 to -816.93)</w:t>
            </w:r>
          </w:p>
        </w:tc>
        <w:tc>
          <w:tcPr>
            <w:tcW w:w="1831" w:type="dxa"/>
            <w:noWrap/>
            <w:vAlign w:val="bottom"/>
          </w:tcPr>
          <w:p w14:paraId="5BB23045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-1911.10</w:t>
            </w:r>
          </w:p>
          <w:p w14:paraId="33781FE5" w14:textId="57FE8E9E" w:rsidR="000C7EA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(-3405.94 to -416.26)</w:t>
            </w:r>
          </w:p>
        </w:tc>
        <w:tc>
          <w:tcPr>
            <w:tcW w:w="1832" w:type="dxa"/>
            <w:vAlign w:val="bottom"/>
          </w:tcPr>
          <w:p w14:paraId="027E094C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-1506.91</w:t>
            </w:r>
          </w:p>
          <w:p w14:paraId="6B70FA5F" w14:textId="3FA39AFF" w:rsidR="000C7EA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(-3077.46 to 63.63)</w:t>
            </w:r>
          </w:p>
        </w:tc>
      </w:tr>
      <w:tr w:rsidR="00832A88" w:rsidRPr="000C7EA8" w14:paraId="35627F8A" w14:textId="6841FDEE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3341EC0A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Welfare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22BEE233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2.14 </w:t>
            </w:r>
          </w:p>
          <w:p w14:paraId="0B9B5663" w14:textId="5C00B8D0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(1.58 to 2.90)</w:t>
            </w:r>
          </w:p>
        </w:tc>
        <w:tc>
          <w:tcPr>
            <w:tcW w:w="1831" w:type="dxa"/>
            <w:noWrap/>
            <w:vAlign w:val="bottom"/>
          </w:tcPr>
          <w:p w14:paraId="2B99D9A8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2.15 </w:t>
            </w:r>
          </w:p>
          <w:p w14:paraId="000E810A" w14:textId="0C18B9BA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(1.49 to 3.11)</w:t>
            </w:r>
          </w:p>
        </w:tc>
        <w:tc>
          <w:tcPr>
            <w:tcW w:w="1831" w:type="dxa"/>
            <w:noWrap/>
            <w:vAlign w:val="bottom"/>
          </w:tcPr>
          <w:p w14:paraId="0EDC7048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2.15 </w:t>
            </w:r>
          </w:p>
          <w:p w14:paraId="0A2C96B2" w14:textId="7F44D641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(1.49 to 3.11)</w:t>
            </w:r>
          </w:p>
        </w:tc>
        <w:tc>
          <w:tcPr>
            <w:tcW w:w="1831" w:type="dxa"/>
            <w:noWrap/>
            <w:vAlign w:val="bottom"/>
          </w:tcPr>
          <w:p w14:paraId="3F4A8F75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1.98 </w:t>
            </w:r>
          </w:p>
          <w:p w14:paraId="20B0B027" w14:textId="1A761684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(1.37 to 2.85)</w:t>
            </w:r>
          </w:p>
        </w:tc>
        <w:tc>
          <w:tcPr>
            <w:tcW w:w="1832" w:type="dxa"/>
          </w:tcPr>
          <w:p w14:paraId="026AE278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2.05</w:t>
            </w:r>
          </w:p>
          <w:p w14:paraId="46B77132" w14:textId="598C9CDE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(1.39 to 3.04)</w:t>
            </w:r>
          </w:p>
        </w:tc>
      </w:tr>
      <w:tr w:rsidR="00832A88" w:rsidRPr="000C7EA8" w14:paraId="1E0D6392" w14:textId="067E6DEC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1EC3B3E4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lastRenderedPageBreak/>
              <w:t>Bankruptcy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4B98E6BF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1.69 </w:t>
            </w:r>
          </w:p>
          <w:p w14:paraId="2231D85E" w14:textId="0FF881D1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(1.17 to 2.46)</w:t>
            </w:r>
          </w:p>
        </w:tc>
        <w:tc>
          <w:tcPr>
            <w:tcW w:w="1831" w:type="dxa"/>
            <w:noWrap/>
            <w:vAlign w:val="bottom"/>
          </w:tcPr>
          <w:p w14:paraId="51DAAE9A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1.73 </w:t>
            </w:r>
          </w:p>
          <w:p w14:paraId="40412FE5" w14:textId="483FC7A4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(1.18 to 2.52)</w:t>
            </w:r>
          </w:p>
        </w:tc>
        <w:tc>
          <w:tcPr>
            <w:tcW w:w="1831" w:type="dxa"/>
            <w:noWrap/>
            <w:vAlign w:val="bottom"/>
          </w:tcPr>
          <w:p w14:paraId="67F13DAE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1.51 </w:t>
            </w:r>
          </w:p>
          <w:p w14:paraId="1DE11CB0" w14:textId="39CC269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(1.01 to 2.26)</w:t>
            </w:r>
          </w:p>
        </w:tc>
        <w:tc>
          <w:tcPr>
            <w:tcW w:w="1831" w:type="dxa"/>
            <w:noWrap/>
            <w:vAlign w:val="bottom"/>
          </w:tcPr>
          <w:p w14:paraId="66E3B618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1.38 </w:t>
            </w:r>
          </w:p>
          <w:p w14:paraId="50B3D55E" w14:textId="2A6E5C9D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(0.92 to 2.08)</w:t>
            </w:r>
          </w:p>
        </w:tc>
        <w:tc>
          <w:tcPr>
            <w:tcW w:w="1832" w:type="dxa"/>
          </w:tcPr>
          <w:p w14:paraId="30E02FEE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1.44</w:t>
            </w:r>
          </w:p>
          <w:p w14:paraId="3B4BB9A5" w14:textId="6F732F08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(0.92 to 2.27)</w:t>
            </w:r>
          </w:p>
        </w:tc>
      </w:tr>
      <w:tr w:rsidR="00832A88" w:rsidRPr="000C7EA8" w14:paraId="53E712DA" w14:textId="631DD0A5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02B1AB83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Partnership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79D15866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0.86 </w:t>
            </w:r>
          </w:p>
          <w:p w14:paraId="222A2AD5" w14:textId="43D9139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(0.77 to 0.96)</w:t>
            </w:r>
          </w:p>
        </w:tc>
        <w:tc>
          <w:tcPr>
            <w:tcW w:w="1831" w:type="dxa"/>
            <w:noWrap/>
            <w:vAlign w:val="bottom"/>
          </w:tcPr>
          <w:p w14:paraId="55832835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0.81</w:t>
            </w:r>
          </w:p>
          <w:p w14:paraId="66A5E431" w14:textId="4D69237C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 (0.73 to 0.91)</w:t>
            </w:r>
          </w:p>
        </w:tc>
        <w:tc>
          <w:tcPr>
            <w:tcW w:w="1831" w:type="dxa"/>
            <w:noWrap/>
            <w:vAlign w:val="bottom"/>
          </w:tcPr>
          <w:p w14:paraId="79513CB3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0.81 </w:t>
            </w:r>
          </w:p>
          <w:p w14:paraId="1F85E88B" w14:textId="2CD81959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(0.72 to 0.90)</w:t>
            </w:r>
          </w:p>
        </w:tc>
        <w:tc>
          <w:tcPr>
            <w:tcW w:w="1831" w:type="dxa"/>
            <w:noWrap/>
            <w:vAlign w:val="bottom"/>
          </w:tcPr>
          <w:p w14:paraId="147409FD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 xml:space="preserve">0.81 </w:t>
            </w:r>
          </w:p>
          <w:p w14:paraId="284AAD4C" w14:textId="48CDA65D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(0.72 to 0.91)</w:t>
            </w:r>
          </w:p>
        </w:tc>
        <w:tc>
          <w:tcPr>
            <w:tcW w:w="1832" w:type="dxa"/>
          </w:tcPr>
          <w:p w14:paraId="38722805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0.82</w:t>
            </w:r>
          </w:p>
          <w:p w14:paraId="09DA44C1" w14:textId="232AB518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/>
                <w:sz w:val="16"/>
                <w:szCs w:val="16"/>
              </w:rPr>
            </w:pPr>
            <w:r w:rsidRPr="000C7EA8">
              <w:rPr>
                <w:rFonts w:ascii="Times" w:hAnsi="Times"/>
                <w:color w:val="000000"/>
                <w:sz w:val="16"/>
                <w:szCs w:val="16"/>
              </w:rPr>
              <w:t>(0.73 to 0.93)</w:t>
            </w:r>
          </w:p>
        </w:tc>
      </w:tr>
      <w:tr w:rsidR="00832A88" w:rsidRPr="000C7EA8" w14:paraId="5061F8B6" w14:textId="158C486D" w:rsidTr="000C7E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62CB11A8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Separation/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divorce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040D6158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1.27 </w:t>
            </w:r>
          </w:p>
          <w:p w14:paraId="49B47A1D" w14:textId="6F394B5F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(0.96 to 1.68)</w:t>
            </w:r>
          </w:p>
        </w:tc>
        <w:tc>
          <w:tcPr>
            <w:tcW w:w="1831" w:type="dxa"/>
            <w:noWrap/>
            <w:vAlign w:val="bottom"/>
          </w:tcPr>
          <w:p w14:paraId="5AA9B5B7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1.19 </w:t>
            </w:r>
          </w:p>
          <w:p w14:paraId="20C5A5F6" w14:textId="23AA6321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(0.90 to 1.58)</w:t>
            </w:r>
          </w:p>
        </w:tc>
        <w:tc>
          <w:tcPr>
            <w:tcW w:w="1831" w:type="dxa"/>
            <w:noWrap/>
            <w:vAlign w:val="bottom"/>
          </w:tcPr>
          <w:p w14:paraId="61749AD9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1.18 </w:t>
            </w:r>
          </w:p>
          <w:p w14:paraId="1D621588" w14:textId="3C92A945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(0.88 to 1.57)</w:t>
            </w:r>
          </w:p>
        </w:tc>
        <w:tc>
          <w:tcPr>
            <w:tcW w:w="1831" w:type="dxa"/>
            <w:noWrap/>
            <w:vAlign w:val="bottom"/>
          </w:tcPr>
          <w:p w14:paraId="74BCF165" w14:textId="77777777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1.16 </w:t>
            </w:r>
          </w:p>
          <w:p w14:paraId="0A433C03" w14:textId="42AFFE56" w:rsidR="00832A88" w:rsidRPr="000C7EA8" w:rsidRDefault="00832A88" w:rsidP="00736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(0.87 to 1.55)</w:t>
            </w:r>
          </w:p>
        </w:tc>
        <w:tc>
          <w:tcPr>
            <w:tcW w:w="1832" w:type="dxa"/>
          </w:tcPr>
          <w:p w14:paraId="5FA4B62A" w14:textId="77777777" w:rsid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1.21</w:t>
            </w:r>
          </w:p>
          <w:p w14:paraId="41C34CCC" w14:textId="63E4E7FD" w:rsidR="00832A88" w:rsidRPr="000C7EA8" w:rsidRDefault="000C7EA8" w:rsidP="000C7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(0.90 to 1.63)</w:t>
            </w:r>
          </w:p>
        </w:tc>
      </w:tr>
      <w:tr w:rsidR="00832A88" w:rsidRPr="000C7EA8" w14:paraId="0999EDD1" w14:textId="7C6607B8" w:rsidTr="000C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hideMark/>
          </w:tcPr>
          <w:p w14:paraId="598F2BBE" w14:textId="77777777" w:rsidR="00832A88" w:rsidRPr="000C7EA8" w:rsidRDefault="00832A88" w:rsidP="007363D5">
            <w:pPr>
              <w:ind w:left="175"/>
              <w:rPr>
                <w:rFonts w:ascii="Times" w:hAnsi="Times"/>
                <w:b w:val="0"/>
                <w:bCs w:val="0"/>
                <w:sz w:val="16"/>
                <w:szCs w:val="16"/>
              </w:rPr>
            </w:pPr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 xml:space="preserve">No. of children in </w:t>
            </w:r>
            <w:proofErr w:type="spellStart"/>
            <w:r w:rsidRPr="000C7EA8">
              <w:rPr>
                <w:rFonts w:ascii="Times" w:hAnsi="Times"/>
                <w:b w:val="0"/>
                <w:bCs w:val="0"/>
                <w:sz w:val="16"/>
                <w:szCs w:val="16"/>
              </w:rPr>
              <w:t>household</w:t>
            </w:r>
            <w:r w:rsidRPr="000C7EA8">
              <w:rPr>
                <w:rFonts w:ascii="Times" w:hAnsi="Times"/>
                <w:b w:val="0"/>
                <w:bCs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831" w:type="dxa"/>
            <w:noWrap/>
            <w:vAlign w:val="bottom"/>
          </w:tcPr>
          <w:p w14:paraId="387B10EA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0.91 </w:t>
            </w:r>
          </w:p>
          <w:p w14:paraId="358CF10F" w14:textId="105C1AC1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(0.79 to 1.04)</w:t>
            </w:r>
          </w:p>
        </w:tc>
        <w:tc>
          <w:tcPr>
            <w:tcW w:w="1831" w:type="dxa"/>
            <w:noWrap/>
            <w:vAlign w:val="bottom"/>
          </w:tcPr>
          <w:p w14:paraId="77FEA675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0.86 </w:t>
            </w:r>
          </w:p>
          <w:p w14:paraId="167B6F93" w14:textId="3BAD0752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(0.75 to 0.99)</w:t>
            </w:r>
          </w:p>
        </w:tc>
        <w:tc>
          <w:tcPr>
            <w:tcW w:w="1831" w:type="dxa"/>
            <w:noWrap/>
            <w:vAlign w:val="bottom"/>
          </w:tcPr>
          <w:p w14:paraId="3B49D4D1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0.86 </w:t>
            </w:r>
          </w:p>
          <w:p w14:paraId="385935FF" w14:textId="51656E6B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(0.75 to 0.98)</w:t>
            </w:r>
          </w:p>
        </w:tc>
        <w:tc>
          <w:tcPr>
            <w:tcW w:w="1831" w:type="dxa"/>
            <w:noWrap/>
            <w:vAlign w:val="bottom"/>
          </w:tcPr>
          <w:p w14:paraId="1643DB51" w14:textId="77777777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 xml:space="preserve">0.86 </w:t>
            </w:r>
          </w:p>
          <w:p w14:paraId="345A5C76" w14:textId="0F85ACD3" w:rsidR="00832A88" w:rsidRPr="000C7EA8" w:rsidRDefault="00832A88" w:rsidP="00736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(0.76 to 0.99)</w:t>
            </w:r>
          </w:p>
        </w:tc>
        <w:tc>
          <w:tcPr>
            <w:tcW w:w="1832" w:type="dxa"/>
          </w:tcPr>
          <w:p w14:paraId="2BADA96D" w14:textId="77777777" w:rsid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0.88</w:t>
            </w:r>
          </w:p>
          <w:p w14:paraId="71432756" w14:textId="49A074CD" w:rsidR="00832A88" w:rsidRPr="000C7EA8" w:rsidRDefault="000C7EA8" w:rsidP="000C7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0C7EA8">
              <w:rPr>
                <w:rFonts w:ascii="Times" w:hAnsi="Times"/>
                <w:sz w:val="16"/>
                <w:szCs w:val="16"/>
              </w:rPr>
              <w:t>(0.76 to 1.02)</w:t>
            </w:r>
          </w:p>
        </w:tc>
      </w:tr>
    </w:tbl>
    <w:p w14:paraId="34A949D7" w14:textId="6E896DC1" w:rsidR="009660D5" w:rsidRDefault="009660D5" w:rsidP="009660D5">
      <w:pPr>
        <w:pStyle w:val="NoSpacing"/>
      </w:pPr>
    </w:p>
    <w:p w14:paraId="182E9378" w14:textId="1C5951BB" w:rsidR="00E3402D" w:rsidRPr="00E3402D" w:rsidRDefault="00E3402D" w:rsidP="00E3402D">
      <w:pPr>
        <w:pStyle w:val="NoSpacing"/>
        <w:rPr>
          <w:szCs w:val="22"/>
          <w:lang w:val="en-CA"/>
        </w:rPr>
      </w:pPr>
      <w:r>
        <w:rPr>
          <w:szCs w:val="22"/>
        </w:rPr>
        <w:t xml:space="preserve">Estimates are </w:t>
      </w:r>
      <w:proofErr w:type="gramStart"/>
      <w:r w:rsidRPr="00E3402D">
        <w:rPr>
          <w:szCs w:val="22"/>
          <w:vertAlign w:val="superscript"/>
        </w:rPr>
        <w:t>a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beta coefficients</w:t>
      </w:r>
      <w:proofErr w:type="gramEnd"/>
      <w:r>
        <w:rPr>
          <w:szCs w:val="22"/>
        </w:rPr>
        <w:t xml:space="preserve"> </w:t>
      </w:r>
      <w:r w:rsidR="00062B2E">
        <w:rPr>
          <w:szCs w:val="22"/>
        </w:rPr>
        <w:t xml:space="preserve">for </w:t>
      </w:r>
      <w:r>
        <w:rPr>
          <w:szCs w:val="22"/>
        </w:rPr>
        <w:t>T</w:t>
      </w:r>
      <w:r w:rsidRPr="00E3402D">
        <w:rPr>
          <w:szCs w:val="22"/>
        </w:rPr>
        <w:t>obit regression</w:t>
      </w:r>
      <w:r>
        <w:rPr>
          <w:szCs w:val="22"/>
        </w:rPr>
        <w:t xml:space="preserve"> and Risk Ratios </w:t>
      </w:r>
      <w:r w:rsidR="00062B2E">
        <w:rPr>
          <w:szCs w:val="22"/>
        </w:rPr>
        <w:t xml:space="preserve">for </w:t>
      </w:r>
      <w:r>
        <w:rPr>
          <w:szCs w:val="22"/>
          <w:vertAlign w:val="superscript"/>
        </w:rPr>
        <w:t xml:space="preserve">b </w:t>
      </w:r>
      <w:r>
        <w:rPr>
          <w:szCs w:val="22"/>
        </w:rPr>
        <w:t>Negative bino</w:t>
      </w:r>
      <w:r w:rsidR="00237DA6">
        <w:rPr>
          <w:szCs w:val="22"/>
        </w:rPr>
        <w:t>m</w:t>
      </w:r>
      <w:r>
        <w:rPr>
          <w:szCs w:val="22"/>
        </w:rPr>
        <w:t>ial</w:t>
      </w:r>
      <w:r w:rsidRPr="00E3402D">
        <w:rPr>
          <w:szCs w:val="22"/>
        </w:rPr>
        <w:t xml:space="preserve"> </w:t>
      </w:r>
      <w:r>
        <w:rPr>
          <w:szCs w:val="22"/>
        </w:rPr>
        <w:t>and</w:t>
      </w:r>
      <w:r w:rsidRPr="00E3402D">
        <w:rPr>
          <w:szCs w:val="22"/>
        </w:rPr>
        <w:t xml:space="preserve"> </w:t>
      </w:r>
      <w:r>
        <w:rPr>
          <w:szCs w:val="22"/>
          <w:vertAlign w:val="superscript"/>
        </w:rPr>
        <w:t xml:space="preserve">c </w:t>
      </w:r>
      <w:r>
        <w:rPr>
          <w:szCs w:val="22"/>
        </w:rPr>
        <w:t>Poisson</w:t>
      </w:r>
      <w:r w:rsidRPr="00E3402D">
        <w:rPr>
          <w:szCs w:val="22"/>
        </w:rPr>
        <w:t xml:space="preserve"> regression</w:t>
      </w:r>
      <w:r>
        <w:rPr>
          <w:szCs w:val="22"/>
        </w:rPr>
        <w:t>s, with 95% confidence intervals</w:t>
      </w:r>
      <w:r w:rsidR="00237DA6">
        <w:rPr>
          <w:szCs w:val="22"/>
        </w:rPr>
        <w:t>.</w:t>
      </w:r>
    </w:p>
    <w:p w14:paraId="433FDBA0" w14:textId="3871C06F" w:rsidR="00DD4361" w:rsidRDefault="00DD4361">
      <w:pPr>
        <w:pStyle w:val="NoSpacing"/>
        <w:rPr>
          <w:lang w:val="en-CA"/>
        </w:rPr>
      </w:pPr>
    </w:p>
    <w:p w14:paraId="7EF028D4" w14:textId="54C96022" w:rsidR="00BE6113" w:rsidRDefault="00BE6113">
      <w:pPr>
        <w:pStyle w:val="NoSpacing"/>
        <w:rPr>
          <w:lang w:val="en-CA"/>
        </w:rPr>
      </w:pPr>
      <w:r w:rsidRPr="00E3402D">
        <w:rPr>
          <w:lang w:val="en-CA"/>
        </w:rPr>
        <w:t>M1</w:t>
      </w:r>
      <w:r>
        <w:rPr>
          <w:lang w:val="en-CA"/>
        </w:rPr>
        <w:t>,</w:t>
      </w:r>
      <w:r w:rsidRPr="00E3402D">
        <w:rPr>
          <w:lang w:val="en-CA"/>
        </w:rPr>
        <w:t xml:space="preserve"> unadjusted</w:t>
      </w:r>
      <w:r>
        <w:rPr>
          <w:lang w:val="en-CA"/>
        </w:rPr>
        <w:t>:</w:t>
      </w:r>
      <w:r w:rsidRPr="00E3402D">
        <w:rPr>
          <w:lang w:val="en-CA"/>
        </w:rPr>
        <w:tab/>
      </w:r>
      <w:r>
        <w:rPr>
          <w:lang w:val="en-CA"/>
        </w:rPr>
        <w:t xml:space="preserve"> m</w:t>
      </w:r>
      <w:r w:rsidRPr="00E3402D">
        <w:rPr>
          <w:lang w:val="en-CA"/>
        </w:rPr>
        <w:t xml:space="preserve">odel adjusted for the variable </w:t>
      </w:r>
      <w:r>
        <w:rPr>
          <w:lang w:val="en-CA"/>
        </w:rPr>
        <w:t xml:space="preserve">“sample” (representative vs. disruptive) </w:t>
      </w:r>
      <w:r w:rsidRPr="00E3402D">
        <w:rPr>
          <w:lang w:val="en-CA"/>
        </w:rPr>
        <w:t>and child age at enrollment</w:t>
      </w:r>
      <w:r>
        <w:rPr>
          <w:lang w:val="en-CA"/>
        </w:rPr>
        <w:t xml:space="preserve"> in the cohort; </w:t>
      </w:r>
      <w:r w:rsidRPr="00E3402D">
        <w:rPr>
          <w:lang w:val="en-CA"/>
        </w:rPr>
        <w:t>M2 adjusted for child sex</w:t>
      </w:r>
      <w:r>
        <w:rPr>
          <w:lang w:val="en-CA"/>
        </w:rPr>
        <w:t xml:space="preserve">; </w:t>
      </w:r>
      <w:r w:rsidRPr="00E3402D">
        <w:rPr>
          <w:lang w:val="en-CA"/>
        </w:rPr>
        <w:t xml:space="preserve">M3 additionally adjusted for family socioeconomic status, low birth weight, child verbal IQ, family history of suicide, maternal and paternal </w:t>
      </w:r>
      <w:r>
        <w:rPr>
          <w:lang w:val="en-CA"/>
        </w:rPr>
        <w:t xml:space="preserve">mental disorders; </w:t>
      </w:r>
      <w:r w:rsidRPr="00E3402D">
        <w:rPr>
          <w:lang w:val="en-CA"/>
        </w:rPr>
        <w:t xml:space="preserve">M4 additionally adjusted for </w:t>
      </w:r>
      <w:r>
        <w:rPr>
          <w:lang w:val="en-CA"/>
        </w:rPr>
        <w:t>adolescent</w:t>
      </w:r>
      <w:r w:rsidRPr="00E3402D">
        <w:rPr>
          <w:lang w:val="en-CA"/>
        </w:rPr>
        <w:t xml:space="preserve"> </w:t>
      </w:r>
      <w:r>
        <w:rPr>
          <w:lang w:val="en-CA"/>
        </w:rPr>
        <w:t xml:space="preserve">mental disorders; M5 </w:t>
      </w:r>
      <w:r w:rsidRPr="00E3402D">
        <w:rPr>
          <w:lang w:val="en-CA"/>
        </w:rPr>
        <w:t xml:space="preserve">additionally adjusted for </w:t>
      </w:r>
      <w:r>
        <w:rPr>
          <w:lang w:val="en-CA"/>
        </w:rPr>
        <w:t>adolescent substance use</w:t>
      </w:r>
    </w:p>
    <w:p w14:paraId="4C79CD8B" w14:textId="77CF3B7D" w:rsidR="00E77098" w:rsidRDefault="00E77098">
      <w:pPr>
        <w:pStyle w:val="NoSpacing"/>
        <w:rPr>
          <w:lang w:val="en-CA"/>
        </w:rPr>
      </w:pPr>
    </w:p>
    <w:p w14:paraId="642A1D20" w14:textId="6F0956B1" w:rsidR="00E77098" w:rsidRDefault="00E77098">
      <w:pPr>
        <w:pStyle w:val="NoSpacing"/>
        <w:rPr>
          <w:lang w:val="en-CA"/>
        </w:rPr>
      </w:pPr>
      <w:r>
        <w:rPr>
          <w:lang w:val="en-CA"/>
        </w:rPr>
        <w:br w:type="page"/>
      </w:r>
    </w:p>
    <w:sectPr w:rsidR="00E77098" w:rsidSect="007C65B5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40A3" w14:textId="77777777" w:rsidR="00213EE4" w:rsidRDefault="00213EE4" w:rsidP="00B071CA">
      <w:r>
        <w:separator/>
      </w:r>
    </w:p>
  </w:endnote>
  <w:endnote w:type="continuationSeparator" w:id="0">
    <w:p w14:paraId="2CD05E6D" w14:textId="77777777" w:rsidR="00213EE4" w:rsidRDefault="00213EE4" w:rsidP="00B0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﷽﷽ތ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75982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8E9E44" w14:textId="5D47C96C" w:rsidR="00062B2E" w:rsidRDefault="00062B2E" w:rsidP="004958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BCB592" w14:textId="77777777" w:rsidR="00062B2E" w:rsidRDefault="00062B2E" w:rsidP="008D35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846618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E1D44A" w14:textId="342B126F" w:rsidR="00062B2E" w:rsidRDefault="00062B2E" w:rsidP="004958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062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1E4FA1" w14:textId="77777777" w:rsidR="00062B2E" w:rsidRDefault="00062B2E" w:rsidP="008D35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20C8" w14:textId="77777777" w:rsidR="00213EE4" w:rsidRDefault="00213EE4" w:rsidP="00B071CA">
      <w:r>
        <w:separator/>
      </w:r>
    </w:p>
  </w:footnote>
  <w:footnote w:type="continuationSeparator" w:id="0">
    <w:p w14:paraId="39715BD0" w14:textId="77777777" w:rsidR="00213EE4" w:rsidRDefault="00213EE4" w:rsidP="00B0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D22"/>
    <w:multiLevelType w:val="hybridMultilevel"/>
    <w:tmpl w:val="1C6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3E37"/>
    <w:multiLevelType w:val="hybridMultilevel"/>
    <w:tmpl w:val="CDC2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63DD"/>
    <w:multiLevelType w:val="hybridMultilevel"/>
    <w:tmpl w:val="D6E0D074"/>
    <w:lvl w:ilvl="0" w:tplc="C98EC7F0">
      <w:start w:val="1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155CB"/>
    <w:multiLevelType w:val="hybridMultilevel"/>
    <w:tmpl w:val="831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A2FFF"/>
    <w:multiLevelType w:val="hybridMultilevel"/>
    <w:tmpl w:val="FFBA2AA0"/>
    <w:lvl w:ilvl="0" w:tplc="3A7C2F6E">
      <w:start w:val="1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3B"/>
    <w:rsid w:val="000009D5"/>
    <w:rsid w:val="00000FB2"/>
    <w:rsid w:val="0000207E"/>
    <w:rsid w:val="00010657"/>
    <w:rsid w:val="00010FF2"/>
    <w:rsid w:val="000120C5"/>
    <w:rsid w:val="00014635"/>
    <w:rsid w:val="00015992"/>
    <w:rsid w:val="00015F23"/>
    <w:rsid w:val="00017F40"/>
    <w:rsid w:val="00020F77"/>
    <w:rsid w:val="000234EE"/>
    <w:rsid w:val="00023BC4"/>
    <w:rsid w:val="00024240"/>
    <w:rsid w:val="00025089"/>
    <w:rsid w:val="00025D93"/>
    <w:rsid w:val="00031BA6"/>
    <w:rsid w:val="00034383"/>
    <w:rsid w:val="00035365"/>
    <w:rsid w:val="00036F02"/>
    <w:rsid w:val="00040919"/>
    <w:rsid w:val="00043B23"/>
    <w:rsid w:val="00045E7B"/>
    <w:rsid w:val="00046650"/>
    <w:rsid w:val="00047EF2"/>
    <w:rsid w:val="0005030A"/>
    <w:rsid w:val="000509E0"/>
    <w:rsid w:val="000527AD"/>
    <w:rsid w:val="0005653D"/>
    <w:rsid w:val="00060FBC"/>
    <w:rsid w:val="00061A60"/>
    <w:rsid w:val="00061DAB"/>
    <w:rsid w:val="00062578"/>
    <w:rsid w:val="00062B2E"/>
    <w:rsid w:val="00062BB3"/>
    <w:rsid w:val="00063B6E"/>
    <w:rsid w:val="00067139"/>
    <w:rsid w:val="00071059"/>
    <w:rsid w:val="00071BD1"/>
    <w:rsid w:val="00077118"/>
    <w:rsid w:val="000773EE"/>
    <w:rsid w:val="00086383"/>
    <w:rsid w:val="00095B3F"/>
    <w:rsid w:val="00095E0E"/>
    <w:rsid w:val="000A1D2B"/>
    <w:rsid w:val="000A399F"/>
    <w:rsid w:val="000A5164"/>
    <w:rsid w:val="000B20FE"/>
    <w:rsid w:val="000C016E"/>
    <w:rsid w:val="000C1093"/>
    <w:rsid w:val="000C3765"/>
    <w:rsid w:val="000C4E7F"/>
    <w:rsid w:val="000C54F5"/>
    <w:rsid w:val="000C7EA8"/>
    <w:rsid w:val="000D792A"/>
    <w:rsid w:val="000E1A11"/>
    <w:rsid w:val="000E58DF"/>
    <w:rsid w:val="000F21D0"/>
    <w:rsid w:val="000F273E"/>
    <w:rsid w:val="000F4BC9"/>
    <w:rsid w:val="000F567A"/>
    <w:rsid w:val="000F6532"/>
    <w:rsid w:val="000F66D1"/>
    <w:rsid w:val="000F70D5"/>
    <w:rsid w:val="000F7545"/>
    <w:rsid w:val="001005BC"/>
    <w:rsid w:val="00104C28"/>
    <w:rsid w:val="00105C82"/>
    <w:rsid w:val="00107DD4"/>
    <w:rsid w:val="0012141F"/>
    <w:rsid w:val="0012169E"/>
    <w:rsid w:val="00121BCD"/>
    <w:rsid w:val="00123A01"/>
    <w:rsid w:val="001259C0"/>
    <w:rsid w:val="00130856"/>
    <w:rsid w:val="001335A1"/>
    <w:rsid w:val="0013760C"/>
    <w:rsid w:val="00141798"/>
    <w:rsid w:val="00142055"/>
    <w:rsid w:val="0014571E"/>
    <w:rsid w:val="0014572C"/>
    <w:rsid w:val="00146BB7"/>
    <w:rsid w:val="001476E1"/>
    <w:rsid w:val="00150370"/>
    <w:rsid w:val="001519CA"/>
    <w:rsid w:val="00153FE6"/>
    <w:rsid w:val="001615C4"/>
    <w:rsid w:val="00164D4D"/>
    <w:rsid w:val="001659A7"/>
    <w:rsid w:val="00166A28"/>
    <w:rsid w:val="0016721F"/>
    <w:rsid w:val="00167AE6"/>
    <w:rsid w:val="00167F7A"/>
    <w:rsid w:val="00172CBE"/>
    <w:rsid w:val="00184650"/>
    <w:rsid w:val="001873D4"/>
    <w:rsid w:val="0019198C"/>
    <w:rsid w:val="00194E06"/>
    <w:rsid w:val="001B08C3"/>
    <w:rsid w:val="001B1959"/>
    <w:rsid w:val="001B37F3"/>
    <w:rsid w:val="001B39F0"/>
    <w:rsid w:val="001B3D6D"/>
    <w:rsid w:val="001B5E2D"/>
    <w:rsid w:val="001C1C28"/>
    <w:rsid w:val="001C54B2"/>
    <w:rsid w:val="001C6DE0"/>
    <w:rsid w:val="001D125D"/>
    <w:rsid w:val="001D19DF"/>
    <w:rsid w:val="001E33ED"/>
    <w:rsid w:val="001E6F75"/>
    <w:rsid w:val="001F3E76"/>
    <w:rsid w:val="001F4672"/>
    <w:rsid w:val="001F4E0A"/>
    <w:rsid w:val="001F5BDC"/>
    <w:rsid w:val="001F7307"/>
    <w:rsid w:val="00200161"/>
    <w:rsid w:val="00200DFB"/>
    <w:rsid w:val="0020249A"/>
    <w:rsid w:val="00204569"/>
    <w:rsid w:val="0020530F"/>
    <w:rsid w:val="00205AC1"/>
    <w:rsid w:val="00213EE4"/>
    <w:rsid w:val="00215BA5"/>
    <w:rsid w:val="0021676E"/>
    <w:rsid w:val="00217F20"/>
    <w:rsid w:val="00220575"/>
    <w:rsid w:val="0022351E"/>
    <w:rsid w:val="0023324F"/>
    <w:rsid w:val="00236B11"/>
    <w:rsid w:val="00237120"/>
    <w:rsid w:val="00237DA6"/>
    <w:rsid w:val="0024292D"/>
    <w:rsid w:val="002476AC"/>
    <w:rsid w:val="0026197E"/>
    <w:rsid w:val="002623D4"/>
    <w:rsid w:val="002646DD"/>
    <w:rsid w:val="00272DF6"/>
    <w:rsid w:val="00277B46"/>
    <w:rsid w:val="00283A4C"/>
    <w:rsid w:val="00284862"/>
    <w:rsid w:val="00293B22"/>
    <w:rsid w:val="00293D1D"/>
    <w:rsid w:val="002B7C0C"/>
    <w:rsid w:val="002C3844"/>
    <w:rsid w:val="002C762B"/>
    <w:rsid w:val="002D2341"/>
    <w:rsid w:val="002D24D1"/>
    <w:rsid w:val="002D272D"/>
    <w:rsid w:val="002D5A4B"/>
    <w:rsid w:val="002E3729"/>
    <w:rsid w:val="002E5C5E"/>
    <w:rsid w:val="002F0E33"/>
    <w:rsid w:val="002F49A6"/>
    <w:rsid w:val="002F5722"/>
    <w:rsid w:val="002F738D"/>
    <w:rsid w:val="00301081"/>
    <w:rsid w:val="003023AD"/>
    <w:rsid w:val="00304EF7"/>
    <w:rsid w:val="00320A72"/>
    <w:rsid w:val="00323066"/>
    <w:rsid w:val="003246C8"/>
    <w:rsid w:val="003262A0"/>
    <w:rsid w:val="00327DC6"/>
    <w:rsid w:val="003306EB"/>
    <w:rsid w:val="00330959"/>
    <w:rsid w:val="0033382B"/>
    <w:rsid w:val="00340CB2"/>
    <w:rsid w:val="00340D22"/>
    <w:rsid w:val="00343D7C"/>
    <w:rsid w:val="003522DA"/>
    <w:rsid w:val="003536BB"/>
    <w:rsid w:val="003567FF"/>
    <w:rsid w:val="003622D1"/>
    <w:rsid w:val="00370DAB"/>
    <w:rsid w:val="00380AED"/>
    <w:rsid w:val="00383AB0"/>
    <w:rsid w:val="00386924"/>
    <w:rsid w:val="00395B99"/>
    <w:rsid w:val="003A1F0B"/>
    <w:rsid w:val="003A240B"/>
    <w:rsid w:val="003B19B6"/>
    <w:rsid w:val="003B232C"/>
    <w:rsid w:val="003B4B56"/>
    <w:rsid w:val="003B60E9"/>
    <w:rsid w:val="003B6BA6"/>
    <w:rsid w:val="003B7BB7"/>
    <w:rsid w:val="003C4442"/>
    <w:rsid w:val="003D2637"/>
    <w:rsid w:val="003D53E7"/>
    <w:rsid w:val="003E5D52"/>
    <w:rsid w:val="003F1B5F"/>
    <w:rsid w:val="003F2602"/>
    <w:rsid w:val="003F770E"/>
    <w:rsid w:val="00403E0A"/>
    <w:rsid w:val="00405F1B"/>
    <w:rsid w:val="00410628"/>
    <w:rsid w:val="00413E68"/>
    <w:rsid w:val="00420870"/>
    <w:rsid w:val="0042662E"/>
    <w:rsid w:val="00430DD8"/>
    <w:rsid w:val="004336B9"/>
    <w:rsid w:val="00461363"/>
    <w:rsid w:val="0046329F"/>
    <w:rsid w:val="00464F12"/>
    <w:rsid w:val="00465BC7"/>
    <w:rsid w:val="004668DB"/>
    <w:rsid w:val="00481508"/>
    <w:rsid w:val="004860C4"/>
    <w:rsid w:val="00490B2E"/>
    <w:rsid w:val="004927EF"/>
    <w:rsid w:val="0049584B"/>
    <w:rsid w:val="004B079F"/>
    <w:rsid w:val="004B0BFE"/>
    <w:rsid w:val="004B2BA4"/>
    <w:rsid w:val="004B3BE4"/>
    <w:rsid w:val="004B5C95"/>
    <w:rsid w:val="004B7B05"/>
    <w:rsid w:val="004C0FDF"/>
    <w:rsid w:val="004C21C4"/>
    <w:rsid w:val="004C47B8"/>
    <w:rsid w:val="004C612D"/>
    <w:rsid w:val="004C7A3A"/>
    <w:rsid w:val="004D1194"/>
    <w:rsid w:val="004D49A7"/>
    <w:rsid w:val="004D58FB"/>
    <w:rsid w:val="004D700B"/>
    <w:rsid w:val="004D754F"/>
    <w:rsid w:val="004E7A4A"/>
    <w:rsid w:val="004F032D"/>
    <w:rsid w:val="004F5BD8"/>
    <w:rsid w:val="005018D3"/>
    <w:rsid w:val="00501922"/>
    <w:rsid w:val="005020BB"/>
    <w:rsid w:val="00503598"/>
    <w:rsid w:val="00503C7F"/>
    <w:rsid w:val="005049CA"/>
    <w:rsid w:val="00505B64"/>
    <w:rsid w:val="0051516C"/>
    <w:rsid w:val="0051659B"/>
    <w:rsid w:val="0051666A"/>
    <w:rsid w:val="00523C64"/>
    <w:rsid w:val="00525F69"/>
    <w:rsid w:val="0053003D"/>
    <w:rsid w:val="005317CD"/>
    <w:rsid w:val="005328A5"/>
    <w:rsid w:val="00533ECB"/>
    <w:rsid w:val="00534813"/>
    <w:rsid w:val="00536001"/>
    <w:rsid w:val="005365D9"/>
    <w:rsid w:val="0053670C"/>
    <w:rsid w:val="00540536"/>
    <w:rsid w:val="0054538A"/>
    <w:rsid w:val="0054593D"/>
    <w:rsid w:val="00547378"/>
    <w:rsid w:val="0055201B"/>
    <w:rsid w:val="00555DBA"/>
    <w:rsid w:val="00556BD1"/>
    <w:rsid w:val="005613B6"/>
    <w:rsid w:val="00561839"/>
    <w:rsid w:val="0056209B"/>
    <w:rsid w:val="00564A0F"/>
    <w:rsid w:val="00565EB4"/>
    <w:rsid w:val="005662A8"/>
    <w:rsid w:val="00566D33"/>
    <w:rsid w:val="00566F35"/>
    <w:rsid w:val="00574C76"/>
    <w:rsid w:val="00576530"/>
    <w:rsid w:val="0057718E"/>
    <w:rsid w:val="0058057F"/>
    <w:rsid w:val="00582EC0"/>
    <w:rsid w:val="00584310"/>
    <w:rsid w:val="0059179E"/>
    <w:rsid w:val="00595290"/>
    <w:rsid w:val="005A03DF"/>
    <w:rsid w:val="005A433B"/>
    <w:rsid w:val="005A5356"/>
    <w:rsid w:val="005B514F"/>
    <w:rsid w:val="005C0A49"/>
    <w:rsid w:val="005D39E4"/>
    <w:rsid w:val="005E0C05"/>
    <w:rsid w:val="005E173E"/>
    <w:rsid w:val="005E2A08"/>
    <w:rsid w:val="005E2C93"/>
    <w:rsid w:val="005E3901"/>
    <w:rsid w:val="005F0A41"/>
    <w:rsid w:val="005F3154"/>
    <w:rsid w:val="005F5A87"/>
    <w:rsid w:val="00601A96"/>
    <w:rsid w:val="00607CDA"/>
    <w:rsid w:val="006111C0"/>
    <w:rsid w:val="006152E0"/>
    <w:rsid w:val="006202E6"/>
    <w:rsid w:val="006217B1"/>
    <w:rsid w:val="00623BC9"/>
    <w:rsid w:val="00626557"/>
    <w:rsid w:val="006459A8"/>
    <w:rsid w:val="00651A31"/>
    <w:rsid w:val="00651E4A"/>
    <w:rsid w:val="006579F3"/>
    <w:rsid w:val="00661EF6"/>
    <w:rsid w:val="006649EB"/>
    <w:rsid w:val="00665418"/>
    <w:rsid w:val="00667007"/>
    <w:rsid w:val="00667ADC"/>
    <w:rsid w:val="00670585"/>
    <w:rsid w:val="0067083F"/>
    <w:rsid w:val="00671D9E"/>
    <w:rsid w:val="0067233B"/>
    <w:rsid w:val="006729BA"/>
    <w:rsid w:val="00677B28"/>
    <w:rsid w:val="00686EDF"/>
    <w:rsid w:val="006905EB"/>
    <w:rsid w:val="00692847"/>
    <w:rsid w:val="00694453"/>
    <w:rsid w:val="006A309A"/>
    <w:rsid w:val="006A394E"/>
    <w:rsid w:val="006A3D3E"/>
    <w:rsid w:val="006A6E7F"/>
    <w:rsid w:val="006A7E09"/>
    <w:rsid w:val="006B460B"/>
    <w:rsid w:val="006B5F39"/>
    <w:rsid w:val="006C3294"/>
    <w:rsid w:val="006C513B"/>
    <w:rsid w:val="006C5E5F"/>
    <w:rsid w:val="006D3729"/>
    <w:rsid w:val="006D577A"/>
    <w:rsid w:val="006D5C14"/>
    <w:rsid w:val="006D6A03"/>
    <w:rsid w:val="006E13A8"/>
    <w:rsid w:val="006E2B12"/>
    <w:rsid w:val="006E46E7"/>
    <w:rsid w:val="006E70CF"/>
    <w:rsid w:val="006E7219"/>
    <w:rsid w:val="006F01C7"/>
    <w:rsid w:val="006F0382"/>
    <w:rsid w:val="006F14FF"/>
    <w:rsid w:val="006F44D9"/>
    <w:rsid w:val="006F6DB9"/>
    <w:rsid w:val="007062FA"/>
    <w:rsid w:val="00706AEA"/>
    <w:rsid w:val="00711A20"/>
    <w:rsid w:val="00712A6C"/>
    <w:rsid w:val="00713267"/>
    <w:rsid w:val="00714150"/>
    <w:rsid w:val="0071687F"/>
    <w:rsid w:val="00730974"/>
    <w:rsid w:val="00731AED"/>
    <w:rsid w:val="00732D94"/>
    <w:rsid w:val="00733132"/>
    <w:rsid w:val="00736149"/>
    <w:rsid w:val="007363D5"/>
    <w:rsid w:val="007404BD"/>
    <w:rsid w:val="00742303"/>
    <w:rsid w:val="00752F2D"/>
    <w:rsid w:val="00756419"/>
    <w:rsid w:val="0075695D"/>
    <w:rsid w:val="00760B21"/>
    <w:rsid w:val="00765093"/>
    <w:rsid w:val="00765D36"/>
    <w:rsid w:val="007756A1"/>
    <w:rsid w:val="00777EAB"/>
    <w:rsid w:val="00791449"/>
    <w:rsid w:val="00792244"/>
    <w:rsid w:val="00792F51"/>
    <w:rsid w:val="0079376A"/>
    <w:rsid w:val="00793BB7"/>
    <w:rsid w:val="00797241"/>
    <w:rsid w:val="00797427"/>
    <w:rsid w:val="00797D1A"/>
    <w:rsid w:val="007A1923"/>
    <w:rsid w:val="007A1CF2"/>
    <w:rsid w:val="007A433C"/>
    <w:rsid w:val="007A7DB4"/>
    <w:rsid w:val="007B12F5"/>
    <w:rsid w:val="007B1CC5"/>
    <w:rsid w:val="007B2968"/>
    <w:rsid w:val="007B2D30"/>
    <w:rsid w:val="007B417F"/>
    <w:rsid w:val="007C65B5"/>
    <w:rsid w:val="007C665A"/>
    <w:rsid w:val="007D0B06"/>
    <w:rsid w:val="007D0FB5"/>
    <w:rsid w:val="007D25DA"/>
    <w:rsid w:val="007D362D"/>
    <w:rsid w:val="007D42AC"/>
    <w:rsid w:val="007D4BB7"/>
    <w:rsid w:val="007D4EB0"/>
    <w:rsid w:val="007F5B6B"/>
    <w:rsid w:val="007F6D39"/>
    <w:rsid w:val="00800475"/>
    <w:rsid w:val="00800E6C"/>
    <w:rsid w:val="0081260E"/>
    <w:rsid w:val="00821776"/>
    <w:rsid w:val="008223BC"/>
    <w:rsid w:val="008225EF"/>
    <w:rsid w:val="00822E27"/>
    <w:rsid w:val="008230CB"/>
    <w:rsid w:val="00823B23"/>
    <w:rsid w:val="008246AF"/>
    <w:rsid w:val="00825538"/>
    <w:rsid w:val="00832A88"/>
    <w:rsid w:val="00833D4E"/>
    <w:rsid w:val="00841D70"/>
    <w:rsid w:val="00850070"/>
    <w:rsid w:val="00851E69"/>
    <w:rsid w:val="00870340"/>
    <w:rsid w:val="00871333"/>
    <w:rsid w:val="008757FD"/>
    <w:rsid w:val="008807F7"/>
    <w:rsid w:val="008814B1"/>
    <w:rsid w:val="00882324"/>
    <w:rsid w:val="008833AB"/>
    <w:rsid w:val="008856EA"/>
    <w:rsid w:val="00886DC2"/>
    <w:rsid w:val="0089346E"/>
    <w:rsid w:val="00893E67"/>
    <w:rsid w:val="0089429A"/>
    <w:rsid w:val="008A4477"/>
    <w:rsid w:val="008A5C07"/>
    <w:rsid w:val="008A6639"/>
    <w:rsid w:val="008A7CA9"/>
    <w:rsid w:val="008B26A9"/>
    <w:rsid w:val="008C3058"/>
    <w:rsid w:val="008C3D79"/>
    <w:rsid w:val="008D028F"/>
    <w:rsid w:val="008D03F2"/>
    <w:rsid w:val="008D16BF"/>
    <w:rsid w:val="008D3567"/>
    <w:rsid w:val="008D615D"/>
    <w:rsid w:val="008D639B"/>
    <w:rsid w:val="008E26DB"/>
    <w:rsid w:val="008E4CC7"/>
    <w:rsid w:val="008F1AE4"/>
    <w:rsid w:val="00900DED"/>
    <w:rsid w:val="00900F04"/>
    <w:rsid w:val="00901625"/>
    <w:rsid w:val="009024B3"/>
    <w:rsid w:val="00905B7E"/>
    <w:rsid w:val="009061A1"/>
    <w:rsid w:val="00916117"/>
    <w:rsid w:val="0091664D"/>
    <w:rsid w:val="00922779"/>
    <w:rsid w:val="0092690B"/>
    <w:rsid w:val="00931B67"/>
    <w:rsid w:val="009364CC"/>
    <w:rsid w:val="00937833"/>
    <w:rsid w:val="00945B2D"/>
    <w:rsid w:val="00947ADE"/>
    <w:rsid w:val="00947BBA"/>
    <w:rsid w:val="00951E13"/>
    <w:rsid w:val="00951F24"/>
    <w:rsid w:val="00953377"/>
    <w:rsid w:val="0095340F"/>
    <w:rsid w:val="00956851"/>
    <w:rsid w:val="00956B82"/>
    <w:rsid w:val="00964535"/>
    <w:rsid w:val="009660D5"/>
    <w:rsid w:val="0096741E"/>
    <w:rsid w:val="0097224C"/>
    <w:rsid w:val="009747DE"/>
    <w:rsid w:val="009752F1"/>
    <w:rsid w:val="0097590C"/>
    <w:rsid w:val="00976032"/>
    <w:rsid w:val="00976B0E"/>
    <w:rsid w:val="00977BF6"/>
    <w:rsid w:val="0098418E"/>
    <w:rsid w:val="00986A3B"/>
    <w:rsid w:val="00986E24"/>
    <w:rsid w:val="00987F0C"/>
    <w:rsid w:val="00991142"/>
    <w:rsid w:val="0099279D"/>
    <w:rsid w:val="009965E6"/>
    <w:rsid w:val="009A2DE4"/>
    <w:rsid w:val="009A366A"/>
    <w:rsid w:val="009A7F5C"/>
    <w:rsid w:val="009C0CA5"/>
    <w:rsid w:val="009C0D78"/>
    <w:rsid w:val="009C14AF"/>
    <w:rsid w:val="009C6D53"/>
    <w:rsid w:val="009D125B"/>
    <w:rsid w:val="009D162E"/>
    <w:rsid w:val="009D575D"/>
    <w:rsid w:val="009E0163"/>
    <w:rsid w:val="009E077A"/>
    <w:rsid w:val="009E2466"/>
    <w:rsid w:val="009E5FFC"/>
    <w:rsid w:val="009E6291"/>
    <w:rsid w:val="009E7F1B"/>
    <w:rsid w:val="009F1536"/>
    <w:rsid w:val="009F299B"/>
    <w:rsid w:val="00A00036"/>
    <w:rsid w:val="00A00F36"/>
    <w:rsid w:val="00A02644"/>
    <w:rsid w:val="00A03A24"/>
    <w:rsid w:val="00A0472A"/>
    <w:rsid w:val="00A05273"/>
    <w:rsid w:val="00A0554D"/>
    <w:rsid w:val="00A07FFD"/>
    <w:rsid w:val="00A162CB"/>
    <w:rsid w:val="00A16E79"/>
    <w:rsid w:val="00A1767E"/>
    <w:rsid w:val="00A20354"/>
    <w:rsid w:val="00A21084"/>
    <w:rsid w:val="00A2309F"/>
    <w:rsid w:val="00A261C1"/>
    <w:rsid w:val="00A33D81"/>
    <w:rsid w:val="00A41731"/>
    <w:rsid w:val="00A43034"/>
    <w:rsid w:val="00A43ADF"/>
    <w:rsid w:val="00A45265"/>
    <w:rsid w:val="00A45975"/>
    <w:rsid w:val="00A45F87"/>
    <w:rsid w:val="00A50335"/>
    <w:rsid w:val="00A525DD"/>
    <w:rsid w:val="00A529D5"/>
    <w:rsid w:val="00A53ADC"/>
    <w:rsid w:val="00A53C9C"/>
    <w:rsid w:val="00A57636"/>
    <w:rsid w:val="00A611EE"/>
    <w:rsid w:val="00A612C1"/>
    <w:rsid w:val="00A65545"/>
    <w:rsid w:val="00A672FC"/>
    <w:rsid w:val="00A6756B"/>
    <w:rsid w:val="00A72E47"/>
    <w:rsid w:val="00A7605A"/>
    <w:rsid w:val="00A77258"/>
    <w:rsid w:val="00A81AE9"/>
    <w:rsid w:val="00A85B73"/>
    <w:rsid w:val="00A97FF1"/>
    <w:rsid w:val="00AA0804"/>
    <w:rsid w:val="00AA209D"/>
    <w:rsid w:val="00AA279D"/>
    <w:rsid w:val="00AA40C5"/>
    <w:rsid w:val="00AA5D1F"/>
    <w:rsid w:val="00AA66D7"/>
    <w:rsid w:val="00AA720B"/>
    <w:rsid w:val="00AB0FCE"/>
    <w:rsid w:val="00AB25E2"/>
    <w:rsid w:val="00AC02CD"/>
    <w:rsid w:val="00AC0FB3"/>
    <w:rsid w:val="00AC278D"/>
    <w:rsid w:val="00AC4DC7"/>
    <w:rsid w:val="00AD74F2"/>
    <w:rsid w:val="00AE0259"/>
    <w:rsid w:val="00AE06A4"/>
    <w:rsid w:val="00AE4D66"/>
    <w:rsid w:val="00AE51DF"/>
    <w:rsid w:val="00AE6C30"/>
    <w:rsid w:val="00AE7C85"/>
    <w:rsid w:val="00AF0F86"/>
    <w:rsid w:val="00B000E8"/>
    <w:rsid w:val="00B03AEB"/>
    <w:rsid w:val="00B03B55"/>
    <w:rsid w:val="00B0436A"/>
    <w:rsid w:val="00B056C5"/>
    <w:rsid w:val="00B071CA"/>
    <w:rsid w:val="00B07FB6"/>
    <w:rsid w:val="00B10CD8"/>
    <w:rsid w:val="00B11436"/>
    <w:rsid w:val="00B116F6"/>
    <w:rsid w:val="00B1227F"/>
    <w:rsid w:val="00B14788"/>
    <w:rsid w:val="00B2769D"/>
    <w:rsid w:val="00B32512"/>
    <w:rsid w:val="00B421B6"/>
    <w:rsid w:val="00B42B2A"/>
    <w:rsid w:val="00B4396B"/>
    <w:rsid w:val="00B4557C"/>
    <w:rsid w:val="00B47D13"/>
    <w:rsid w:val="00B50EC5"/>
    <w:rsid w:val="00B5490E"/>
    <w:rsid w:val="00B610CF"/>
    <w:rsid w:val="00B61D2B"/>
    <w:rsid w:val="00B814DC"/>
    <w:rsid w:val="00B81564"/>
    <w:rsid w:val="00B842A1"/>
    <w:rsid w:val="00B876D8"/>
    <w:rsid w:val="00B9324F"/>
    <w:rsid w:val="00B9447B"/>
    <w:rsid w:val="00BA0B8B"/>
    <w:rsid w:val="00BA0CFD"/>
    <w:rsid w:val="00BA7882"/>
    <w:rsid w:val="00BB005A"/>
    <w:rsid w:val="00BB17E5"/>
    <w:rsid w:val="00BB2093"/>
    <w:rsid w:val="00BB6C56"/>
    <w:rsid w:val="00BB7361"/>
    <w:rsid w:val="00BB7DA4"/>
    <w:rsid w:val="00BB7E5F"/>
    <w:rsid w:val="00BD0547"/>
    <w:rsid w:val="00BD3990"/>
    <w:rsid w:val="00BD71D1"/>
    <w:rsid w:val="00BE39CC"/>
    <w:rsid w:val="00BE3EC9"/>
    <w:rsid w:val="00BE4C45"/>
    <w:rsid w:val="00BE6113"/>
    <w:rsid w:val="00BE6C13"/>
    <w:rsid w:val="00BE7FD2"/>
    <w:rsid w:val="00C02184"/>
    <w:rsid w:val="00C03BBB"/>
    <w:rsid w:val="00C0556F"/>
    <w:rsid w:val="00C068A1"/>
    <w:rsid w:val="00C079DC"/>
    <w:rsid w:val="00C12868"/>
    <w:rsid w:val="00C13D7F"/>
    <w:rsid w:val="00C1548B"/>
    <w:rsid w:val="00C27A68"/>
    <w:rsid w:val="00C317A0"/>
    <w:rsid w:val="00C319AD"/>
    <w:rsid w:val="00C34582"/>
    <w:rsid w:val="00C3462C"/>
    <w:rsid w:val="00C35148"/>
    <w:rsid w:val="00C3663F"/>
    <w:rsid w:val="00C4082C"/>
    <w:rsid w:val="00C43DC5"/>
    <w:rsid w:val="00C4470B"/>
    <w:rsid w:val="00C450E5"/>
    <w:rsid w:val="00C468D7"/>
    <w:rsid w:val="00C47770"/>
    <w:rsid w:val="00C50929"/>
    <w:rsid w:val="00C50AEA"/>
    <w:rsid w:val="00C51E7A"/>
    <w:rsid w:val="00C52E45"/>
    <w:rsid w:val="00C545FD"/>
    <w:rsid w:val="00C55E10"/>
    <w:rsid w:val="00C5621E"/>
    <w:rsid w:val="00C616FB"/>
    <w:rsid w:val="00C637BC"/>
    <w:rsid w:val="00C64821"/>
    <w:rsid w:val="00C67181"/>
    <w:rsid w:val="00C708C9"/>
    <w:rsid w:val="00C72DB4"/>
    <w:rsid w:val="00C73B10"/>
    <w:rsid w:val="00C74611"/>
    <w:rsid w:val="00C8035A"/>
    <w:rsid w:val="00C808C0"/>
    <w:rsid w:val="00C8267D"/>
    <w:rsid w:val="00C840AA"/>
    <w:rsid w:val="00C84261"/>
    <w:rsid w:val="00CA2503"/>
    <w:rsid w:val="00CA313C"/>
    <w:rsid w:val="00CA46AA"/>
    <w:rsid w:val="00CA68D8"/>
    <w:rsid w:val="00CB44BB"/>
    <w:rsid w:val="00CB6F05"/>
    <w:rsid w:val="00CC028D"/>
    <w:rsid w:val="00CC0F16"/>
    <w:rsid w:val="00CC6F54"/>
    <w:rsid w:val="00CD3404"/>
    <w:rsid w:val="00CD6D34"/>
    <w:rsid w:val="00CE05CD"/>
    <w:rsid w:val="00CE2305"/>
    <w:rsid w:val="00CE330F"/>
    <w:rsid w:val="00CE6B31"/>
    <w:rsid w:val="00CF6F05"/>
    <w:rsid w:val="00CF7ED3"/>
    <w:rsid w:val="00D004A0"/>
    <w:rsid w:val="00D0118F"/>
    <w:rsid w:val="00D01562"/>
    <w:rsid w:val="00D01730"/>
    <w:rsid w:val="00D03867"/>
    <w:rsid w:val="00D04E2C"/>
    <w:rsid w:val="00D062ED"/>
    <w:rsid w:val="00D13A7B"/>
    <w:rsid w:val="00D14537"/>
    <w:rsid w:val="00D14F68"/>
    <w:rsid w:val="00D15AE6"/>
    <w:rsid w:val="00D21839"/>
    <w:rsid w:val="00D24D78"/>
    <w:rsid w:val="00D31CC6"/>
    <w:rsid w:val="00D33F7F"/>
    <w:rsid w:val="00D3424E"/>
    <w:rsid w:val="00D34C75"/>
    <w:rsid w:val="00D4084E"/>
    <w:rsid w:val="00D43C94"/>
    <w:rsid w:val="00D45085"/>
    <w:rsid w:val="00D456D4"/>
    <w:rsid w:val="00D4601A"/>
    <w:rsid w:val="00D4602B"/>
    <w:rsid w:val="00D5124E"/>
    <w:rsid w:val="00D523A3"/>
    <w:rsid w:val="00D55909"/>
    <w:rsid w:val="00D57EF9"/>
    <w:rsid w:val="00D6684A"/>
    <w:rsid w:val="00D74EC3"/>
    <w:rsid w:val="00D755C0"/>
    <w:rsid w:val="00D8059B"/>
    <w:rsid w:val="00D83D4D"/>
    <w:rsid w:val="00D9500D"/>
    <w:rsid w:val="00D96936"/>
    <w:rsid w:val="00D9767F"/>
    <w:rsid w:val="00DA0480"/>
    <w:rsid w:val="00DA0538"/>
    <w:rsid w:val="00DB3095"/>
    <w:rsid w:val="00DB36A7"/>
    <w:rsid w:val="00DB4F9A"/>
    <w:rsid w:val="00DB6F80"/>
    <w:rsid w:val="00DC2761"/>
    <w:rsid w:val="00DC58A5"/>
    <w:rsid w:val="00DC64E6"/>
    <w:rsid w:val="00DC68F2"/>
    <w:rsid w:val="00DD4361"/>
    <w:rsid w:val="00DD5242"/>
    <w:rsid w:val="00DE1055"/>
    <w:rsid w:val="00DE2028"/>
    <w:rsid w:val="00DE39D4"/>
    <w:rsid w:val="00DE4114"/>
    <w:rsid w:val="00DE6F1A"/>
    <w:rsid w:val="00DF141A"/>
    <w:rsid w:val="00DF2E51"/>
    <w:rsid w:val="00DF54F8"/>
    <w:rsid w:val="00E03CB9"/>
    <w:rsid w:val="00E054DD"/>
    <w:rsid w:val="00E079D3"/>
    <w:rsid w:val="00E12836"/>
    <w:rsid w:val="00E14FBB"/>
    <w:rsid w:val="00E21A9A"/>
    <w:rsid w:val="00E25E8C"/>
    <w:rsid w:val="00E3402D"/>
    <w:rsid w:val="00E34458"/>
    <w:rsid w:val="00E3494F"/>
    <w:rsid w:val="00E45F7D"/>
    <w:rsid w:val="00E4612C"/>
    <w:rsid w:val="00E500B0"/>
    <w:rsid w:val="00E512AC"/>
    <w:rsid w:val="00E5418E"/>
    <w:rsid w:val="00E70605"/>
    <w:rsid w:val="00E72425"/>
    <w:rsid w:val="00E750C5"/>
    <w:rsid w:val="00E77098"/>
    <w:rsid w:val="00E773B4"/>
    <w:rsid w:val="00E84BFD"/>
    <w:rsid w:val="00E8589B"/>
    <w:rsid w:val="00E8662D"/>
    <w:rsid w:val="00E906B7"/>
    <w:rsid w:val="00E93FA9"/>
    <w:rsid w:val="00E96CBB"/>
    <w:rsid w:val="00E97C59"/>
    <w:rsid w:val="00EA3AAC"/>
    <w:rsid w:val="00EA6372"/>
    <w:rsid w:val="00EA67FF"/>
    <w:rsid w:val="00EA7361"/>
    <w:rsid w:val="00EB0320"/>
    <w:rsid w:val="00EB0EA9"/>
    <w:rsid w:val="00EB219A"/>
    <w:rsid w:val="00EB222F"/>
    <w:rsid w:val="00EC1804"/>
    <w:rsid w:val="00EC29D6"/>
    <w:rsid w:val="00EC2BB8"/>
    <w:rsid w:val="00EC6960"/>
    <w:rsid w:val="00ED1257"/>
    <w:rsid w:val="00ED45A8"/>
    <w:rsid w:val="00ED5740"/>
    <w:rsid w:val="00ED7B2D"/>
    <w:rsid w:val="00ED7BE9"/>
    <w:rsid w:val="00ED7D4E"/>
    <w:rsid w:val="00EE0204"/>
    <w:rsid w:val="00EE2778"/>
    <w:rsid w:val="00EE6AB7"/>
    <w:rsid w:val="00EF1A2C"/>
    <w:rsid w:val="00EF2498"/>
    <w:rsid w:val="00EF288F"/>
    <w:rsid w:val="00EF393D"/>
    <w:rsid w:val="00EF3FF6"/>
    <w:rsid w:val="00EF5130"/>
    <w:rsid w:val="00EF7E2C"/>
    <w:rsid w:val="00F00249"/>
    <w:rsid w:val="00F00E0F"/>
    <w:rsid w:val="00F01859"/>
    <w:rsid w:val="00F02562"/>
    <w:rsid w:val="00F12990"/>
    <w:rsid w:val="00F20956"/>
    <w:rsid w:val="00F22D29"/>
    <w:rsid w:val="00F237FC"/>
    <w:rsid w:val="00F2579F"/>
    <w:rsid w:val="00F271E4"/>
    <w:rsid w:val="00F355D5"/>
    <w:rsid w:val="00F36A5C"/>
    <w:rsid w:val="00F404FE"/>
    <w:rsid w:val="00F44124"/>
    <w:rsid w:val="00F4618D"/>
    <w:rsid w:val="00F4703C"/>
    <w:rsid w:val="00F54908"/>
    <w:rsid w:val="00F5525D"/>
    <w:rsid w:val="00F55CA0"/>
    <w:rsid w:val="00F55CD6"/>
    <w:rsid w:val="00F56990"/>
    <w:rsid w:val="00F63FEA"/>
    <w:rsid w:val="00F7130F"/>
    <w:rsid w:val="00F73962"/>
    <w:rsid w:val="00F74F98"/>
    <w:rsid w:val="00F77551"/>
    <w:rsid w:val="00F8155E"/>
    <w:rsid w:val="00F82616"/>
    <w:rsid w:val="00F849B2"/>
    <w:rsid w:val="00F863CB"/>
    <w:rsid w:val="00F90A60"/>
    <w:rsid w:val="00F90A85"/>
    <w:rsid w:val="00F91A04"/>
    <w:rsid w:val="00FA155D"/>
    <w:rsid w:val="00FA441E"/>
    <w:rsid w:val="00FA63ED"/>
    <w:rsid w:val="00FA7413"/>
    <w:rsid w:val="00FB064A"/>
    <w:rsid w:val="00FB4648"/>
    <w:rsid w:val="00FB5781"/>
    <w:rsid w:val="00FB7616"/>
    <w:rsid w:val="00FC7887"/>
    <w:rsid w:val="00FC7FBE"/>
    <w:rsid w:val="00FD073B"/>
    <w:rsid w:val="00FD4561"/>
    <w:rsid w:val="00FD485D"/>
    <w:rsid w:val="00FD536E"/>
    <w:rsid w:val="00FE0F66"/>
    <w:rsid w:val="00FE6386"/>
    <w:rsid w:val="00FF0A54"/>
    <w:rsid w:val="00FF38DC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71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yStyleArticles"/>
    <w:qFormat/>
    <w:rsid w:val="0097224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836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501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CA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0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C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66"/>
    <w:rPr>
      <w:rFonts w:ascii="Times New Roman" w:hAnsi="Times New Roman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45E7B"/>
    <w:pPr>
      <w:tabs>
        <w:tab w:val="left" w:pos="260"/>
      </w:tabs>
      <w:spacing w:after="240"/>
      <w:ind w:left="264" w:hanging="264"/>
    </w:pPr>
  </w:style>
  <w:style w:type="table" w:customStyle="1" w:styleId="PlainTable2">
    <w:name w:val="Plain Table 2"/>
    <w:basedOn w:val="TableNormal"/>
    <w:uiPriority w:val="42"/>
    <w:rsid w:val="009E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396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8D3567"/>
  </w:style>
  <w:style w:type="paragraph" w:styleId="ListParagraph">
    <w:name w:val="List Paragraph"/>
    <w:basedOn w:val="Normal"/>
    <w:uiPriority w:val="34"/>
    <w:qFormat/>
    <w:rsid w:val="00E25E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4470B"/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470B"/>
    <w:rPr>
      <w:rFonts w:ascii="Calibri" w:hAnsi="Calibri"/>
      <w:sz w:val="22"/>
      <w:szCs w:val="21"/>
      <w:lang w:val="en-GB"/>
    </w:rPr>
  </w:style>
  <w:style w:type="character" w:styleId="Hyperlink">
    <w:name w:val="Hyperlink"/>
    <w:uiPriority w:val="99"/>
    <w:unhideWhenUsed/>
    <w:rsid w:val="00821776"/>
    <w:rPr>
      <w:color w:val="0000FF"/>
      <w:u w:val="single"/>
    </w:rPr>
  </w:style>
  <w:style w:type="paragraph" w:styleId="Revision">
    <w:name w:val="Revision"/>
    <w:hidden/>
    <w:uiPriority w:val="99"/>
    <w:semiHidden/>
    <w:rsid w:val="00095E0E"/>
    <w:rPr>
      <w:rFonts w:ascii="Times New Roman" w:eastAsia="Times New Roman" w:hAnsi="Times New Roman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yStyleArticles"/>
    <w:qFormat/>
    <w:rsid w:val="0097224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836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501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CA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0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C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66"/>
    <w:rPr>
      <w:rFonts w:ascii="Times New Roman" w:hAnsi="Times New Roman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45E7B"/>
    <w:pPr>
      <w:tabs>
        <w:tab w:val="left" w:pos="260"/>
      </w:tabs>
      <w:spacing w:after="240"/>
      <w:ind w:left="264" w:hanging="264"/>
    </w:pPr>
  </w:style>
  <w:style w:type="table" w:customStyle="1" w:styleId="PlainTable2">
    <w:name w:val="Plain Table 2"/>
    <w:basedOn w:val="TableNormal"/>
    <w:uiPriority w:val="42"/>
    <w:rsid w:val="009E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396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8D3567"/>
  </w:style>
  <w:style w:type="paragraph" w:styleId="ListParagraph">
    <w:name w:val="List Paragraph"/>
    <w:basedOn w:val="Normal"/>
    <w:uiPriority w:val="34"/>
    <w:qFormat/>
    <w:rsid w:val="00E25E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4470B"/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470B"/>
    <w:rPr>
      <w:rFonts w:ascii="Calibri" w:hAnsi="Calibri"/>
      <w:sz w:val="22"/>
      <w:szCs w:val="21"/>
      <w:lang w:val="en-GB"/>
    </w:rPr>
  </w:style>
  <w:style w:type="character" w:styleId="Hyperlink">
    <w:name w:val="Hyperlink"/>
    <w:uiPriority w:val="99"/>
    <w:unhideWhenUsed/>
    <w:rsid w:val="00821776"/>
    <w:rPr>
      <w:color w:val="0000FF"/>
      <w:u w:val="single"/>
    </w:rPr>
  </w:style>
  <w:style w:type="paragraph" w:styleId="Revision">
    <w:name w:val="Revision"/>
    <w:hidden/>
    <w:uiPriority w:val="99"/>
    <w:semiHidden/>
    <w:rsid w:val="00095E0E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DDFA9-0AA2-4EBC-869C-6597B7D3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Orri</dc:creator>
  <cp:keywords/>
  <dc:description/>
  <cp:lastModifiedBy>Suresh D.</cp:lastModifiedBy>
  <cp:revision>3</cp:revision>
  <cp:lastPrinted>2021-01-08T13:25:00Z</cp:lastPrinted>
  <dcterms:created xsi:type="dcterms:W3CDTF">2021-09-01T08:29:00Z</dcterms:created>
  <dcterms:modified xsi:type="dcterms:W3CDTF">2021-09-04T01:06:00Z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zotero-version="5.0.97-beta.24+833ee1051"&gt;&lt;session id="Uf5E9tT2"/&gt;&lt;style id="http://www.zotero.org/styles/the-lancet"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