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CB352" w14:textId="3A678C8A" w:rsidR="001C0ED0" w:rsidRPr="0050345F" w:rsidRDefault="001C0ED0" w:rsidP="001C0ED0">
      <w:pPr>
        <w:rPr>
          <w:rFonts w:ascii="Arial" w:hAnsi="Arial" w:cs="Arial"/>
          <w:b/>
        </w:rPr>
      </w:pPr>
      <w:r w:rsidRPr="0050345F">
        <w:rPr>
          <w:rFonts w:ascii="Arial" w:hAnsi="Arial" w:cs="Arial"/>
          <w:b/>
        </w:rPr>
        <w:t>Optimal dose of aripiprazole for augmentation therapy of antidepressant-refractory depression: A systematic review and dose-effect meta-analysis</w:t>
      </w:r>
    </w:p>
    <w:p w14:paraId="57484214" w14:textId="77777777" w:rsidR="001C0ED0" w:rsidRPr="0050345F" w:rsidRDefault="001C0ED0" w:rsidP="001C0ED0">
      <w:pPr>
        <w:rPr>
          <w:rFonts w:ascii="Arial" w:hAnsi="Arial" w:cs="Arial"/>
        </w:rPr>
      </w:pPr>
    </w:p>
    <w:p w14:paraId="50727A7A" w14:textId="09FD5A6E" w:rsidR="00FF3A70" w:rsidRPr="0050345F" w:rsidRDefault="00FF3A70" w:rsidP="00FF3A70">
      <w:pPr>
        <w:rPr>
          <w:rFonts w:ascii="Arial" w:hAnsi="Arial" w:cs="Arial"/>
        </w:rPr>
      </w:pPr>
      <w:r w:rsidRPr="0050345F">
        <w:rPr>
          <w:rFonts w:ascii="Arial" w:hAnsi="Arial" w:cs="Arial"/>
        </w:rPr>
        <w:t>Yuki Furukawa, Tasnim Hamza, Andrea Cipriani, Toshi A Furukawa, Georgia Salanti, Edoardo G Ostinelli</w:t>
      </w:r>
    </w:p>
    <w:p w14:paraId="0B58DB34" w14:textId="77777777" w:rsidR="00FF3A70" w:rsidRPr="0050345F" w:rsidRDefault="00FF3A70" w:rsidP="001C0ED0">
      <w:pPr>
        <w:rPr>
          <w:rFonts w:ascii="Arial" w:hAnsi="Arial" w:cs="Arial"/>
        </w:rPr>
      </w:pPr>
    </w:p>
    <w:p w14:paraId="556AFA4F" w14:textId="0F22CE30" w:rsidR="00EA6A91" w:rsidRPr="0050345F" w:rsidRDefault="00EA6A91" w:rsidP="00EA6A91">
      <w:pPr>
        <w:rPr>
          <w:rFonts w:ascii="Arial" w:hAnsi="Arial" w:cs="Arial"/>
        </w:rPr>
      </w:pPr>
      <w:r w:rsidRPr="0050345F">
        <w:rPr>
          <w:rFonts w:ascii="Arial" w:hAnsi="Arial" w:cs="Arial"/>
        </w:rPr>
        <w:t>1. PRISMA-P table</w:t>
      </w:r>
    </w:p>
    <w:p w14:paraId="04118F81" w14:textId="21A54B52" w:rsidR="00EA6A91" w:rsidRPr="0050345F" w:rsidRDefault="00EA6A91" w:rsidP="00EA6A91">
      <w:pPr>
        <w:rPr>
          <w:rFonts w:ascii="Arial" w:hAnsi="Arial" w:cs="Arial"/>
        </w:rPr>
      </w:pPr>
      <w:r w:rsidRPr="0050345F">
        <w:rPr>
          <w:rFonts w:ascii="Arial" w:hAnsi="Arial" w:cs="Arial"/>
        </w:rPr>
        <w:t xml:space="preserve">2. Search strings used for </w:t>
      </w:r>
      <w:r w:rsidR="00737F4F" w:rsidRPr="0050345F">
        <w:rPr>
          <w:rFonts w:ascii="Arial" w:hAnsi="Arial" w:cs="Arial"/>
          <w:color w:val="000000" w:themeColor="text1"/>
        </w:rPr>
        <w:t>Cochrane CENTRAL and PubMed</w:t>
      </w:r>
      <w:r w:rsidRPr="0050345F">
        <w:rPr>
          <w:rFonts w:ascii="Arial" w:hAnsi="Arial" w:cs="Arial"/>
        </w:rPr>
        <w:t>.</w:t>
      </w:r>
    </w:p>
    <w:p w14:paraId="117F7C50" w14:textId="4AB48FC4" w:rsidR="00EA6A91" w:rsidRPr="0050345F" w:rsidRDefault="00284CA2" w:rsidP="00EA6A91">
      <w:pPr>
        <w:rPr>
          <w:rFonts w:ascii="Arial" w:hAnsi="Arial" w:cs="Arial"/>
        </w:rPr>
      </w:pPr>
      <w:r w:rsidRPr="0050345F">
        <w:rPr>
          <w:rFonts w:ascii="Arial" w:hAnsi="Arial" w:cs="Arial"/>
        </w:rPr>
        <w:t>3</w:t>
      </w:r>
      <w:r w:rsidR="00EA6A91" w:rsidRPr="0050345F">
        <w:rPr>
          <w:rFonts w:ascii="Arial" w:hAnsi="Arial" w:cs="Arial"/>
        </w:rPr>
        <w:t>. List of all included papers</w:t>
      </w:r>
    </w:p>
    <w:p w14:paraId="62D0CB5F" w14:textId="6353AEB4" w:rsidR="00EA6A91" w:rsidRPr="0050345F" w:rsidRDefault="00284CA2" w:rsidP="00EA6A91">
      <w:pPr>
        <w:rPr>
          <w:rFonts w:ascii="Arial" w:hAnsi="Arial" w:cs="Arial"/>
        </w:rPr>
      </w:pPr>
      <w:r w:rsidRPr="0050345F">
        <w:rPr>
          <w:rFonts w:ascii="Arial" w:hAnsi="Arial" w:cs="Arial"/>
        </w:rPr>
        <w:t>4</w:t>
      </w:r>
      <w:r w:rsidR="00EA6A91" w:rsidRPr="0050345F">
        <w:rPr>
          <w:rFonts w:ascii="Arial" w:hAnsi="Arial" w:cs="Arial"/>
        </w:rPr>
        <w:t>. Additional sensitivity analyses</w:t>
      </w:r>
      <w:r w:rsidRPr="0050345F">
        <w:rPr>
          <w:rFonts w:ascii="Arial" w:hAnsi="Arial" w:cs="Arial"/>
        </w:rPr>
        <w:t xml:space="preserve"> (eFigure4. Sensitivity analyses)</w:t>
      </w:r>
    </w:p>
    <w:p w14:paraId="7F16F232" w14:textId="54B5EF8E" w:rsidR="00EA6A91" w:rsidRPr="0050345F" w:rsidRDefault="00284CA2" w:rsidP="00284CA2">
      <w:pPr>
        <w:rPr>
          <w:rFonts w:ascii="Arial" w:hAnsi="Arial" w:cs="Arial"/>
        </w:rPr>
      </w:pPr>
      <w:r w:rsidRPr="0050345F">
        <w:rPr>
          <w:rFonts w:ascii="Arial" w:hAnsi="Arial" w:cs="Arial"/>
        </w:rPr>
        <w:t>5</w:t>
      </w:r>
      <w:r w:rsidR="00EA6A91" w:rsidRPr="0050345F">
        <w:rPr>
          <w:rFonts w:ascii="Arial" w:hAnsi="Arial" w:cs="Arial"/>
        </w:rPr>
        <w:t>. Publication bias: a funnel plot and additional analyses undertaken where necessary</w:t>
      </w:r>
      <w:r w:rsidRPr="0050345F">
        <w:rPr>
          <w:rFonts w:ascii="Arial" w:hAnsi="Arial" w:cs="Arial"/>
        </w:rPr>
        <w:t xml:space="preserve"> (eFigure2. Variance partition coefficient for efficacy; eFigure3. Contour-enhanced funnel plot)</w:t>
      </w:r>
    </w:p>
    <w:p w14:paraId="550380DB" w14:textId="2CCD59B7" w:rsidR="00FF3A70" w:rsidRPr="0050345F" w:rsidRDefault="00284CA2" w:rsidP="00EA6A91">
      <w:pPr>
        <w:rPr>
          <w:rFonts w:ascii="Arial" w:hAnsi="Arial" w:cs="Arial"/>
          <w:color w:val="000000" w:themeColor="text1"/>
        </w:rPr>
      </w:pPr>
      <w:r w:rsidRPr="0050345F">
        <w:rPr>
          <w:rFonts w:ascii="Arial" w:hAnsi="Arial" w:cs="Arial"/>
        </w:rPr>
        <w:t>6</w:t>
      </w:r>
      <w:r w:rsidR="00EA6A91" w:rsidRPr="0050345F">
        <w:rPr>
          <w:rFonts w:ascii="Arial" w:hAnsi="Arial" w:cs="Arial"/>
        </w:rPr>
        <w:t>. Quality assessment</w:t>
      </w:r>
      <w:r w:rsidRPr="0050345F">
        <w:rPr>
          <w:rFonts w:ascii="Arial" w:hAnsi="Arial" w:cs="Arial"/>
        </w:rPr>
        <w:t xml:space="preserve"> (eFigure1. The revised Cochrane risk of bias tool summary</w:t>
      </w:r>
      <w:r w:rsidR="00A150F8" w:rsidRPr="0050345F">
        <w:rPr>
          <w:rFonts w:ascii="Arial" w:hAnsi="Arial" w:cs="Arial"/>
        </w:rPr>
        <w:t xml:space="preserve">, </w:t>
      </w:r>
      <w:r w:rsidR="00A150F8" w:rsidRPr="0050345F">
        <w:rPr>
          <w:rFonts w:ascii="Arial" w:hAnsi="Arial" w:cs="Arial"/>
          <w:color w:val="000000" w:themeColor="text1"/>
        </w:rPr>
        <w:t xml:space="preserve">eFigure5 GRADE </w:t>
      </w:r>
      <w:bookmarkStart w:id="0" w:name="_GoBack"/>
      <w:bookmarkEnd w:id="0"/>
      <w:r w:rsidR="00A150F8" w:rsidRPr="0050345F">
        <w:rPr>
          <w:rFonts w:ascii="Arial" w:hAnsi="Arial" w:cs="Arial"/>
          <w:color w:val="000000" w:themeColor="text1"/>
        </w:rPr>
        <w:t>evidence profile table</w:t>
      </w:r>
      <w:r w:rsidRPr="0050345F">
        <w:rPr>
          <w:rFonts w:ascii="Arial" w:hAnsi="Arial" w:cs="Arial"/>
          <w:color w:val="000000" w:themeColor="text1"/>
        </w:rPr>
        <w:t>)</w:t>
      </w:r>
    </w:p>
    <w:p w14:paraId="093D5A10" w14:textId="094D9FC1" w:rsidR="00284CA2" w:rsidRPr="0050345F" w:rsidRDefault="00284CA2" w:rsidP="00EA6A91">
      <w:pPr>
        <w:rPr>
          <w:rFonts w:ascii="Arial" w:hAnsi="Arial" w:cs="Arial"/>
          <w:color w:val="000000" w:themeColor="text1"/>
        </w:rPr>
      </w:pPr>
      <w:r w:rsidRPr="0050345F">
        <w:rPr>
          <w:rFonts w:ascii="Arial" w:hAnsi="Arial" w:cs="Arial"/>
          <w:color w:val="000000" w:themeColor="text1"/>
        </w:rPr>
        <w:t>7. Others (eTable1. List of excluded studies)</w:t>
      </w:r>
    </w:p>
    <w:p w14:paraId="027336CA" w14:textId="77777777" w:rsidR="00FF3A70" w:rsidRPr="0050345F" w:rsidRDefault="00FF3A70" w:rsidP="001C0ED0">
      <w:pPr>
        <w:rPr>
          <w:rFonts w:ascii="Arial" w:hAnsi="Arial" w:cs="Arial"/>
          <w:color w:val="000000" w:themeColor="text1"/>
        </w:rPr>
      </w:pPr>
    </w:p>
    <w:p w14:paraId="15A5ABF2" w14:textId="7B923FBA" w:rsidR="001C0ED0" w:rsidRPr="0050345F" w:rsidRDefault="00284CA2" w:rsidP="001C0ED0">
      <w:pPr>
        <w:rPr>
          <w:rFonts w:ascii="Arial" w:hAnsi="Arial" w:cs="Arial"/>
          <w:color w:val="000000" w:themeColor="text1"/>
        </w:rPr>
      </w:pPr>
      <w:r w:rsidRPr="0050345F">
        <w:rPr>
          <w:rFonts w:ascii="Arial" w:hAnsi="Arial" w:cs="Arial"/>
          <w:color w:val="000000" w:themeColor="text1"/>
        </w:rPr>
        <w:t>e</w:t>
      </w:r>
      <w:r w:rsidR="001C0ED0" w:rsidRPr="0050345F">
        <w:rPr>
          <w:rFonts w:ascii="Arial" w:hAnsi="Arial" w:cs="Arial"/>
          <w:color w:val="000000" w:themeColor="text1"/>
        </w:rPr>
        <w:t>Appendix</w:t>
      </w:r>
    </w:p>
    <w:p w14:paraId="0FC2332A" w14:textId="1D347021" w:rsidR="001C0ED0" w:rsidRPr="0050345F" w:rsidRDefault="001C0ED0" w:rsidP="001C0ED0">
      <w:pPr>
        <w:ind w:leftChars="100" w:left="240"/>
        <w:rPr>
          <w:rFonts w:ascii="Arial" w:hAnsi="Arial" w:cs="Arial"/>
          <w:color w:val="000000" w:themeColor="text1"/>
        </w:rPr>
      </w:pPr>
      <w:r w:rsidRPr="0050345F">
        <w:rPr>
          <w:rFonts w:ascii="Arial" w:hAnsi="Arial" w:cs="Arial"/>
          <w:color w:val="000000" w:themeColor="text1"/>
        </w:rPr>
        <w:t xml:space="preserve">eTable1. </w:t>
      </w:r>
      <w:r w:rsidR="0017236B" w:rsidRPr="0050345F">
        <w:rPr>
          <w:rFonts w:ascii="Arial" w:hAnsi="Arial" w:cs="Arial"/>
          <w:color w:val="000000" w:themeColor="text1"/>
        </w:rPr>
        <w:t>List</w:t>
      </w:r>
      <w:r w:rsidRPr="0050345F">
        <w:rPr>
          <w:rFonts w:ascii="Arial" w:hAnsi="Arial" w:cs="Arial"/>
          <w:color w:val="000000" w:themeColor="text1"/>
        </w:rPr>
        <w:t xml:space="preserve"> of excluded studies</w:t>
      </w:r>
    </w:p>
    <w:p w14:paraId="28319A57" w14:textId="77777777" w:rsidR="001C0ED0" w:rsidRPr="0050345F" w:rsidRDefault="001C0ED0" w:rsidP="001C0ED0">
      <w:pPr>
        <w:ind w:leftChars="100" w:left="240"/>
        <w:rPr>
          <w:rFonts w:ascii="Arial" w:hAnsi="Arial" w:cs="Arial"/>
          <w:color w:val="000000" w:themeColor="text1"/>
        </w:rPr>
      </w:pPr>
      <w:r w:rsidRPr="0050345F">
        <w:rPr>
          <w:rFonts w:ascii="Arial" w:hAnsi="Arial" w:cs="Arial"/>
          <w:color w:val="000000" w:themeColor="text1"/>
        </w:rPr>
        <w:t>eFigure1. The revised Cochrane risk of bias tool summary</w:t>
      </w:r>
    </w:p>
    <w:p w14:paraId="11FACB68" w14:textId="77777777" w:rsidR="001C0ED0" w:rsidRPr="0050345F" w:rsidRDefault="001C0ED0" w:rsidP="001C0ED0">
      <w:pPr>
        <w:ind w:leftChars="100" w:left="240"/>
        <w:rPr>
          <w:rFonts w:ascii="Arial" w:hAnsi="Arial" w:cs="Arial"/>
          <w:color w:val="000000" w:themeColor="text1"/>
        </w:rPr>
      </w:pPr>
      <w:r w:rsidRPr="0050345F">
        <w:rPr>
          <w:rFonts w:ascii="Arial" w:hAnsi="Arial" w:cs="Arial"/>
          <w:color w:val="000000" w:themeColor="text1"/>
        </w:rPr>
        <w:t>eFigure2. Variance partition coefficient for efficacy</w:t>
      </w:r>
    </w:p>
    <w:p w14:paraId="5D5A196A" w14:textId="77777777" w:rsidR="001C0ED0" w:rsidRPr="0050345F" w:rsidRDefault="001C0ED0" w:rsidP="001C0ED0">
      <w:pPr>
        <w:ind w:leftChars="100" w:left="240"/>
        <w:rPr>
          <w:rFonts w:ascii="Arial" w:hAnsi="Arial" w:cs="Arial"/>
          <w:color w:val="000000" w:themeColor="text1"/>
        </w:rPr>
      </w:pPr>
      <w:r w:rsidRPr="0050345F">
        <w:rPr>
          <w:rFonts w:ascii="Arial" w:hAnsi="Arial" w:cs="Arial"/>
          <w:color w:val="000000" w:themeColor="text1"/>
        </w:rPr>
        <w:t xml:space="preserve">eFigure3. Contour-enhanced funnel plot </w:t>
      </w:r>
    </w:p>
    <w:p w14:paraId="0F47BDCF" w14:textId="4614044D" w:rsidR="00736A44" w:rsidRPr="0050345F" w:rsidRDefault="008A4FDE" w:rsidP="00736A44">
      <w:pPr>
        <w:ind w:leftChars="100" w:left="240"/>
        <w:rPr>
          <w:rFonts w:ascii="Arial" w:hAnsi="Arial" w:cs="Arial"/>
          <w:color w:val="000000" w:themeColor="text1"/>
        </w:rPr>
      </w:pPr>
      <w:r w:rsidRPr="0050345F">
        <w:rPr>
          <w:rFonts w:ascii="Arial" w:hAnsi="Arial" w:cs="Arial"/>
          <w:color w:val="000000" w:themeColor="text1"/>
        </w:rPr>
        <w:t>eFigure4. Sensitivity analyses</w:t>
      </w:r>
    </w:p>
    <w:p w14:paraId="08F5E36E" w14:textId="33747FE0" w:rsidR="00A150F8" w:rsidRPr="0050345F" w:rsidRDefault="00A150F8" w:rsidP="00736A44">
      <w:pPr>
        <w:ind w:leftChars="100" w:left="240"/>
        <w:rPr>
          <w:rFonts w:ascii="Arial" w:hAnsi="Arial" w:cs="Arial"/>
          <w:color w:val="000000" w:themeColor="text1"/>
        </w:rPr>
      </w:pPr>
      <w:r w:rsidRPr="0050345F">
        <w:rPr>
          <w:rFonts w:ascii="Arial" w:hAnsi="Arial" w:cs="Arial"/>
          <w:color w:val="000000" w:themeColor="text1"/>
        </w:rPr>
        <w:t>eFigure5. GRADE evidence profile table</w:t>
      </w:r>
    </w:p>
    <w:p w14:paraId="7300BB51" w14:textId="77777777" w:rsidR="00736A44" w:rsidRPr="0050345F" w:rsidRDefault="00736A44" w:rsidP="00736A44">
      <w:pPr>
        <w:ind w:leftChars="100" w:left="240"/>
        <w:rPr>
          <w:rFonts w:ascii="Arial" w:hAnsi="Arial" w:cs="Arial"/>
          <w:b/>
        </w:rPr>
      </w:pPr>
    </w:p>
    <w:p w14:paraId="5677DBB0" w14:textId="5EBF6E05" w:rsidR="00EA6A91" w:rsidRPr="0050345F" w:rsidRDefault="00736A44" w:rsidP="00EA6A91">
      <w:pPr>
        <w:rPr>
          <w:rFonts w:ascii="Arial" w:hAnsi="Arial" w:cs="Arial"/>
          <w:b/>
        </w:rPr>
      </w:pPr>
      <w:r w:rsidRPr="0050345F">
        <w:rPr>
          <w:rFonts w:ascii="Arial" w:hAnsi="Arial" w:cs="Arial"/>
          <w:b/>
        </w:rPr>
        <w:br w:type="page"/>
      </w:r>
      <w:r w:rsidR="00EA6A91" w:rsidRPr="0050345F">
        <w:rPr>
          <w:rFonts w:ascii="Arial" w:hAnsi="Arial" w:cs="Arial"/>
          <w:b/>
        </w:rPr>
        <w:lastRenderedPageBreak/>
        <w:t xml:space="preserve">1. PRISMA-P </w:t>
      </w:r>
      <w:r w:rsidR="00047122" w:rsidRPr="0050345F">
        <w:rPr>
          <w:rFonts w:ascii="Arial" w:hAnsi="Arial" w:cs="Arial"/>
          <w:b/>
        </w:rPr>
        <w:t xml:space="preserve">2015 checklist </w:t>
      </w:r>
      <w:r w:rsidR="00EA6A91" w:rsidRPr="0050345F">
        <w:rPr>
          <w:rFonts w:ascii="Arial" w:hAnsi="Arial" w:cs="Arial"/>
          <w:b/>
        </w:rPr>
        <w:t>table</w:t>
      </w:r>
    </w:p>
    <w:tbl>
      <w:tblPr>
        <w:tblW w:w="5000" w:type="pct"/>
        <w:tblBorders>
          <w:top w:val="single" w:sz="4" w:space="0" w:color="auto"/>
          <w:bottom w:val="single" w:sz="4" w:space="0" w:color="auto"/>
        </w:tblBorders>
        <w:tblCellMar>
          <w:top w:w="17" w:type="dxa"/>
          <w:left w:w="17" w:type="dxa"/>
          <w:bottom w:w="17" w:type="dxa"/>
          <w:right w:w="17" w:type="dxa"/>
        </w:tblCellMar>
        <w:tblLook w:val="0400" w:firstRow="0" w:lastRow="0" w:firstColumn="0" w:lastColumn="0" w:noHBand="0" w:noVBand="1"/>
      </w:tblPr>
      <w:tblGrid>
        <w:gridCol w:w="1497"/>
        <w:gridCol w:w="446"/>
        <w:gridCol w:w="3850"/>
        <w:gridCol w:w="3947"/>
      </w:tblGrid>
      <w:tr w:rsidR="00047122" w:rsidRPr="0050345F" w14:paraId="588287B1" w14:textId="77777777" w:rsidTr="002B6B45">
        <w:tc>
          <w:tcPr>
            <w:tcW w:w="606" w:type="pct"/>
            <w:tcBorders>
              <w:top w:val="single" w:sz="4" w:space="0" w:color="auto"/>
              <w:bottom w:val="single" w:sz="12" w:space="0" w:color="auto"/>
            </w:tcBorders>
          </w:tcPr>
          <w:p w14:paraId="099D5783" w14:textId="77777777" w:rsidR="00047122" w:rsidRPr="0050345F" w:rsidRDefault="00047122" w:rsidP="002B6B45">
            <w:pPr>
              <w:pStyle w:val="TableHeader"/>
              <w:spacing w:after="8"/>
              <w:rPr>
                <w:rFonts w:ascii="Arial" w:hAnsi="Arial" w:cs="Arial"/>
                <w:sz w:val="20"/>
              </w:rPr>
            </w:pPr>
            <w:r w:rsidRPr="0050345F">
              <w:rPr>
                <w:rFonts w:ascii="Arial" w:hAnsi="Arial" w:cs="Arial"/>
                <w:sz w:val="20"/>
              </w:rPr>
              <w:t>Section and topic</w:t>
            </w:r>
          </w:p>
        </w:tc>
        <w:tc>
          <w:tcPr>
            <w:tcW w:w="234" w:type="pct"/>
            <w:tcBorders>
              <w:top w:val="single" w:sz="4" w:space="0" w:color="auto"/>
              <w:bottom w:val="single" w:sz="12" w:space="0" w:color="auto"/>
            </w:tcBorders>
          </w:tcPr>
          <w:p w14:paraId="7432FD53" w14:textId="77777777" w:rsidR="00047122" w:rsidRPr="0050345F" w:rsidRDefault="00047122" w:rsidP="002B6B45">
            <w:pPr>
              <w:pStyle w:val="TableHeader"/>
              <w:spacing w:after="8"/>
              <w:jc w:val="center"/>
              <w:rPr>
                <w:rFonts w:ascii="Arial" w:hAnsi="Arial" w:cs="Arial"/>
                <w:sz w:val="20"/>
              </w:rPr>
            </w:pPr>
            <w:r w:rsidRPr="0050345F">
              <w:rPr>
                <w:rFonts w:ascii="Arial" w:hAnsi="Arial" w:cs="Arial"/>
                <w:sz w:val="20"/>
              </w:rPr>
              <w:t>Item No</w:t>
            </w:r>
          </w:p>
        </w:tc>
        <w:tc>
          <w:tcPr>
            <w:tcW w:w="2080" w:type="pct"/>
            <w:tcBorders>
              <w:top w:val="single" w:sz="4" w:space="0" w:color="auto"/>
              <w:bottom w:val="single" w:sz="12" w:space="0" w:color="auto"/>
            </w:tcBorders>
          </w:tcPr>
          <w:p w14:paraId="632D56F5" w14:textId="77777777" w:rsidR="00047122" w:rsidRPr="0050345F" w:rsidRDefault="00047122" w:rsidP="002B6B45">
            <w:pPr>
              <w:pStyle w:val="TableHeader"/>
              <w:spacing w:after="8"/>
              <w:jc w:val="center"/>
              <w:rPr>
                <w:rFonts w:ascii="Arial" w:hAnsi="Arial" w:cs="Arial"/>
                <w:sz w:val="20"/>
              </w:rPr>
            </w:pPr>
            <w:r w:rsidRPr="0050345F">
              <w:rPr>
                <w:rFonts w:ascii="Arial" w:hAnsi="Arial" w:cs="Arial"/>
                <w:sz w:val="20"/>
              </w:rPr>
              <w:t>Checklist item</w:t>
            </w:r>
          </w:p>
        </w:tc>
        <w:tc>
          <w:tcPr>
            <w:tcW w:w="2080" w:type="pct"/>
            <w:tcBorders>
              <w:top w:val="single" w:sz="4" w:space="0" w:color="auto"/>
              <w:bottom w:val="single" w:sz="12" w:space="0" w:color="auto"/>
            </w:tcBorders>
          </w:tcPr>
          <w:p w14:paraId="5D6DCDF1" w14:textId="3D7B9A48" w:rsidR="00047122" w:rsidRPr="0050345F" w:rsidRDefault="00047122" w:rsidP="002B6B45">
            <w:pPr>
              <w:pStyle w:val="TableHeader"/>
              <w:spacing w:after="8"/>
              <w:jc w:val="center"/>
              <w:rPr>
                <w:rFonts w:ascii="Arial" w:hAnsi="Arial" w:cs="Arial"/>
                <w:sz w:val="20"/>
              </w:rPr>
            </w:pPr>
            <w:r w:rsidRPr="0050345F">
              <w:rPr>
                <w:rFonts w:ascii="Arial" w:hAnsi="Arial" w:cs="Arial"/>
                <w:sz w:val="20"/>
              </w:rPr>
              <w:t>In the protocol</w:t>
            </w:r>
          </w:p>
        </w:tc>
      </w:tr>
      <w:tr w:rsidR="00047122" w:rsidRPr="0050345F" w14:paraId="4CA8FC9D" w14:textId="77777777" w:rsidTr="002B6B45">
        <w:trPr>
          <w:trHeight w:val="253"/>
        </w:trPr>
        <w:tc>
          <w:tcPr>
            <w:tcW w:w="2920" w:type="pct"/>
            <w:gridSpan w:val="3"/>
            <w:tcBorders>
              <w:top w:val="single" w:sz="4" w:space="0" w:color="auto"/>
              <w:bottom w:val="single" w:sz="4" w:space="0" w:color="auto"/>
            </w:tcBorders>
          </w:tcPr>
          <w:p w14:paraId="229C75C8" w14:textId="77777777" w:rsidR="00047122" w:rsidRPr="0050345F" w:rsidRDefault="00047122" w:rsidP="002B6B45">
            <w:pPr>
              <w:pStyle w:val="TableSubHead"/>
              <w:spacing w:after="8"/>
              <w:rPr>
                <w:rFonts w:ascii="Arial" w:hAnsi="Arial" w:cs="Arial"/>
                <w:sz w:val="20"/>
              </w:rPr>
            </w:pPr>
            <w:r w:rsidRPr="0050345F">
              <w:rPr>
                <w:rFonts w:ascii="Arial" w:hAnsi="Arial" w:cs="Arial"/>
                <w:sz w:val="20"/>
              </w:rPr>
              <w:t>ADMINISTRATIVE INFORMATION</w:t>
            </w:r>
          </w:p>
        </w:tc>
        <w:tc>
          <w:tcPr>
            <w:tcW w:w="2080" w:type="pct"/>
            <w:tcBorders>
              <w:top w:val="single" w:sz="4" w:space="0" w:color="auto"/>
              <w:bottom w:val="single" w:sz="4" w:space="0" w:color="auto"/>
            </w:tcBorders>
          </w:tcPr>
          <w:p w14:paraId="675F4362" w14:textId="77777777" w:rsidR="00047122" w:rsidRPr="0050345F" w:rsidRDefault="00047122" w:rsidP="002B6B45">
            <w:pPr>
              <w:pStyle w:val="TableSubHead"/>
              <w:spacing w:after="8"/>
              <w:rPr>
                <w:rFonts w:ascii="Arial" w:hAnsi="Arial" w:cs="Arial"/>
                <w:sz w:val="20"/>
              </w:rPr>
            </w:pPr>
          </w:p>
        </w:tc>
      </w:tr>
      <w:tr w:rsidR="00047122" w:rsidRPr="0050345F" w14:paraId="6E86FE70" w14:textId="77777777" w:rsidTr="002B6B45">
        <w:tc>
          <w:tcPr>
            <w:tcW w:w="606" w:type="pct"/>
            <w:tcBorders>
              <w:top w:val="single" w:sz="12" w:space="0" w:color="auto"/>
              <w:bottom w:val="nil"/>
            </w:tcBorders>
          </w:tcPr>
          <w:p w14:paraId="09EFF01A" w14:textId="77777777" w:rsidR="00047122" w:rsidRPr="0050345F" w:rsidRDefault="00047122" w:rsidP="002B6B45">
            <w:pPr>
              <w:spacing w:after="8"/>
              <w:rPr>
                <w:rFonts w:ascii="Arial" w:hAnsi="Arial" w:cs="Arial"/>
                <w:sz w:val="20"/>
              </w:rPr>
            </w:pPr>
            <w:r w:rsidRPr="0050345F">
              <w:rPr>
                <w:rFonts w:ascii="Arial" w:hAnsi="Arial" w:cs="Arial"/>
                <w:sz w:val="20"/>
              </w:rPr>
              <w:t>Title:</w:t>
            </w:r>
          </w:p>
        </w:tc>
        <w:tc>
          <w:tcPr>
            <w:tcW w:w="234" w:type="pct"/>
            <w:tcBorders>
              <w:top w:val="single" w:sz="12" w:space="0" w:color="auto"/>
              <w:bottom w:val="nil"/>
            </w:tcBorders>
          </w:tcPr>
          <w:p w14:paraId="54DAB97C" w14:textId="77777777" w:rsidR="00047122" w:rsidRPr="0050345F" w:rsidRDefault="00047122" w:rsidP="002B6B45">
            <w:pPr>
              <w:spacing w:after="8"/>
              <w:jc w:val="center"/>
              <w:rPr>
                <w:rFonts w:ascii="Arial" w:hAnsi="Arial" w:cs="Arial"/>
                <w:sz w:val="20"/>
              </w:rPr>
            </w:pPr>
          </w:p>
        </w:tc>
        <w:tc>
          <w:tcPr>
            <w:tcW w:w="2080" w:type="pct"/>
            <w:tcBorders>
              <w:top w:val="single" w:sz="12" w:space="0" w:color="auto"/>
              <w:bottom w:val="nil"/>
            </w:tcBorders>
          </w:tcPr>
          <w:p w14:paraId="660AB20C" w14:textId="77777777" w:rsidR="00047122" w:rsidRPr="0050345F" w:rsidRDefault="00047122" w:rsidP="002B6B45">
            <w:pPr>
              <w:spacing w:after="8"/>
              <w:rPr>
                <w:rFonts w:ascii="Arial" w:hAnsi="Arial" w:cs="Arial"/>
                <w:sz w:val="20"/>
              </w:rPr>
            </w:pPr>
          </w:p>
        </w:tc>
        <w:tc>
          <w:tcPr>
            <w:tcW w:w="2080" w:type="pct"/>
            <w:tcBorders>
              <w:top w:val="single" w:sz="12" w:space="0" w:color="auto"/>
              <w:bottom w:val="nil"/>
            </w:tcBorders>
          </w:tcPr>
          <w:p w14:paraId="435D54B2" w14:textId="77777777" w:rsidR="00047122" w:rsidRPr="0050345F" w:rsidRDefault="00047122" w:rsidP="002B6B45">
            <w:pPr>
              <w:spacing w:after="8"/>
              <w:rPr>
                <w:rFonts w:ascii="Arial" w:hAnsi="Arial" w:cs="Arial"/>
                <w:sz w:val="20"/>
              </w:rPr>
            </w:pPr>
          </w:p>
        </w:tc>
      </w:tr>
      <w:tr w:rsidR="00047122" w:rsidRPr="0050345F" w14:paraId="3BC1A6B2" w14:textId="77777777" w:rsidTr="002B6B45">
        <w:tc>
          <w:tcPr>
            <w:tcW w:w="606" w:type="pct"/>
            <w:tcBorders>
              <w:top w:val="nil"/>
            </w:tcBorders>
          </w:tcPr>
          <w:p w14:paraId="4BDBFD5B" w14:textId="77777777" w:rsidR="00047122" w:rsidRPr="0050345F" w:rsidRDefault="00047122" w:rsidP="002B6B45">
            <w:pPr>
              <w:spacing w:after="8"/>
              <w:ind w:left="284"/>
              <w:rPr>
                <w:rFonts w:ascii="Arial" w:hAnsi="Arial" w:cs="Arial"/>
                <w:sz w:val="20"/>
              </w:rPr>
            </w:pPr>
            <w:r w:rsidRPr="0050345F">
              <w:rPr>
                <w:rFonts w:ascii="Arial" w:hAnsi="Arial" w:cs="Arial"/>
                <w:sz w:val="20"/>
              </w:rPr>
              <w:t> </w:t>
            </w:r>
            <w:r w:rsidRPr="0050345F">
              <w:rPr>
                <w:rFonts w:ascii="Arial" w:hAnsi="Arial" w:cs="Arial"/>
                <w:sz w:val="20"/>
              </w:rPr>
              <w:t>Identification</w:t>
            </w:r>
          </w:p>
        </w:tc>
        <w:tc>
          <w:tcPr>
            <w:tcW w:w="234" w:type="pct"/>
            <w:tcBorders>
              <w:top w:val="nil"/>
            </w:tcBorders>
          </w:tcPr>
          <w:p w14:paraId="519370D6" w14:textId="77777777" w:rsidR="00047122" w:rsidRPr="0050345F" w:rsidRDefault="00047122" w:rsidP="002B6B45">
            <w:pPr>
              <w:spacing w:after="8"/>
              <w:jc w:val="center"/>
              <w:rPr>
                <w:rFonts w:ascii="Arial" w:hAnsi="Arial" w:cs="Arial"/>
                <w:sz w:val="20"/>
              </w:rPr>
            </w:pPr>
            <w:r w:rsidRPr="0050345F">
              <w:rPr>
                <w:rFonts w:ascii="Arial" w:hAnsi="Arial" w:cs="Arial"/>
                <w:sz w:val="20"/>
              </w:rPr>
              <w:t>1a</w:t>
            </w:r>
          </w:p>
        </w:tc>
        <w:tc>
          <w:tcPr>
            <w:tcW w:w="2080" w:type="pct"/>
            <w:tcBorders>
              <w:top w:val="nil"/>
            </w:tcBorders>
          </w:tcPr>
          <w:p w14:paraId="205CA759" w14:textId="77777777" w:rsidR="00047122" w:rsidRPr="0050345F" w:rsidRDefault="00047122" w:rsidP="002B6B45">
            <w:pPr>
              <w:spacing w:after="8"/>
              <w:rPr>
                <w:rFonts w:ascii="Arial" w:hAnsi="Arial" w:cs="Arial"/>
                <w:sz w:val="20"/>
              </w:rPr>
            </w:pPr>
            <w:r w:rsidRPr="0050345F">
              <w:rPr>
                <w:rFonts w:ascii="Arial" w:hAnsi="Arial" w:cs="Arial"/>
                <w:sz w:val="20"/>
              </w:rPr>
              <w:t>Identify the report as a protocol of a systematic review</w:t>
            </w:r>
          </w:p>
        </w:tc>
        <w:tc>
          <w:tcPr>
            <w:tcW w:w="2080" w:type="pct"/>
            <w:tcBorders>
              <w:top w:val="nil"/>
            </w:tcBorders>
          </w:tcPr>
          <w:p w14:paraId="1D8CC080" w14:textId="7E6D860D" w:rsidR="00047122" w:rsidRPr="0050345F" w:rsidRDefault="00047122" w:rsidP="002B6B45">
            <w:pPr>
              <w:spacing w:after="8"/>
              <w:rPr>
                <w:rFonts w:ascii="Arial" w:hAnsi="Arial" w:cs="Arial"/>
                <w:sz w:val="20"/>
              </w:rPr>
            </w:pPr>
            <w:r w:rsidRPr="0050345F">
              <w:rPr>
                <w:rFonts w:ascii="Arial" w:hAnsi="Arial" w:cs="Arial"/>
                <w:sz w:val="20"/>
              </w:rPr>
              <w:t>Dose-response meta-Analysis of refractory Depression treatment with Aripiprazole augmentation (DADA study): Protocol for a systematic review and dose-response meta-analysis</w:t>
            </w:r>
          </w:p>
        </w:tc>
      </w:tr>
      <w:tr w:rsidR="00047122" w:rsidRPr="0050345F" w14:paraId="45A8F88E" w14:textId="77777777" w:rsidTr="002B6B45">
        <w:tc>
          <w:tcPr>
            <w:tcW w:w="606" w:type="pct"/>
            <w:tcBorders>
              <w:bottom w:val="single" w:sz="4" w:space="0" w:color="auto"/>
            </w:tcBorders>
          </w:tcPr>
          <w:p w14:paraId="0F24DD59" w14:textId="77777777" w:rsidR="00047122" w:rsidRPr="0050345F" w:rsidRDefault="00047122" w:rsidP="002B6B45">
            <w:pPr>
              <w:spacing w:after="8"/>
              <w:ind w:left="284"/>
              <w:rPr>
                <w:rFonts w:ascii="Arial" w:hAnsi="Arial" w:cs="Arial"/>
                <w:sz w:val="20"/>
              </w:rPr>
            </w:pPr>
            <w:r w:rsidRPr="0050345F">
              <w:rPr>
                <w:rFonts w:ascii="Arial" w:hAnsi="Arial" w:cs="Arial"/>
                <w:sz w:val="20"/>
              </w:rPr>
              <w:t> </w:t>
            </w:r>
            <w:r w:rsidRPr="0050345F">
              <w:rPr>
                <w:rFonts w:ascii="Arial" w:hAnsi="Arial" w:cs="Arial"/>
                <w:sz w:val="20"/>
              </w:rPr>
              <w:t>Update</w:t>
            </w:r>
          </w:p>
        </w:tc>
        <w:tc>
          <w:tcPr>
            <w:tcW w:w="234" w:type="pct"/>
            <w:tcBorders>
              <w:bottom w:val="single" w:sz="4" w:space="0" w:color="auto"/>
            </w:tcBorders>
          </w:tcPr>
          <w:p w14:paraId="144C5B47" w14:textId="77777777" w:rsidR="00047122" w:rsidRPr="0050345F" w:rsidRDefault="00047122" w:rsidP="002B6B45">
            <w:pPr>
              <w:spacing w:after="8"/>
              <w:jc w:val="center"/>
              <w:rPr>
                <w:rFonts w:ascii="Arial" w:hAnsi="Arial" w:cs="Arial"/>
                <w:sz w:val="20"/>
              </w:rPr>
            </w:pPr>
            <w:r w:rsidRPr="0050345F">
              <w:rPr>
                <w:rFonts w:ascii="Arial" w:hAnsi="Arial" w:cs="Arial"/>
                <w:sz w:val="20"/>
              </w:rPr>
              <w:t>1b</w:t>
            </w:r>
          </w:p>
        </w:tc>
        <w:tc>
          <w:tcPr>
            <w:tcW w:w="2080" w:type="pct"/>
            <w:tcBorders>
              <w:bottom w:val="single" w:sz="4" w:space="0" w:color="auto"/>
            </w:tcBorders>
          </w:tcPr>
          <w:p w14:paraId="50567242" w14:textId="77777777" w:rsidR="00047122" w:rsidRPr="0050345F" w:rsidRDefault="00047122" w:rsidP="002B6B45">
            <w:pPr>
              <w:spacing w:after="8"/>
              <w:rPr>
                <w:rFonts w:ascii="Arial" w:hAnsi="Arial" w:cs="Arial"/>
                <w:sz w:val="20"/>
              </w:rPr>
            </w:pPr>
            <w:r w:rsidRPr="0050345F">
              <w:rPr>
                <w:rFonts w:ascii="Arial" w:hAnsi="Arial" w:cs="Arial"/>
                <w:sz w:val="20"/>
              </w:rPr>
              <w:t>If the protocol is for an update of a previous systematic review, identify as such</w:t>
            </w:r>
          </w:p>
        </w:tc>
        <w:tc>
          <w:tcPr>
            <w:tcW w:w="2080" w:type="pct"/>
            <w:tcBorders>
              <w:bottom w:val="single" w:sz="4" w:space="0" w:color="auto"/>
            </w:tcBorders>
          </w:tcPr>
          <w:p w14:paraId="74D59412" w14:textId="77777777" w:rsidR="00047122" w:rsidRPr="0050345F" w:rsidRDefault="00047122" w:rsidP="002B6B45">
            <w:pPr>
              <w:spacing w:after="8"/>
              <w:rPr>
                <w:rFonts w:ascii="Arial" w:hAnsi="Arial" w:cs="Arial"/>
                <w:sz w:val="20"/>
              </w:rPr>
            </w:pPr>
            <w:r w:rsidRPr="0050345F">
              <w:rPr>
                <w:rFonts w:ascii="Arial" w:hAnsi="Arial" w:cs="Arial"/>
                <w:sz w:val="20"/>
              </w:rPr>
              <w:t>Not applicable</w:t>
            </w:r>
          </w:p>
          <w:p w14:paraId="1F6A220C" w14:textId="06E40662" w:rsidR="00047122" w:rsidRPr="0050345F" w:rsidRDefault="00047122" w:rsidP="002B6B45">
            <w:pPr>
              <w:spacing w:after="8"/>
              <w:rPr>
                <w:rFonts w:ascii="Arial" w:hAnsi="Arial" w:cs="Arial"/>
                <w:sz w:val="20"/>
              </w:rPr>
            </w:pPr>
          </w:p>
        </w:tc>
      </w:tr>
      <w:tr w:rsidR="00047122" w:rsidRPr="0050345F" w14:paraId="22286532" w14:textId="77777777" w:rsidTr="002B6B45">
        <w:tc>
          <w:tcPr>
            <w:tcW w:w="606" w:type="pct"/>
            <w:tcBorders>
              <w:top w:val="single" w:sz="4" w:space="0" w:color="auto"/>
              <w:bottom w:val="single" w:sz="4" w:space="0" w:color="auto"/>
            </w:tcBorders>
          </w:tcPr>
          <w:p w14:paraId="7E544363" w14:textId="77777777" w:rsidR="00047122" w:rsidRPr="0050345F" w:rsidRDefault="00047122" w:rsidP="002B6B45">
            <w:pPr>
              <w:spacing w:after="8"/>
              <w:rPr>
                <w:rFonts w:ascii="Arial" w:hAnsi="Arial" w:cs="Arial"/>
                <w:sz w:val="20"/>
              </w:rPr>
            </w:pPr>
            <w:r w:rsidRPr="0050345F">
              <w:rPr>
                <w:rFonts w:ascii="Arial" w:hAnsi="Arial" w:cs="Arial"/>
                <w:sz w:val="20"/>
              </w:rPr>
              <w:t>Registration</w:t>
            </w:r>
          </w:p>
        </w:tc>
        <w:tc>
          <w:tcPr>
            <w:tcW w:w="234" w:type="pct"/>
            <w:tcBorders>
              <w:top w:val="single" w:sz="4" w:space="0" w:color="auto"/>
              <w:bottom w:val="single" w:sz="4" w:space="0" w:color="auto"/>
            </w:tcBorders>
          </w:tcPr>
          <w:p w14:paraId="01AA2B13" w14:textId="77777777" w:rsidR="00047122" w:rsidRPr="0050345F" w:rsidRDefault="00047122" w:rsidP="002B6B45">
            <w:pPr>
              <w:spacing w:after="8"/>
              <w:jc w:val="center"/>
              <w:rPr>
                <w:rFonts w:ascii="Arial" w:hAnsi="Arial" w:cs="Arial"/>
                <w:sz w:val="20"/>
              </w:rPr>
            </w:pPr>
            <w:r w:rsidRPr="0050345F">
              <w:rPr>
                <w:rFonts w:ascii="Arial" w:hAnsi="Arial" w:cs="Arial"/>
                <w:sz w:val="20"/>
              </w:rPr>
              <w:t>2</w:t>
            </w:r>
          </w:p>
        </w:tc>
        <w:tc>
          <w:tcPr>
            <w:tcW w:w="2080" w:type="pct"/>
            <w:tcBorders>
              <w:top w:val="single" w:sz="4" w:space="0" w:color="auto"/>
              <w:bottom w:val="single" w:sz="4" w:space="0" w:color="auto"/>
            </w:tcBorders>
          </w:tcPr>
          <w:p w14:paraId="78431FFC" w14:textId="77777777" w:rsidR="00047122" w:rsidRPr="0050345F" w:rsidRDefault="00047122" w:rsidP="002B6B45">
            <w:pPr>
              <w:spacing w:after="8"/>
              <w:rPr>
                <w:rFonts w:ascii="Arial" w:hAnsi="Arial" w:cs="Arial"/>
                <w:sz w:val="20"/>
              </w:rPr>
            </w:pPr>
            <w:r w:rsidRPr="0050345F">
              <w:rPr>
                <w:rFonts w:ascii="Arial" w:hAnsi="Arial" w:cs="Arial"/>
                <w:sz w:val="20"/>
              </w:rPr>
              <w:t>If registered, provide the name of the registry (such as PROSPERO) and registration number</w:t>
            </w:r>
          </w:p>
        </w:tc>
        <w:tc>
          <w:tcPr>
            <w:tcW w:w="2080" w:type="pct"/>
            <w:tcBorders>
              <w:top w:val="single" w:sz="4" w:space="0" w:color="auto"/>
              <w:bottom w:val="single" w:sz="4" w:space="0" w:color="auto"/>
            </w:tcBorders>
          </w:tcPr>
          <w:p w14:paraId="422F0D92" w14:textId="63C90942" w:rsidR="00047122" w:rsidRPr="0050345F" w:rsidRDefault="00047122" w:rsidP="002B6B45">
            <w:pPr>
              <w:spacing w:after="8"/>
              <w:rPr>
                <w:rFonts w:ascii="Arial" w:hAnsi="Arial" w:cs="Arial"/>
                <w:sz w:val="20"/>
              </w:rPr>
            </w:pPr>
            <w:r w:rsidRPr="0050345F">
              <w:rPr>
                <w:rFonts w:ascii="Arial" w:hAnsi="Arial" w:cs="Arial"/>
                <w:sz w:val="20"/>
              </w:rPr>
              <w:t>PROSPERO, CRD42021234782.</w:t>
            </w:r>
          </w:p>
        </w:tc>
      </w:tr>
      <w:tr w:rsidR="00047122" w:rsidRPr="0050345F" w14:paraId="2B0096D0" w14:textId="77777777" w:rsidTr="002B6B45">
        <w:tc>
          <w:tcPr>
            <w:tcW w:w="606" w:type="pct"/>
            <w:tcBorders>
              <w:top w:val="single" w:sz="4" w:space="0" w:color="auto"/>
              <w:bottom w:val="nil"/>
            </w:tcBorders>
          </w:tcPr>
          <w:p w14:paraId="02BEE9C3" w14:textId="77777777" w:rsidR="00047122" w:rsidRPr="0050345F" w:rsidRDefault="00047122" w:rsidP="002B6B45">
            <w:pPr>
              <w:spacing w:after="8"/>
              <w:rPr>
                <w:rFonts w:ascii="Arial" w:hAnsi="Arial" w:cs="Arial"/>
                <w:sz w:val="20"/>
              </w:rPr>
            </w:pPr>
            <w:r w:rsidRPr="0050345F">
              <w:rPr>
                <w:rFonts w:ascii="Arial" w:hAnsi="Arial" w:cs="Arial"/>
                <w:sz w:val="20"/>
              </w:rPr>
              <w:t>Authors:</w:t>
            </w:r>
          </w:p>
        </w:tc>
        <w:tc>
          <w:tcPr>
            <w:tcW w:w="234" w:type="pct"/>
            <w:tcBorders>
              <w:top w:val="single" w:sz="4" w:space="0" w:color="auto"/>
              <w:bottom w:val="nil"/>
            </w:tcBorders>
          </w:tcPr>
          <w:p w14:paraId="711A92F6" w14:textId="77777777" w:rsidR="00047122" w:rsidRPr="0050345F" w:rsidRDefault="00047122" w:rsidP="002B6B45">
            <w:pPr>
              <w:spacing w:after="8"/>
              <w:jc w:val="center"/>
              <w:rPr>
                <w:rFonts w:ascii="Arial" w:hAnsi="Arial" w:cs="Arial"/>
                <w:sz w:val="20"/>
              </w:rPr>
            </w:pPr>
          </w:p>
        </w:tc>
        <w:tc>
          <w:tcPr>
            <w:tcW w:w="2080" w:type="pct"/>
            <w:tcBorders>
              <w:top w:val="single" w:sz="4" w:space="0" w:color="auto"/>
              <w:bottom w:val="nil"/>
            </w:tcBorders>
          </w:tcPr>
          <w:p w14:paraId="2384DF42" w14:textId="77777777" w:rsidR="00047122" w:rsidRPr="0050345F" w:rsidRDefault="00047122" w:rsidP="002B6B45">
            <w:pPr>
              <w:spacing w:after="8"/>
              <w:rPr>
                <w:rFonts w:ascii="Arial" w:hAnsi="Arial" w:cs="Arial"/>
                <w:sz w:val="20"/>
              </w:rPr>
            </w:pPr>
          </w:p>
        </w:tc>
        <w:tc>
          <w:tcPr>
            <w:tcW w:w="2080" w:type="pct"/>
            <w:tcBorders>
              <w:top w:val="single" w:sz="4" w:space="0" w:color="auto"/>
              <w:bottom w:val="nil"/>
            </w:tcBorders>
          </w:tcPr>
          <w:p w14:paraId="3B75A325" w14:textId="77777777" w:rsidR="00047122" w:rsidRPr="0050345F" w:rsidRDefault="00047122" w:rsidP="002B6B45">
            <w:pPr>
              <w:spacing w:after="8"/>
              <w:rPr>
                <w:rFonts w:ascii="Arial" w:hAnsi="Arial" w:cs="Arial"/>
                <w:sz w:val="20"/>
              </w:rPr>
            </w:pPr>
          </w:p>
        </w:tc>
      </w:tr>
      <w:tr w:rsidR="00047122" w:rsidRPr="0050345F" w14:paraId="7B786F7D" w14:textId="77777777" w:rsidTr="002B6B45">
        <w:tc>
          <w:tcPr>
            <w:tcW w:w="606" w:type="pct"/>
            <w:tcBorders>
              <w:top w:val="nil"/>
            </w:tcBorders>
          </w:tcPr>
          <w:p w14:paraId="50A67145" w14:textId="77777777" w:rsidR="00047122" w:rsidRPr="0050345F" w:rsidRDefault="00047122" w:rsidP="002B6B45">
            <w:pPr>
              <w:spacing w:after="8"/>
              <w:ind w:left="284"/>
              <w:rPr>
                <w:rFonts w:ascii="Arial" w:hAnsi="Arial" w:cs="Arial"/>
                <w:sz w:val="20"/>
              </w:rPr>
            </w:pPr>
            <w:r w:rsidRPr="0050345F">
              <w:rPr>
                <w:rFonts w:ascii="Arial" w:hAnsi="Arial" w:cs="Arial"/>
                <w:sz w:val="20"/>
              </w:rPr>
              <w:t> </w:t>
            </w:r>
            <w:r w:rsidRPr="0050345F">
              <w:rPr>
                <w:rFonts w:ascii="Arial" w:hAnsi="Arial" w:cs="Arial"/>
                <w:sz w:val="20"/>
              </w:rPr>
              <w:t>Contact</w:t>
            </w:r>
          </w:p>
        </w:tc>
        <w:tc>
          <w:tcPr>
            <w:tcW w:w="234" w:type="pct"/>
            <w:tcBorders>
              <w:top w:val="nil"/>
            </w:tcBorders>
          </w:tcPr>
          <w:p w14:paraId="1C543764" w14:textId="77777777" w:rsidR="00047122" w:rsidRPr="0050345F" w:rsidRDefault="00047122" w:rsidP="002B6B45">
            <w:pPr>
              <w:spacing w:after="8"/>
              <w:jc w:val="center"/>
              <w:rPr>
                <w:rFonts w:ascii="Arial" w:hAnsi="Arial" w:cs="Arial"/>
                <w:sz w:val="20"/>
              </w:rPr>
            </w:pPr>
            <w:r w:rsidRPr="0050345F">
              <w:rPr>
                <w:rFonts w:ascii="Arial" w:hAnsi="Arial" w:cs="Arial"/>
                <w:sz w:val="20"/>
              </w:rPr>
              <w:t>3a</w:t>
            </w:r>
          </w:p>
        </w:tc>
        <w:tc>
          <w:tcPr>
            <w:tcW w:w="2080" w:type="pct"/>
            <w:tcBorders>
              <w:top w:val="nil"/>
            </w:tcBorders>
          </w:tcPr>
          <w:p w14:paraId="65DDAA34" w14:textId="77777777" w:rsidR="00047122" w:rsidRPr="0050345F" w:rsidRDefault="00047122" w:rsidP="002B6B45">
            <w:pPr>
              <w:spacing w:after="8"/>
              <w:rPr>
                <w:rFonts w:ascii="Arial" w:hAnsi="Arial" w:cs="Arial"/>
                <w:sz w:val="20"/>
              </w:rPr>
            </w:pPr>
            <w:r w:rsidRPr="0050345F">
              <w:rPr>
                <w:rFonts w:ascii="Arial" w:hAnsi="Arial" w:cs="Arial"/>
                <w:sz w:val="20"/>
              </w:rPr>
              <w:t>Provide name, institutional affiliation, e-mail address of all protocol authors; provide physical mailing address of corresponding author</w:t>
            </w:r>
          </w:p>
        </w:tc>
        <w:tc>
          <w:tcPr>
            <w:tcW w:w="2080" w:type="pct"/>
            <w:tcBorders>
              <w:top w:val="nil"/>
            </w:tcBorders>
          </w:tcPr>
          <w:p w14:paraId="73BFE0CF" w14:textId="77777777" w:rsidR="00047122" w:rsidRPr="0050345F" w:rsidRDefault="00047122" w:rsidP="00047122">
            <w:pPr>
              <w:spacing w:after="8"/>
              <w:rPr>
                <w:rFonts w:ascii="Arial" w:hAnsi="Arial" w:cs="Arial"/>
                <w:sz w:val="20"/>
              </w:rPr>
            </w:pPr>
            <w:r w:rsidRPr="0050345F">
              <w:rPr>
                <w:rFonts w:ascii="Arial" w:hAnsi="Arial" w:cs="Arial"/>
                <w:sz w:val="20"/>
              </w:rPr>
              <w:t>Dr. Yuki Furukawa, MD. furukaway-psy@h.u-tokyo.ac.jp</w:t>
            </w:r>
          </w:p>
          <w:p w14:paraId="23205452" w14:textId="77777777" w:rsidR="00047122" w:rsidRPr="0050345F" w:rsidRDefault="00047122" w:rsidP="00047122">
            <w:pPr>
              <w:spacing w:after="8"/>
              <w:rPr>
                <w:rFonts w:ascii="Arial" w:hAnsi="Arial" w:cs="Arial"/>
                <w:sz w:val="20"/>
              </w:rPr>
            </w:pPr>
            <w:r w:rsidRPr="0050345F">
              <w:rPr>
                <w:rFonts w:ascii="Arial" w:hAnsi="Arial" w:cs="Arial"/>
                <w:sz w:val="20"/>
              </w:rPr>
              <w:tab/>
              <w:t>Department of Neuropsychiatry, University of Tokyo Hospital, Tokyo, Japan</w:t>
            </w:r>
          </w:p>
          <w:p w14:paraId="2A4F8FA7" w14:textId="77777777" w:rsidR="00047122" w:rsidRPr="0050345F" w:rsidRDefault="00047122" w:rsidP="00047122">
            <w:pPr>
              <w:spacing w:after="8"/>
              <w:rPr>
                <w:rFonts w:ascii="Arial" w:hAnsi="Arial" w:cs="Arial"/>
                <w:sz w:val="20"/>
              </w:rPr>
            </w:pPr>
            <w:r w:rsidRPr="0050345F">
              <w:rPr>
                <w:rFonts w:ascii="Arial" w:hAnsi="Arial" w:cs="Arial"/>
                <w:sz w:val="20"/>
              </w:rPr>
              <w:t>Dr. Edoardo G Ostinelli, MD. edoardo.ostinelli@psych.ox.ac.uk</w:t>
            </w:r>
          </w:p>
          <w:p w14:paraId="4946C68B" w14:textId="77777777" w:rsidR="00047122" w:rsidRPr="0050345F" w:rsidRDefault="00047122" w:rsidP="00047122">
            <w:pPr>
              <w:spacing w:after="8"/>
              <w:rPr>
                <w:rFonts w:ascii="Arial" w:hAnsi="Arial" w:cs="Arial"/>
                <w:sz w:val="20"/>
              </w:rPr>
            </w:pPr>
            <w:r w:rsidRPr="0050345F">
              <w:rPr>
                <w:rFonts w:ascii="Arial" w:hAnsi="Arial" w:cs="Arial"/>
                <w:sz w:val="20"/>
              </w:rPr>
              <w:t>Oxford Health NHS Foundation Trust, Warneford Hospital, Oxford, UK; Department of Psychiatry, University of Oxford, Oxford, UK</w:t>
            </w:r>
          </w:p>
          <w:p w14:paraId="3B3BAA46" w14:textId="77777777" w:rsidR="00047122" w:rsidRPr="0050345F" w:rsidRDefault="00047122" w:rsidP="00047122">
            <w:pPr>
              <w:spacing w:after="8"/>
              <w:rPr>
                <w:rFonts w:ascii="Arial" w:hAnsi="Arial" w:cs="Arial"/>
                <w:sz w:val="20"/>
              </w:rPr>
            </w:pPr>
            <w:r w:rsidRPr="0050345F">
              <w:rPr>
                <w:rFonts w:ascii="Arial" w:hAnsi="Arial" w:cs="Arial"/>
                <w:sz w:val="20"/>
              </w:rPr>
              <w:t>Ms. Tasnim Hamza, MSc, PhD student. tasnim.hamza@ispm.unibe.ch</w:t>
            </w:r>
          </w:p>
          <w:p w14:paraId="7B0008DB" w14:textId="77777777" w:rsidR="00047122" w:rsidRPr="0050345F" w:rsidRDefault="00047122" w:rsidP="00047122">
            <w:pPr>
              <w:spacing w:after="8"/>
              <w:rPr>
                <w:rFonts w:ascii="Arial" w:hAnsi="Arial" w:cs="Arial"/>
                <w:sz w:val="20"/>
              </w:rPr>
            </w:pPr>
            <w:r w:rsidRPr="0050345F">
              <w:rPr>
                <w:rFonts w:ascii="Arial" w:hAnsi="Arial" w:cs="Arial"/>
                <w:sz w:val="20"/>
              </w:rPr>
              <w:tab/>
              <w:t>Institute of Social and Preventive Medicine, University of Bern, Bern, Switzerland</w:t>
            </w:r>
          </w:p>
          <w:p w14:paraId="4B60BA0F" w14:textId="77777777" w:rsidR="00047122" w:rsidRPr="0050345F" w:rsidRDefault="00047122" w:rsidP="00047122">
            <w:pPr>
              <w:spacing w:after="8"/>
              <w:rPr>
                <w:rFonts w:ascii="Arial" w:hAnsi="Arial" w:cs="Arial"/>
                <w:sz w:val="20"/>
              </w:rPr>
            </w:pPr>
            <w:r w:rsidRPr="0050345F">
              <w:rPr>
                <w:rFonts w:ascii="Arial" w:hAnsi="Arial" w:cs="Arial"/>
                <w:sz w:val="20"/>
              </w:rPr>
              <w:t>Prof. Georgia</w:t>
            </w:r>
            <w:r w:rsidRPr="0050345F">
              <w:rPr>
                <w:rFonts w:ascii="Arial" w:hAnsi="Arial" w:cs="Arial"/>
                <w:sz w:val="20"/>
              </w:rPr>
              <w:t xml:space="preserve">　</w:t>
            </w:r>
            <w:r w:rsidRPr="0050345F">
              <w:rPr>
                <w:rFonts w:ascii="Arial" w:hAnsi="Arial" w:cs="Arial"/>
                <w:sz w:val="20"/>
              </w:rPr>
              <w:t>Salanti, Prof., PhD. georgia.salanti@ispm.unibe.ch</w:t>
            </w:r>
          </w:p>
          <w:p w14:paraId="58CEBF11" w14:textId="77777777" w:rsidR="00047122" w:rsidRPr="0050345F" w:rsidRDefault="00047122" w:rsidP="00047122">
            <w:pPr>
              <w:spacing w:after="8"/>
              <w:rPr>
                <w:rFonts w:ascii="Arial" w:hAnsi="Arial" w:cs="Arial"/>
                <w:sz w:val="20"/>
              </w:rPr>
            </w:pPr>
            <w:r w:rsidRPr="0050345F">
              <w:rPr>
                <w:rFonts w:ascii="Arial" w:hAnsi="Arial" w:cs="Arial"/>
                <w:sz w:val="20"/>
              </w:rPr>
              <w:lastRenderedPageBreak/>
              <w:tab/>
              <w:t>Institute of Social and Preventive Medicine, University of Bern, Bern, Switzerland</w:t>
            </w:r>
          </w:p>
          <w:p w14:paraId="0E84E56A" w14:textId="77777777" w:rsidR="00047122" w:rsidRPr="0050345F" w:rsidRDefault="00047122" w:rsidP="00047122">
            <w:pPr>
              <w:spacing w:after="8"/>
              <w:rPr>
                <w:rFonts w:ascii="Arial" w:hAnsi="Arial" w:cs="Arial"/>
                <w:sz w:val="20"/>
              </w:rPr>
            </w:pPr>
            <w:r w:rsidRPr="0050345F">
              <w:rPr>
                <w:rFonts w:ascii="Arial" w:hAnsi="Arial" w:cs="Arial"/>
                <w:sz w:val="20"/>
              </w:rPr>
              <w:t>Prof. Andrea Cipriani, Prof., MD, PhD. andrea.cipriani@psych.ox.ac.uk</w:t>
            </w:r>
          </w:p>
          <w:p w14:paraId="1B61DF1D" w14:textId="77777777" w:rsidR="00047122" w:rsidRPr="0050345F" w:rsidRDefault="00047122" w:rsidP="00047122">
            <w:pPr>
              <w:spacing w:after="8"/>
              <w:rPr>
                <w:rFonts w:ascii="Arial" w:hAnsi="Arial" w:cs="Arial"/>
                <w:sz w:val="20"/>
              </w:rPr>
            </w:pPr>
            <w:r w:rsidRPr="0050345F">
              <w:rPr>
                <w:rFonts w:ascii="Arial" w:hAnsi="Arial" w:cs="Arial"/>
                <w:sz w:val="20"/>
              </w:rPr>
              <w:tab/>
              <w:t>Department of Psychiatry, University of Oxford, Oxford, UK</w:t>
            </w:r>
          </w:p>
          <w:p w14:paraId="14B91994" w14:textId="77777777" w:rsidR="00047122" w:rsidRPr="0050345F" w:rsidRDefault="00047122" w:rsidP="00047122">
            <w:pPr>
              <w:spacing w:after="8"/>
              <w:rPr>
                <w:rFonts w:ascii="Arial" w:hAnsi="Arial" w:cs="Arial"/>
                <w:sz w:val="20"/>
              </w:rPr>
            </w:pPr>
            <w:r w:rsidRPr="0050345F">
              <w:rPr>
                <w:rFonts w:ascii="Arial" w:hAnsi="Arial" w:cs="Arial"/>
                <w:sz w:val="20"/>
              </w:rPr>
              <w:t>Prof. Toshi A Furukawa, Prof., MD, PhD. furukawa@kuhp.kyoto-u.ac.jp</w:t>
            </w:r>
          </w:p>
          <w:p w14:paraId="03D7738C" w14:textId="1C170587" w:rsidR="00047122" w:rsidRPr="0050345F" w:rsidRDefault="00047122" w:rsidP="00047122">
            <w:pPr>
              <w:spacing w:after="8"/>
              <w:rPr>
                <w:rFonts w:ascii="Arial" w:hAnsi="Arial" w:cs="Arial"/>
                <w:sz w:val="20"/>
              </w:rPr>
            </w:pPr>
            <w:r w:rsidRPr="0050345F">
              <w:rPr>
                <w:rFonts w:ascii="Arial" w:hAnsi="Arial" w:cs="Arial"/>
                <w:sz w:val="20"/>
              </w:rPr>
              <w:tab/>
              <w:t>Promotion and Human Behavior, Kyoto University Graduate School of Medicine and School of Public Health, Kyoto, Japan</w:t>
            </w:r>
          </w:p>
        </w:tc>
      </w:tr>
      <w:tr w:rsidR="00047122" w:rsidRPr="0050345F" w14:paraId="29575AEC" w14:textId="77777777" w:rsidTr="002B6B45">
        <w:tc>
          <w:tcPr>
            <w:tcW w:w="606" w:type="pct"/>
            <w:tcBorders>
              <w:bottom w:val="single" w:sz="4" w:space="0" w:color="auto"/>
            </w:tcBorders>
          </w:tcPr>
          <w:p w14:paraId="565A0000" w14:textId="77777777" w:rsidR="00047122" w:rsidRPr="0050345F" w:rsidRDefault="00047122" w:rsidP="002B6B45">
            <w:pPr>
              <w:spacing w:after="8"/>
              <w:ind w:left="284"/>
              <w:rPr>
                <w:rFonts w:ascii="Arial" w:hAnsi="Arial" w:cs="Arial"/>
                <w:sz w:val="20"/>
              </w:rPr>
            </w:pPr>
            <w:r w:rsidRPr="0050345F">
              <w:rPr>
                <w:rFonts w:ascii="Arial" w:hAnsi="Arial" w:cs="Arial"/>
                <w:sz w:val="20"/>
              </w:rPr>
              <w:lastRenderedPageBreak/>
              <w:t> </w:t>
            </w:r>
            <w:r w:rsidRPr="0050345F">
              <w:rPr>
                <w:rFonts w:ascii="Arial" w:hAnsi="Arial" w:cs="Arial"/>
                <w:sz w:val="20"/>
              </w:rPr>
              <w:t>Contributions</w:t>
            </w:r>
          </w:p>
        </w:tc>
        <w:tc>
          <w:tcPr>
            <w:tcW w:w="234" w:type="pct"/>
            <w:tcBorders>
              <w:bottom w:val="single" w:sz="4" w:space="0" w:color="auto"/>
            </w:tcBorders>
          </w:tcPr>
          <w:p w14:paraId="55BEE7ED" w14:textId="77777777" w:rsidR="00047122" w:rsidRPr="0050345F" w:rsidRDefault="00047122" w:rsidP="002B6B45">
            <w:pPr>
              <w:spacing w:after="8"/>
              <w:jc w:val="center"/>
              <w:rPr>
                <w:rFonts w:ascii="Arial" w:hAnsi="Arial" w:cs="Arial"/>
                <w:sz w:val="20"/>
              </w:rPr>
            </w:pPr>
            <w:r w:rsidRPr="0050345F">
              <w:rPr>
                <w:rFonts w:ascii="Arial" w:hAnsi="Arial" w:cs="Arial"/>
                <w:sz w:val="20"/>
              </w:rPr>
              <w:t>3b</w:t>
            </w:r>
          </w:p>
        </w:tc>
        <w:tc>
          <w:tcPr>
            <w:tcW w:w="2080" w:type="pct"/>
            <w:tcBorders>
              <w:bottom w:val="single" w:sz="4" w:space="0" w:color="auto"/>
            </w:tcBorders>
          </w:tcPr>
          <w:p w14:paraId="17D44678" w14:textId="77777777" w:rsidR="00047122" w:rsidRPr="0050345F" w:rsidRDefault="00047122" w:rsidP="002B6B45">
            <w:pPr>
              <w:spacing w:after="8"/>
              <w:rPr>
                <w:rFonts w:ascii="Arial" w:hAnsi="Arial" w:cs="Arial"/>
                <w:sz w:val="20"/>
              </w:rPr>
            </w:pPr>
            <w:r w:rsidRPr="0050345F">
              <w:rPr>
                <w:rFonts w:ascii="Arial" w:hAnsi="Arial" w:cs="Arial"/>
                <w:sz w:val="20"/>
              </w:rPr>
              <w:t>Describe contributions of protocol authors and identify the guarantor of the review</w:t>
            </w:r>
          </w:p>
        </w:tc>
        <w:tc>
          <w:tcPr>
            <w:tcW w:w="2080" w:type="pct"/>
            <w:tcBorders>
              <w:bottom w:val="single" w:sz="4" w:space="0" w:color="auto"/>
            </w:tcBorders>
          </w:tcPr>
          <w:p w14:paraId="3CBCB0B9" w14:textId="77777777" w:rsidR="00047122" w:rsidRPr="0050345F" w:rsidRDefault="00047122" w:rsidP="00047122">
            <w:pPr>
              <w:spacing w:after="8"/>
              <w:rPr>
                <w:rFonts w:ascii="Arial" w:hAnsi="Arial" w:cs="Arial"/>
                <w:sz w:val="20"/>
              </w:rPr>
            </w:pPr>
            <w:r w:rsidRPr="0050345F">
              <w:rPr>
                <w:rFonts w:ascii="Arial" w:hAnsi="Arial" w:cs="Arial"/>
                <w:sz w:val="20"/>
              </w:rPr>
              <w:t>Conceiving the protocol: YF</w:t>
            </w:r>
          </w:p>
          <w:p w14:paraId="2DD4758F" w14:textId="77777777" w:rsidR="00047122" w:rsidRPr="0050345F" w:rsidRDefault="00047122" w:rsidP="00047122">
            <w:pPr>
              <w:spacing w:after="8"/>
              <w:rPr>
                <w:rFonts w:ascii="Arial" w:hAnsi="Arial" w:cs="Arial"/>
                <w:sz w:val="20"/>
              </w:rPr>
            </w:pPr>
            <w:r w:rsidRPr="0050345F">
              <w:rPr>
                <w:rFonts w:ascii="Arial" w:hAnsi="Arial" w:cs="Arial"/>
                <w:sz w:val="20"/>
              </w:rPr>
              <w:t>Designing the protocol: YF</w:t>
            </w:r>
          </w:p>
          <w:p w14:paraId="4AAECC4F" w14:textId="77777777" w:rsidR="00047122" w:rsidRPr="0050345F" w:rsidRDefault="00047122" w:rsidP="00047122">
            <w:pPr>
              <w:spacing w:after="8"/>
              <w:rPr>
                <w:rFonts w:ascii="Arial" w:hAnsi="Arial" w:cs="Arial"/>
                <w:sz w:val="20"/>
              </w:rPr>
            </w:pPr>
            <w:r w:rsidRPr="0050345F">
              <w:rPr>
                <w:rFonts w:ascii="Arial" w:hAnsi="Arial" w:cs="Arial"/>
                <w:sz w:val="20"/>
              </w:rPr>
              <w:t>Coordinating the protocol: YF, EGO, TAF</w:t>
            </w:r>
          </w:p>
          <w:p w14:paraId="2EE0D8FA" w14:textId="77777777" w:rsidR="00047122" w:rsidRPr="0050345F" w:rsidRDefault="00047122" w:rsidP="00047122">
            <w:pPr>
              <w:spacing w:after="8"/>
              <w:rPr>
                <w:rFonts w:ascii="Arial" w:hAnsi="Arial" w:cs="Arial"/>
                <w:sz w:val="20"/>
              </w:rPr>
            </w:pPr>
            <w:r w:rsidRPr="0050345F">
              <w:rPr>
                <w:rFonts w:ascii="Arial" w:hAnsi="Arial" w:cs="Arial"/>
                <w:sz w:val="20"/>
              </w:rPr>
              <w:t>Designing search strategies: YF, EGO, TAF</w:t>
            </w:r>
          </w:p>
          <w:p w14:paraId="02F0C657" w14:textId="77777777" w:rsidR="00047122" w:rsidRPr="0050345F" w:rsidRDefault="00047122" w:rsidP="00047122">
            <w:pPr>
              <w:spacing w:after="8"/>
              <w:rPr>
                <w:rFonts w:ascii="Arial" w:hAnsi="Arial" w:cs="Arial"/>
                <w:sz w:val="20"/>
              </w:rPr>
            </w:pPr>
            <w:r w:rsidRPr="0050345F">
              <w:rPr>
                <w:rFonts w:ascii="Arial" w:hAnsi="Arial" w:cs="Arial"/>
                <w:sz w:val="20"/>
              </w:rPr>
              <w:t>Writing the protocol: YF, EGO, HT, SG</w:t>
            </w:r>
          </w:p>
          <w:p w14:paraId="69F5B113" w14:textId="77777777" w:rsidR="00047122" w:rsidRPr="0050345F" w:rsidRDefault="00047122" w:rsidP="00047122">
            <w:pPr>
              <w:spacing w:after="8"/>
              <w:rPr>
                <w:rFonts w:ascii="Arial" w:hAnsi="Arial" w:cs="Arial"/>
                <w:sz w:val="20"/>
              </w:rPr>
            </w:pPr>
            <w:r w:rsidRPr="0050345F">
              <w:rPr>
                <w:rFonts w:ascii="Arial" w:hAnsi="Arial" w:cs="Arial"/>
                <w:sz w:val="20"/>
              </w:rPr>
              <w:t>Providing general advice on the protocol: TAF, SG, AC</w:t>
            </w:r>
          </w:p>
          <w:p w14:paraId="45A01521" w14:textId="11970BF6" w:rsidR="00047122" w:rsidRPr="0050345F" w:rsidRDefault="00047122" w:rsidP="00047122">
            <w:pPr>
              <w:spacing w:after="8"/>
              <w:rPr>
                <w:rFonts w:ascii="Arial" w:hAnsi="Arial" w:cs="Arial"/>
                <w:sz w:val="20"/>
              </w:rPr>
            </w:pPr>
            <w:r w:rsidRPr="0050345F">
              <w:rPr>
                <w:rFonts w:ascii="Arial" w:hAnsi="Arial" w:cs="Arial"/>
                <w:sz w:val="20"/>
              </w:rPr>
              <w:t>Providing advice on statistical analysis: HT, SG</w:t>
            </w:r>
          </w:p>
        </w:tc>
      </w:tr>
      <w:tr w:rsidR="00047122" w:rsidRPr="0050345F" w14:paraId="0BD6EEA3" w14:textId="77777777" w:rsidTr="002B6B45">
        <w:tc>
          <w:tcPr>
            <w:tcW w:w="606" w:type="pct"/>
            <w:tcBorders>
              <w:top w:val="single" w:sz="4" w:space="0" w:color="auto"/>
              <w:bottom w:val="single" w:sz="4" w:space="0" w:color="auto"/>
            </w:tcBorders>
          </w:tcPr>
          <w:p w14:paraId="1747D199" w14:textId="77777777" w:rsidR="00047122" w:rsidRPr="0050345F" w:rsidRDefault="00047122" w:rsidP="002B6B45">
            <w:pPr>
              <w:spacing w:after="8"/>
              <w:rPr>
                <w:rFonts w:ascii="Arial" w:hAnsi="Arial" w:cs="Arial"/>
                <w:sz w:val="20"/>
              </w:rPr>
            </w:pPr>
            <w:r w:rsidRPr="0050345F">
              <w:rPr>
                <w:rFonts w:ascii="Arial" w:hAnsi="Arial" w:cs="Arial"/>
                <w:sz w:val="20"/>
              </w:rPr>
              <w:t>Amendments</w:t>
            </w:r>
          </w:p>
        </w:tc>
        <w:tc>
          <w:tcPr>
            <w:tcW w:w="234" w:type="pct"/>
            <w:tcBorders>
              <w:top w:val="single" w:sz="4" w:space="0" w:color="auto"/>
              <w:bottom w:val="single" w:sz="4" w:space="0" w:color="auto"/>
            </w:tcBorders>
          </w:tcPr>
          <w:p w14:paraId="3940A776" w14:textId="77777777" w:rsidR="00047122" w:rsidRPr="0050345F" w:rsidRDefault="00047122" w:rsidP="002B6B45">
            <w:pPr>
              <w:spacing w:after="8"/>
              <w:jc w:val="center"/>
              <w:rPr>
                <w:rFonts w:ascii="Arial" w:hAnsi="Arial" w:cs="Arial"/>
                <w:sz w:val="20"/>
              </w:rPr>
            </w:pPr>
            <w:r w:rsidRPr="0050345F">
              <w:rPr>
                <w:rFonts w:ascii="Arial" w:hAnsi="Arial" w:cs="Arial"/>
                <w:sz w:val="20"/>
              </w:rPr>
              <w:t>4</w:t>
            </w:r>
          </w:p>
        </w:tc>
        <w:tc>
          <w:tcPr>
            <w:tcW w:w="2080" w:type="pct"/>
            <w:tcBorders>
              <w:top w:val="single" w:sz="4" w:space="0" w:color="auto"/>
              <w:bottom w:val="single" w:sz="4" w:space="0" w:color="auto"/>
            </w:tcBorders>
          </w:tcPr>
          <w:p w14:paraId="00651B49" w14:textId="77777777" w:rsidR="00047122" w:rsidRPr="0050345F" w:rsidRDefault="00047122" w:rsidP="002B6B45">
            <w:pPr>
              <w:spacing w:after="8"/>
              <w:rPr>
                <w:rFonts w:ascii="Arial" w:hAnsi="Arial" w:cs="Arial"/>
                <w:sz w:val="20"/>
              </w:rPr>
            </w:pPr>
            <w:r w:rsidRPr="0050345F">
              <w:rPr>
                <w:rFonts w:ascii="Arial" w:hAnsi="Arial" w:cs="Arial"/>
                <w:sz w:val="20"/>
              </w:rPr>
              <w:t>If the protocol represents an amendment of a previously completed or published protocol, identify as such and list changes; otherwise, state plan for documenting important protocol amendments</w:t>
            </w:r>
          </w:p>
        </w:tc>
        <w:tc>
          <w:tcPr>
            <w:tcW w:w="2080" w:type="pct"/>
            <w:tcBorders>
              <w:top w:val="single" w:sz="4" w:space="0" w:color="auto"/>
              <w:bottom w:val="single" w:sz="4" w:space="0" w:color="auto"/>
            </w:tcBorders>
          </w:tcPr>
          <w:p w14:paraId="41D46296" w14:textId="47E17255" w:rsidR="00047122" w:rsidRPr="0050345F" w:rsidRDefault="00047122" w:rsidP="002B6B45">
            <w:pPr>
              <w:spacing w:after="8"/>
              <w:rPr>
                <w:rFonts w:ascii="Arial" w:hAnsi="Arial" w:cs="Arial"/>
                <w:sz w:val="20"/>
              </w:rPr>
            </w:pPr>
            <w:r w:rsidRPr="0050345F">
              <w:rPr>
                <w:rFonts w:ascii="Arial" w:hAnsi="Arial" w:cs="Arial"/>
                <w:sz w:val="20"/>
              </w:rPr>
              <w:t>Not applicable</w:t>
            </w:r>
          </w:p>
        </w:tc>
      </w:tr>
      <w:tr w:rsidR="00047122" w:rsidRPr="0050345F" w14:paraId="575D982B" w14:textId="77777777" w:rsidTr="002B6B45">
        <w:tc>
          <w:tcPr>
            <w:tcW w:w="606" w:type="pct"/>
            <w:tcBorders>
              <w:top w:val="single" w:sz="4" w:space="0" w:color="auto"/>
              <w:bottom w:val="nil"/>
            </w:tcBorders>
          </w:tcPr>
          <w:p w14:paraId="4F8D926B" w14:textId="77777777" w:rsidR="00047122" w:rsidRPr="0050345F" w:rsidRDefault="00047122" w:rsidP="002B6B45">
            <w:pPr>
              <w:spacing w:after="8"/>
              <w:rPr>
                <w:rFonts w:ascii="Arial" w:hAnsi="Arial" w:cs="Arial"/>
                <w:sz w:val="20"/>
              </w:rPr>
            </w:pPr>
            <w:r w:rsidRPr="0050345F">
              <w:rPr>
                <w:rFonts w:ascii="Arial" w:hAnsi="Arial" w:cs="Arial"/>
                <w:sz w:val="20"/>
              </w:rPr>
              <w:t>Support:</w:t>
            </w:r>
          </w:p>
        </w:tc>
        <w:tc>
          <w:tcPr>
            <w:tcW w:w="234" w:type="pct"/>
            <w:tcBorders>
              <w:top w:val="single" w:sz="4" w:space="0" w:color="auto"/>
              <w:bottom w:val="nil"/>
            </w:tcBorders>
          </w:tcPr>
          <w:p w14:paraId="0536FD59" w14:textId="77777777" w:rsidR="00047122" w:rsidRPr="0050345F" w:rsidRDefault="00047122" w:rsidP="002B6B45">
            <w:pPr>
              <w:spacing w:after="8"/>
              <w:jc w:val="center"/>
              <w:rPr>
                <w:rFonts w:ascii="Arial" w:hAnsi="Arial" w:cs="Arial"/>
                <w:sz w:val="20"/>
              </w:rPr>
            </w:pPr>
          </w:p>
        </w:tc>
        <w:tc>
          <w:tcPr>
            <w:tcW w:w="2080" w:type="pct"/>
            <w:tcBorders>
              <w:top w:val="single" w:sz="4" w:space="0" w:color="auto"/>
              <w:bottom w:val="nil"/>
            </w:tcBorders>
          </w:tcPr>
          <w:p w14:paraId="29A1F715" w14:textId="77777777" w:rsidR="00047122" w:rsidRPr="0050345F" w:rsidRDefault="00047122" w:rsidP="002B6B45">
            <w:pPr>
              <w:spacing w:after="8"/>
              <w:rPr>
                <w:rFonts w:ascii="Arial" w:hAnsi="Arial" w:cs="Arial"/>
                <w:sz w:val="20"/>
              </w:rPr>
            </w:pPr>
          </w:p>
        </w:tc>
        <w:tc>
          <w:tcPr>
            <w:tcW w:w="2080" w:type="pct"/>
            <w:tcBorders>
              <w:top w:val="single" w:sz="4" w:space="0" w:color="auto"/>
              <w:bottom w:val="nil"/>
            </w:tcBorders>
          </w:tcPr>
          <w:p w14:paraId="45909980" w14:textId="77777777" w:rsidR="00047122" w:rsidRPr="0050345F" w:rsidRDefault="00047122" w:rsidP="002B6B45">
            <w:pPr>
              <w:spacing w:after="8"/>
              <w:rPr>
                <w:rFonts w:ascii="Arial" w:hAnsi="Arial" w:cs="Arial"/>
                <w:sz w:val="20"/>
              </w:rPr>
            </w:pPr>
          </w:p>
        </w:tc>
      </w:tr>
      <w:tr w:rsidR="00047122" w:rsidRPr="0050345F" w14:paraId="03247A02" w14:textId="77777777" w:rsidTr="002B6B45">
        <w:tc>
          <w:tcPr>
            <w:tcW w:w="606" w:type="pct"/>
            <w:tcBorders>
              <w:top w:val="nil"/>
            </w:tcBorders>
          </w:tcPr>
          <w:p w14:paraId="3CA38D34" w14:textId="77777777" w:rsidR="00047122" w:rsidRPr="0050345F" w:rsidRDefault="00047122" w:rsidP="002B6B45">
            <w:pPr>
              <w:spacing w:after="8"/>
              <w:ind w:left="284"/>
              <w:rPr>
                <w:rFonts w:ascii="Arial" w:hAnsi="Arial" w:cs="Arial"/>
                <w:sz w:val="20"/>
              </w:rPr>
            </w:pPr>
            <w:r w:rsidRPr="0050345F">
              <w:rPr>
                <w:rFonts w:ascii="Arial" w:hAnsi="Arial" w:cs="Arial"/>
                <w:sz w:val="20"/>
              </w:rPr>
              <w:t> </w:t>
            </w:r>
            <w:r w:rsidRPr="0050345F">
              <w:rPr>
                <w:rFonts w:ascii="Arial" w:hAnsi="Arial" w:cs="Arial"/>
                <w:sz w:val="20"/>
              </w:rPr>
              <w:t>Sources</w:t>
            </w:r>
          </w:p>
        </w:tc>
        <w:tc>
          <w:tcPr>
            <w:tcW w:w="234" w:type="pct"/>
            <w:tcBorders>
              <w:top w:val="nil"/>
            </w:tcBorders>
          </w:tcPr>
          <w:p w14:paraId="696CC6B9" w14:textId="77777777" w:rsidR="00047122" w:rsidRPr="0050345F" w:rsidRDefault="00047122" w:rsidP="002B6B45">
            <w:pPr>
              <w:spacing w:after="8"/>
              <w:jc w:val="center"/>
              <w:rPr>
                <w:rFonts w:ascii="Arial" w:hAnsi="Arial" w:cs="Arial"/>
                <w:sz w:val="20"/>
              </w:rPr>
            </w:pPr>
            <w:r w:rsidRPr="0050345F">
              <w:rPr>
                <w:rFonts w:ascii="Arial" w:hAnsi="Arial" w:cs="Arial"/>
                <w:sz w:val="20"/>
              </w:rPr>
              <w:t>5a</w:t>
            </w:r>
          </w:p>
        </w:tc>
        <w:tc>
          <w:tcPr>
            <w:tcW w:w="2080" w:type="pct"/>
            <w:tcBorders>
              <w:top w:val="nil"/>
            </w:tcBorders>
          </w:tcPr>
          <w:p w14:paraId="0D10A850" w14:textId="77777777" w:rsidR="00047122" w:rsidRPr="0050345F" w:rsidRDefault="00047122" w:rsidP="002B6B45">
            <w:pPr>
              <w:spacing w:after="8"/>
              <w:rPr>
                <w:rFonts w:ascii="Arial" w:hAnsi="Arial" w:cs="Arial"/>
                <w:sz w:val="20"/>
              </w:rPr>
            </w:pPr>
            <w:r w:rsidRPr="0050345F">
              <w:rPr>
                <w:rFonts w:ascii="Arial" w:hAnsi="Arial" w:cs="Arial"/>
                <w:sz w:val="20"/>
              </w:rPr>
              <w:t>Indicate sources of financial or other support for the review</w:t>
            </w:r>
          </w:p>
        </w:tc>
        <w:tc>
          <w:tcPr>
            <w:tcW w:w="2080" w:type="pct"/>
            <w:tcBorders>
              <w:top w:val="nil"/>
            </w:tcBorders>
          </w:tcPr>
          <w:p w14:paraId="5315B743" w14:textId="5198F82D" w:rsidR="00047122" w:rsidRPr="0050345F" w:rsidRDefault="00047122" w:rsidP="002B6B45">
            <w:pPr>
              <w:spacing w:after="8"/>
              <w:rPr>
                <w:rFonts w:ascii="Arial" w:hAnsi="Arial" w:cs="Arial"/>
                <w:sz w:val="20"/>
              </w:rPr>
            </w:pPr>
            <w:r w:rsidRPr="0050345F">
              <w:rPr>
                <w:rFonts w:ascii="Arial" w:hAnsi="Arial" w:cs="Arial"/>
                <w:sz w:val="20"/>
              </w:rPr>
              <w:t>No funding</w:t>
            </w:r>
          </w:p>
        </w:tc>
      </w:tr>
      <w:tr w:rsidR="00047122" w:rsidRPr="0050345F" w14:paraId="58A46787" w14:textId="77777777" w:rsidTr="002B6B45">
        <w:tc>
          <w:tcPr>
            <w:tcW w:w="606" w:type="pct"/>
            <w:tcBorders>
              <w:bottom w:val="nil"/>
            </w:tcBorders>
          </w:tcPr>
          <w:p w14:paraId="29694B16" w14:textId="77777777" w:rsidR="00047122" w:rsidRPr="0050345F" w:rsidRDefault="00047122" w:rsidP="002B6B45">
            <w:pPr>
              <w:spacing w:after="8"/>
              <w:ind w:left="284"/>
              <w:rPr>
                <w:rFonts w:ascii="Arial" w:hAnsi="Arial" w:cs="Arial"/>
                <w:sz w:val="20"/>
              </w:rPr>
            </w:pPr>
            <w:r w:rsidRPr="0050345F">
              <w:rPr>
                <w:rFonts w:ascii="Arial" w:hAnsi="Arial" w:cs="Arial"/>
                <w:sz w:val="20"/>
              </w:rPr>
              <w:t> </w:t>
            </w:r>
            <w:r w:rsidRPr="0050345F">
              <w:rPr>
                <w:rFonts w:ascii="Arial" w:hAnsi="Arial" w:cs="Arial"/>
                <w:sz w:val="20"/>
              </w:rPr>
              <w:t>Sponsor</w:t>
            </w:r>
          </w:p>
        </w:tc>
        <w:tc>
          <w:tcPr>
            <w:tcW w:w="234" w:type="pct"/>
            <w:tcBorders>
              <w:bottom w:val="nil"/>
            </w:tcBorders>
          </w:tcPr>
          <w:p w14:paraId="477252DA" w14:textId="77777777" w:rsidR="00047122" w:rsidRPr="0050345F" w:rsidRDefault="00047122" w:rsidP="002B6B45">
            <w:pPr>
              <w:spacing w:after="8"/>
              <w:jc w:val="center"/>
              <w:rPr>
                <w:rFonts w:ascii="Arial" w:hAnsi="Arial" w:cs="Arial"/>
                <w:sz w:val="20"/>
              </w:rPr>
            </w:pPr>
            <w:r w:rsidRPr="0050345F">
              <w:rPr>
                <w:rFonts w:ascii="Arial" w:hAnsi="Arial" w:cs="Arial"/>
                <w:sz w:val="20"/>
              </w:rPr>
              <w:t>5b</w:t>
            </w:r>
          </w:p>
        </w:tc>
        <w:tc>
          <w:tcPr>
            <w:tcW w:w="2080" w:type="pct"/>
            <w:tcBorders>
              <w:bottom w:val="nil"/>
            </w:tcBorders>
          </w:tcPr>
          <w:p w14:paraId="07E14718" w14:textId="77777777" w:rsidR="00047122" w:rsidRPr="0050345F" w:rsidRDefault="00047122" w:rsidP="002B6B45">
            <w:pPr>
              <w:spacing w:after="8"/>
              <w:rPr>
                <w:rFonts w:ascii="Arial" w:hAnsi="Arial" w:cs="Arial"/>
                <w:sz w:val="20"/>
              </w:rPr>
            </w:pPr>
            <w:r w:rsidRPr="0050345F">
              <w:rPr>
                <w:rFonts w:ascii="Arial" w:hAnsi="Arial" w:cs="Arial"/>
                <w:sz w:val="20"/>
              </w:rPr>
              <w:t>Provide name for the review funder and/or sponsor</w:t>
            </w:r>
          </w:p>
        </w:tc>
        <w:tc>
          <w:tcPr>
            <w:tcW w:w="2080" w:type="pct"/>
            <w:tcBorders>
              <w:bottom w:val="nil"/>
            </w:tcBorders>
          </w:tcPr>
          <w:p w14:paraId="68712BA6" w14:textId="65FDA8DB" w:rsidR="00047122" w:rsidRPr="0050345F" w:rsidRDefault="00047122" w:rsidP="002B6B45">
            <w:pPr>
              <w:spacing w:after="8"/>
              <w:rPr>
                <w:rFonts w:ascii="Arial" w:hAnsi="Arial" w:cs="Arial"/>
                <w:sz w:val="20"/>
              </w:rPr>
            </w:pPr>
            <w:r w:rsidRPr="0050345F">
              <w:rPr>
                <w:rFonts w:ascii="Arial" w:hAnsi="Arial" w:cs="Arial"/>
                <w:sz w:val="20"/>
              </w:rPr>
              <w:t>No funding</w:t>
            </w:r>
          </w:p>
        </w:tc>
      </w:tr>
      <w:tr w:rsidR="00047122" w:rsidRPr="0050345F" w14:paraId="67D1D64B" w14:textId="77777777" w:rsidTr="002B6B45">
        <w:tc>
          <w:tcPr>
            <w:tcW w:w="606" w:type="pct"/>
            <w:tcBorders>
              <w:top w:val="nil"/>
              <w:bottom w:val="single" w:sz="12" w:space="0" w:color="auto"/>
            </w:tcBorders>
          </w:tcPr>
          <w:p w14:paraId="36249949" w14:textId="77777777" w:rsidR="00047122" w:rsidRPr="0050345F" w:rsidRDefault="00047122" w:rsidP="002B6B45">
            <w:pPr>
              <w:spacing w:after="8"/>
              <w:ind w:left="284"/>
              <w:rPr>
                <w:rFonts w:ascii="Arial" w:hAnsi="Arial" w:cs="Arial"/>
                <w:sz w:val="20"/>
              </w:rPr>
            </w:pPr>
            <w:r w:rsidRPr="0050345F">
              <w:rPr>
                <w:rFonts w:ascii="Arial" w:hAnsi="Arial" w:cs="Arial"/>
                <w:sz w:val="20"/>
              </w:rPr>
              <w:t> </w:t>
            </w:r>
            <w:r w:rsidRPr="0050345F">
              <w:rPr>
                <w:rFonts w:ascii="Arial" w:hAnsi="Arial" w:cs="Arial"/>
                <w:sz w:val="20"/>
              </w:rPr>
              <w:t>Role of sponsor or funder</w:t>
            </w:r>
          </w:p>
        </w:tc>
        <w:tc>
          <w:tcPr>
            <w:tcW w:w="234" w:type="pct"/>
            <w:tcBorders>
              <w:top w:val="nil"/>
              <w:bottom w:val="single" w:sz="12" w:space="0" w:color="auto"/>
            </w:tcBorders>
          </w:tcPr>
          <w:p w14:paraId="351946EF" w14:textId="77777777" w:rsidR="00047122" w:rsidRPr="0050345F" w:rsidRDefault="00047122" w:rsidP="002B6B45">
            <w:pPr>
              <w:spacing w:after="8"/>
              <w:jc w:val="center"/>
              <w:rPr>
                <w:rFonts w:ascii="Arial" w:hAnsi="Arial" w:cs="Arial"/>
                <w:sz w:val="20"/>
              </w:rPr>
            </w:pPr>
            <w:r w:rsidRPr="0050345F">
              <w:rPr>
                <w:rFonts w:ascii="Arial" w:hAnsi="Arial" w:cs="Arial"/>
                <w:sz w:val="20"/>
              </w:rPr>
              <w:t>5c</w:t>
            </w:r>
          </w:p>
        </w:tc>
        <w:tc>
          <w:tcPr>
            <w:tcW w:w="2080" w:type="pct"/>
            <w:tcBorders>
              <w:top w:val="nil"/>
              <w:bottom w:val="single" w:sz="12" w:space="0" w:color="auto"/>
            </w:tcBorders>
          </w:tcPr>
          <w:p w14:paraId="25C30842" w14:textId="77777777" w:rsidR="00047122" w:rsidRPr="0050345F" w:rsidRDefault="00047122" w:rsidP="002B6B45">
            <w:pPr>
              <w:spacing w:after="8"/>
              <w:rPr>
                <w:rFonts w:ascii="Arial" w:hAnsi="Arial" w:cs="Arial"/>
                <w:sz w:val="20"/>
              </w:rPr>
            </w:pPr>
            <w:r w:rsidRPr="0050345F">
              <w:rPr>
                <w:rFonts w:ascii="Arial" w:hAnsi="Arial" w:cs="Arial"/>
                <w:sz w:val="20"/>
              </w:rPr>
              <w:t>Describe roles of funder(s), sponsor(s), and/or institution(s), if any, in developing the protocol</w:t>
            </w:r>
          </w:p>
        </w:tc>
        <w:tc>
          <w:tcPr>
            <w:tcW w:w="2080" w:type="pct"/>
            <w:tcBorders>
              <w:top w:val="nil"/>
              <w:bottom w:val="single" w:sz="12" w:space="0" w:color="auto"/>
            </w:tcBorders>
          </w:tcPr>
          <w:p w14:paraId="46207FC1" w14:textId="3D8FE1A8" w:rsidR="00047122" w:rsidRPr="0050345F" w:rsidRDefault="00047122" w:rsidP="002B6B45">
            <w:pPr>
              <w:spacing w:after="8"/>
              <w:rPr>
                <w:rFonts w:ascii="Arial" w:hAnsi="Arial" w:cs="Arial"/>
                <w:sz w:val="20"/>
              </w:rPr>
            </w:pPr>
            <w:r w:rsidRPr="0050345F">
              <w:rPr>
                <w:rFonts w:ascii="Arial" w:hAnsi="Arial" w:cs="Arial"/>
                <w:sz w:val="20"/>
              </w:rPr>
              <w:t>Not applicable</w:t>
            </w:r>
          </w:p>
        </w:tc>
      </w:tr>
      <w:tr w:rsidR="00047122" w:rsidRPr="0050345F" w14:paraId="172765E1" w14:textId="77777777" w:rsidTr="002B6B45">
        <w:tc>
          <w:tcPr>
            <w:tcW w:w="2920" w:type="pct"/>
            <w:gridSpan w:val="3"/>
            <w:tcBorders>
              <w:top w:val="single" w:sz="12" w:space="0" w:color="auto"/>
              <w:bottom w:val="single" w:sz="12" w:space="0" w:color="auto"/>
            </w:tcBorders>
          </w:tcPr>
          <w:p w14:paraId="7816EA83" w14:textId="77777777" w:rsidR="00047122" w:rsidRPr="0050345F" w:rsidRDefault="00047122" w:rsidP="002B6B45">
            <w:pPr>
              <w:pStyle w:val="TableSubHead"/>
              <w:spacing w:after="8"/>
              <w:rPr>
                <w:rFonts w:ascii="Arial" w:hAnsi="Arial" w:cs="Arial"/>
                <w:sz w:val="20"/>
              </w:rPr>
            </w:pPr>
            <w:r w:rsidRPr="0050345F">
              <w:rPr>
                <w:rFonts w:ascii="Arial" w:hAnsi="Arial" w:cs="Arial"/>
                <w:sz w:val="20"/>
              </w:rPr>
              <w:t>INTRODUCTION</w:t>
            </w:r>
          </w:p>
        </w:tc>
        <w:tc>
          <w:tcPr>
            <w:tcW w:w="2080" w:type="pct"/>
            <w:tcBorders>
              <w:top w:val="single" w:sz="12" w:space="0" w:color="auto"/>
              <w:bottom w:val="single" w:sz="12" w:space="0" w:color="auto"/>
            </w:tcBorders>
          </w:tcPr>
          <w:p w14:paraId="222F99AE" w14:textId="77777777" w:rsidR="00047122" w:rsidRPr="0050345F" w:rsidRDefault="00047122" w:rsidP="002B6B45">
            <w:pPr>
              <w:pStyle w:val="TableSubHead"/>
              <w:spacing w:after="8"/>
              <w:rPr>
                <w:rFonts w:ascii="Arial" w:hAnsi="Arial" w:cs="Arial"/>
                <w:sz w:val="20"/>
              </w:rPr>
            </w:pPr>
          </w:p>
        </w:tc>
      </w:tr>
      <w:tr w:rsidR="00047122" w:rsidRPr="0050345F" w14:paraId="2C14B09B" w14:textId="77777777" w:rsidTr="002B6B45">
        <w:tc>
          <w:tcPr>
            <w:tcW w:w="606" w:type="pct"/>
            <w:tcBorders>
              <w:top w:val="single" w:sz="12" w:space="0" w:color="auto"/>
              <w:bottom w:val="single" w:sz="4" w:space="0" w:color="auto"/>
            </w:tcBorders>
          </w:tcPr>
          <w:p w14:paraId="5D7C2F05" w14:textId="77777777" w:rsidR="00047122" w:rsidRPr="0050345F" w:rsidRDefault="00047122" w:rsidP="002B6B45">
            <w:pPr>
              <w:spacing w:after="8"/>
              <w:rPr>
                <w:rFonts w:ascii="Arial" w:hAnsi="Arial" w:cs="Arial"/>
                <w:sz w:val="20"/>
              </w:rPr>
            </w:pPr>
            <w:r w:rsidRPr="0050345F">
              <w:rPr>
                <w:rFonts w:ascii="Arial" w:hAnsi="Arial" w:cs="Arial"/>
                <w:sz w:val="20"/>
              </w:rPr>
              <w:lastRenderedPageBreak/>
              <w:t>Rationale</w:t>
            </w:r>
          </w:p>
        </w:tc>
        <w:tc>
          <w:tcPr>
            <w:tcW w:w="234" w:type="pct"/>
            <w:tcBorders>
              <w:top w:val="single" w:sz="12" w:space="0" w:color="auto"/>
              <w:bottom w:val="single" w:sz="4" w:space="0" w:color="auto"/>
            </w:tcBorders>
          </w:tcPr>
          <w:p w14:paraId="0024BB32" w14:textId="77777777" w:rsidR="00047122" w:rsidRPr="0050345F" w:rsidRDefault="00047122" w:rsidP="002B6B45">
            <w:pPr>
              <w:spacing w:after="8"/>
              <w:jc w:val="center"/>
              <w:rPr>
                <w:rFonts w:ascii="Arial" w:hAnsi="Arial" w:cs="Arial"/>
                <w:sz w:val="20"/>
              </w:rPr>
            </w:pPr>
            <w:r w:rsidRPr="0050345F">
              <w:rPr>
                <w:rFonts w:ascii="Arial" w:hAnsi="Arial" w:cs="Arial"/>
                <w:sz w:val="20"/>
              </w:rPr>
              <w:t>6</w:t>
            </w:r>
          </w:p>
        </w:tc>
        <w:tc>
          <w:tcPr>
            <w:tcW w:w="2080" w:type="pct"/>
            <w:tcBorders>
              <w:top w:val="single" w:sz="12" w:space="0" w:color="auto"/>
              <w:bottom w:val="single" w:sz="4" w:space="0" w:color="auto"/>
            </w:tcBorders>
          </w:tcPr>
          <w:p w14:paraId="1C2E219E" w14:textId="77777777" w:rsidR="00047122" w:rsidRPr="0050345F" w:rsidRDefault="00047122" w:rsidP="002B6B45">
            <w:pPr>
              <w:spacing w:after="8"/>
              <w:rPr>
                <w:rFonts w:ascii="Arial" w:hAnsi="Arial" w:cs="Arial"/>
                <w:sz w:val="20"/>
              </w:rPr>
            </w:pPr>
            <w:r w:rsidRPr="0050345F">
              <w:rPr>
                <w:rFonts w:ascii="Arial" w:hAnsi="Arial" w:cs="Arial"/>
                <w:sz w:val="20"/>
              </w:rPr>
              <w:t>Describe the rationale for the review in the context of what is already known</w:t>
            </w:r>
          </w:p>
        </w:tc>
        <w:tc>
          <w:tcPr>
            <w:tcW w:w="2080" w:type="pct"/>
            <w:tcBorders>
              <w:top w:val="single" w:sz="12" w:space="0" w:color="auto"/>
              <w:bottom w:val="single" w:sz="4" w:space="0" w:color="auto"/>
            </w:tcBorders>
          </w:tcPr>
          <w:p w14:paraId="30CC6392" w14:textId="30837A40" w:rsidR="00047122" w:rsidRPr="0050345F" w:rsidRDefault="00047122" w:rsidP="002B6B45">
            <w:pPr>
              <w:spacing w:after="8"/>
              <w:rPr>
                <w:rFonts w:ascii="Arial" w:hAnsi="Arial" w:cs="Arial"/>
                <w:sz w:val="20"/>
              </w:rPr>
            </w:pPr>
            <w:r w:rsidRPr="0050345F">
              <w:rPr>
                <w:rFonts w:ascii="Arial" w:hAnsi="Arial" w:cs="Arial"/>
                <w:sz w:val="20"/>
              </w:rPr>
              <w:t>A systematic review of treatment guidelines for MDD published in English language found that all the ten identified guidelines recommend atypical antipsychotics augmentation, but with caution due to the potential side effects. Of note, the dose range of aripiprazole recommended in the guidelines was wide: from 2 to 15 mg. This may result in some patients receiving a dose lower than it needs to be to be effective, and some patients receiving a higher dose that only increases the risk of adverse events without additional benefits. Finding optimal target dose will enable clinicians to use aripiprazole augmentation efficiently. We aim to summarize the currently available evidence with the use of dose-response meta-analysis to inform this clinical question.</w:t>
            </w:r>
          </w:p>
        </w:tc>
      </w:tr>
      <w:tr w:rsidR="00047122" w:rsidRPr="0050345F" w14:paraId="184983E7" w14:textId="77777777" w:rsidTr="002B6B45">
        <w:tc>
          <w:tcPr>
            <w:tcW w:w="606" w:type="pct"/>
            <w:tcBorders>
              <w:top w:val="single" w:sz="4" w:space="0" w:color="auto"/>
              <w:bottom w:val="single" w:sz="12" w:space="0" w:color="auto"/>
            </w:tcBorders>
          </w:tcPr>
          <w:p w14:paraId="30C7F89C" w14:textId="77777777" w:rsidR="00047122" w:rsidRPr="0050345F" w:rsidRDefault="00047122" w:rsidP="002B6B45">
            <w:pPr>
              <w:spacing w:after="8"/>
              <w:rPr>
                <w:rFonts w:ascii="Arial" w:hAnsi="Arial" w:cs="Arial"/>
                <w:sz w:val="20"/>
              </w:rPr>
            </w:pPr>
            <w:r w:rsidRPr="0050345F">
              <w:rPr>
                <w:rFonts w:ascii="Arial" w:hAnsi="Arial" w:cs="Arial"/>
                <w:sz w:val="20"/>
              </w:rPr>
              <w:t>Objectives</w:t>
            </w:r>
          </w:p>
        </w:tc>
        <w:tc>
          <w:tcPr>
            <w:tcW w:w="234" w:type="pct"/>
            <w:tcBorders>
              <w:top w:val="single" w:sz="4" w:space="0" w:color="auto"/>
              <w:bottom w:val="single" w:sz="12" w:space="0" w:color="auto"/>
            </w:tcBorders>
          </w:tcPr>
          <w:p w14:paraId="02994B66" w14:textId="77777777" w:rsidR="00047122" w:rsidRPr="0050345F" w:rsidRDefault="00047122" w:rsidP="002B6B45">
            <w:pPr>
              <w:spacing w:after="8"/>
              <w:jc w:val="center"/>
              <w:rPr>
                <w:rFonts w:ascii="Arial" w:hAnsi="Arial" w:cs="Arial"/>
                <w:sz w:val="20"/>
              </w:rPr>
            </w:pPr>
            <w:r w:rsidRPr="0050345F">
              <w:rPr>
                <w:rFonts w:ascii="Arial" w:hAnsi="Arial" w:cs="Arial"/>
                <w:sz w:val="20"/>
              </w:rPr>
              <w:t>7</w:t>
            </w:r>
          </w:p>
        </w:tc>
        <w:tc>
          <w:tcPr>
            <w:tcW w:w="2080" w:type="pct"/>
            <w:tcBorders>
              <w:top w:val="single" w:sz="4" w:space="0" w:color="auto"/>
              <w:bottom w:val="single" w:sz="12" w:space="0" w:color="auto"/>
            </w:tcBorders>
          </w:tcPr>
          <w:p w14:paraId="4DEE298C" w14:textId="77777777" w:rsidR="00047122" w:rsidRPr="0050345F" w:rsidRDefault="00047122" w:rsidP="002B6B45">
            <w:pPr>
              <w:spacing w:after="8"/>
              <w:rPr>
                <w:rFonts w:ascii="Arial" w:hAnsi="Arial" w:cs="Arial"/>
                <w:sz w:val="20"/>
              </w:rPr>
            </w:pPr>
            <w:r w:rsidRPr="0050345F">
              <w:rPr>
                <w:rFonts w:ascii="Arial" w:hAnsi="Arial" w:cs="Arial"/>
                <w:sz w:val="20"/>
              </w:rPr>
              <w:t>Provide an explicit statement of the question(s) the review will address with reference to participants, interventions, comparators, and outcomes (PICO)</w:t>
            </w:r>
          </w:p>
        </w:tc>
        <w:tc>
          <w:tcPr>
            <w:tcW w:w="2080" w:type="pct"/>
            <w:tcBorders>
              <w:top w:val="single" w:sz="4" w:space="0" w:color="auto"/>
              <w:bottom w:val="single" w:sz="12" w:space="0" w:color="auto"/>
            </w:tcBorders>
          </w:tcPr>
          <w:p w14:paraId="44BCC11E" w14:textId="6EACEAD4" w:rsidR="00047122" w:rsidRPr="0050345F" w:rsidRDefault="00047122" w:rsidP="002B6B45">
            <w:pPr>
              <w:spacing w:after="8"/>
              <w:rPr>
                <w:rFonts w:ascii="Arial" w:hAnsi="Arial" w:cs="Arial"/>
                <w:sz w:val="20"/>
              </w:rPr>
            </w:pPr>
            <w:r w:rsidRPr="0050345F">
              <w:rPr>
                <w:rFonts w:ascii="Arial" w:hAnsi="Arial" w:cs="Arial"/>
                <w:sz w:val="20"/>
              </w:rPr>
              <w:t>To investigate the dose-response relationship of aripiprazole as an augmentation agent for treating major depression with inadequate response to antidepressant therapy.</w:t>
            </w:r>
          </w:p>
        </w:tc>
      </w:tr>
      <w:tr w:rsidR="00047122" w:rsidRPr="0050345F" w14:paraId="09B6669E" w14:textId="77777777" w:rsidTr="002B6B45">
        <w:tc>
          <w:tcPr>
            <w:tcW w:w="2920" w:type="pct"/>
            <w:gridSpan w:val="3"/>
            <w:tcBorders>
              <w:top w:val="single" w:sz="12" w:space="0" w:color="auto"/>
              <w:bottom w:val="single" w:sz="12" w:space="0" w:color="auto"/>
            </w:tcBorders>
          </w:tcPr>
          <w:p w14:paraId="5755ECE3" w14:textId="77777777" w:rsidR="00047122" w:rsidRPr="0050345F" w:rsidRDefault="00047122" w:rsidP="002B6B45">
            <w:pPr>
              <w:pStyle w:val="TableSubHead"/>
              <w:spacing w:after="8"/>
              <w:rPr>
                <w:rFonts w:ascii="Arial" w:hAnsi="Arial" w:cs="Arial"/>
                <w:sz w:val="20"/>
              </w:rPr>
            </w:pPr>
            <w:r w:rsidRPr="0050345F">
              <w:rPr>
                <w:rFonts w:ascii="Arial" w:hAnsi="Arial" w:cs="Arial"/>
                <w:sz w:val="20"/>
              </w:rPr>
              <w:t>METHODS</w:t>
            </w:r>
          </w:p>
        </w:tc>
        <w:tc>
          <w:tcPr>
            <w:tcW w:w="2080" w:type="pct"/>
            <w:tcBorders>
              <w:top w:val="single" w:sz="12" w:space="0" w:color="auto"/>
              <w:bottom w:val="single" w:sz="12" w:space="0" w:color="auto"/>
            </w:tcBorders>
          </w:tcPr>
          <w:p w14:paraId="166DB49B" w14:textId="77777777" w:rsidR="00047122" w:rsidRPr="0050345F" w:rsidRDefault="00047122" w:rsidP="002B6B45">
            <w:pPr>
              <w:pStyle w:val="TableSubHead"/>
              <w:spacing w:after="8"/>
              <w:rPr>
                <w:rFonts w:ascii="Arial" w:hAnsi="Arial" w:cs="Arial"/>
                <w:sz w:val="20"/>
              </w:rPr>
            </w:pPr>
          </w:p>
        </w:tc>
      </w:tr>
      <w:tr w:rsidR="00047122" w:rsidRPr="0050345F" w14:paraId="7DDFF013" w14:textId="77777777" w:rsidTr="002B6B45">
        <w:tc>
          <w:tcPr>
            <w:tcW w:w="606" w:type="pct"/>
            <w:tcBorders>
              <w:top w:val="single" w:sz="12" w:space="0" w:color="auto"/>
              <w:bottom w:val="single" w:sz="4" w:space="0" w:color="auto"/>
            </w:tcBorders>
          </w:tcPr>
          <w:p w14:paraId="358B79BD" w14:textId="77777777" w:rsidR="00047122" w:rsidRPr="0050345F" w:rsidRDefault="00047122" w:rsidP="002B6B45">
            <w:pPr>
              <w:spacing w:after="8"/>
              <w:rPr>
                <w:rFonts w:ascii="Arial" w:hAnsi="Arial" w:cs="Arial"/>
                <w:sz w:val="20"/>
              </w:rPr>
            </w:pPr>
            <w:r w:rsidRPr="0050345F">
              <w:rPr>
                <w:rFonts w:ascii="Arial" w:hAnsi="Arial" w:cs="Arial"/>
                <w:sz w:val="20"/>
              </w:rPr>
              <w:t>Eligibility criteria</w:t>
            </w:r>
          </w:p>
        </w:tc>
        <w:tc>
          <w:tcPr>
            <w:tcW w:w="234" w:type="pct"/>
            <w:tcBorders>
              <w:top w:val="single" w:sz="12" w:space="0" w:color="auto"/>
              <w:bottom w:val="single" w:sz="4" w:space="0" w:color="auto"/>
            </w:tcBorders>
          </w:tcPr>
          <w:p w14:paraId="42CA264B" w14:textId="77777777" w:rsidR="00047122" w:rsidRPr="0050345F" w:rsidRDefault="00047122" w:rsidP="002B6B45">
            <w:pPr>
              <w:spacing w:after="8"/>
              <w:jc w:val="center"/>
              <w:rPr>
                <w:rFonts w:ascii="Arial" w:hAnsi="Arial" w:cs="Arial"/>
                <w:sz w:val="20"/>
              </w:rPr>
            </w:pPr>
            <w:r w:rsidRPr="0050345F">
              <w:rPr>
                <w:rFonts w:ascii="Arial" w:hAnsi="Arial" w:cs="Arial"/>
                <w:sz w:val="20"/>
              </w:rPr>
              <w:t>8</w:t>
            </w:r>
          </w:p>
        </w:tc>
        <w:tc>
          <w:tcPr>
            <w:tcW w:w="2080" w:type="pct"/>
            <w:tcBorders>
              <w:top w:val="single" w:sz="12" w:space="0" w:color="auto"/>
              <w:bottom w:val="single" w:sz="4" w:space="0" w:color="auto"/>
            </w:tcBorders>
          </w:tcPr>
          <w:p w14:paraId="602BF4E5" w14:textId="77777777" w:rsidR="00047122" w:rsidRPr="0050345F" w:rsidRDefault="00047122" w:rsidP="002B6B45">
            <w:pPr>
              <w:spacing w:after="8"/>
              <w:rPr>
                <w:rFonts w:ascii="Arial" w:hAnsi="Arial" w:cs="Arial"/>
                <w:sz w:val="20"/>
              </w:rPr>
            </w:pPr>
            <w:r w:rsidRPr="0050345F">
              <w:rPr>
                <w:rFonts w:ascii="Arial" w:hAnsi="Arial" w:cs="Arial"/>
                <w:sz w:val="20"/>
              </w:rPr>
              <w:t>Specify the study characteristics (such as PICO, study design, setting, time frame) and report characteristics (such as years considered, language, publication status) to be used as criteria for eligibility for the review</w:t>
            </w:r>
          </w:p>
        </w:tc>
        <w:tc>
          <w:tcPr>
            <w:tcW w:w="2080" w:type="pct"/>
            <w:tcBorders>
              <w:top w:val="single" w:sz="12" w:space="0" w:color="auto"/>
              <w:bottom w:val="single" w:sz="4" w:space="0" w:color="auto"/>
            </w:tcBorders>
          </w:tcPr>
          <w:p w14:paraId="5093A876" w14:textId="77777777" w:rsidR="00047122" w:rsidRPr="0050345F" w:rsidRDefault="00047122" w:rsidP="00047122">
            <w:pPr>
              <w:spacing w:after="8"/>
              <w:rPr>
                <w:rFonts w:ascii="Arial" w:hAnsi="Arial" w:cs="Arial"/>
                <w:sz w:val="20"/>
              </w:rPr>
            </w:pPr>
            <w:r w:rsidRPr="0050345F">
              <w:rPr>
                <w:rFonts w:ascii="Arial" w:hAnsi="Arial" w:cs="Arial"/>
                <w:sz w:val="20"/>
              </w:rPr>
              <w:t>Criteria for considering studies for this review</w:t>
            </w:r>
          </w:p>
          <w:p w14:paraId="4BB2901B" w14:textId="77777777" w:rsidR="00047122" w:rsidRPr="0050345F" w:rsidRDefault="00047122" w:rsidP="00047122">
            <w:pPr>
              <w:spacing w:after="8"/>
              <w:rPr>
                <w:rFonts w:ascii="Arial" w:hAnsi="Arial" w:cs="Arial"/>
                <w:sz w:val="20"/>
              </w:rPr>
            </w:pPr>
            <w:r w:rsidRPr="0050345F">
              <w:rPr>
                <w:rFonts w:ascii="Arial" w:hAnsi="Arial" w:cs="Arial"/>
                <w:sz w:val="20"/>
              </w:rPr>
              <w:t>Types of studies</w:t>
            </w:r>
          </w:p>
          <w:p w14:paraId="1C4F4276" w14:textId="77777777" w:rsidR="00047122" w:rsidRPr="0050345F" w:rsidRDefault="00047122" w:rsidP="00047122">
            <w:pPr>
              <w:spacing w:after="8"/>
              <w:rPr>
                <w:rFonts w:ascii="Arial" w:hAnsi="Arial" w:cs="Arial"/>
                <w:sz w:val="20"/>
              </w:rPr>
            </w:pPr>
            <w:r w:rsidRPr="0050345F">
              <w:rPr>
                <w:rFonts w:ascii="Arial" w:hAnsi="Arial" w:cs="Arial"/>
                <w:sz w:val="20"/>
              </w:rPr>
              <w:t xml:space="preserve">All randomized controlled studies reported as assessor-blinded. Quasi-randomized trials (such as those allocating by using alternate days of the week) will be excluded. Cross-over and cluster randomized trials will be included. We will not include studies where sequence generation was at high risk of bias, or </w:t>
            </w:r>
            <w:r w:rsidRPr="0050345F">
              <w:rPr>
                <w:rFonts w:ascii="Arial" w:hAnsi="Arial" w:cs="Arial"/>
                <w:sz w:val="20"/>
              </w:rPr>
              <w:lastRenderedPageBreak/>
              <w:t>where the allocation was clearly not concealed.</w:t>
            </w:r>
          </w:p>
          <w:p w14:paraId="27B57CDD" w14:textId="77777777" w:rsidR="00047122" w:rsidRPr="0050345F" w:rsidRDefault="00047122" w:rsidP="00047122">
            <w:pPr>
              <w:spacing w:after="8"/>
              <w:rPr>
                <w:rFonts w:ascii="Arial" w:hAnsi="Arial" w:cs="Arial"/>
                <w:sz w:val="20"/>
              </w:rPr>
            </w:pPr>
            <w:r w:rsidRPr="0050345F">
              <w:rPr>
                <w:rFonts w:ascii="Arial" w:hAnsi="Arial" w:cs="Arial"/>
                <w:sz w:val="20"/>
              </w:rPr>
              <w:t>Types of participants</w:t>
            </w:r>
          </w:p>
          <w:p w14:paraId="7883F583" w14:textId="77777777" w:rsidR="00047122" w:rsidRPr="0050345F" w:rsidRDefault="00047122" w:rsidP="00047122">
            <w:pPr>
              <w:spacing w:after="8"/>
              <w:rPr>
                <w:rFonts w:ascii="Arial" w:hAnsi="Arial" w:cs="Arial"/>
                <w:sz w:val="20"/>
              </w:rPr>
            </w:pPr>
            <w:r w:rsidRPr="0050345F">
              <w:rPr>
                <w:rFonts w:ascii="Arial" w:hAnsi="Arial" w:cs="Arial"/>
                <w:sz w:val="20"/>
              </w:rPr>
              <w:t>Patients aged 18 years or older of both sexes, with a primary diagnosis of major depressive disorder according to standard operationalized diagnostic criteria (Feighner Criteria, Research Diagnostic Criteria, DSM-III, DSM-III-R, DSM-IV, DSM-5, ICD-10) with inadequate response to at least one trial of antidepressant therapy. Treatment-resistance will be evaluated by Thase and Rush Staging Model.(18) Trials with patients managed with drugs, with or without psychotherapy, and without electro-convulsive therapy (stage 0-4) will be included. Trials examining aripiprazole augmentation as the initial treatment option will be excluded. In order to make the analysis relevant to current practice, where fewer and fewer tricyclic antidepressants are prescribed and new-generation antidepressants are used more often, (19) trials with 80% or more patients initially treated with new-generation drugs will be included. Trials with 20% or more patients initially treated with tricyclic antidepressants will be excluded. Trials for depressive patients with a serious concomitant physical illness will be excluded. Trials of women with postpartum depression will also be excluded.</w:t>
            </w:r>
          </w:p>
          <w:p w14:paraId="796E8A83" w14:textId="77777777" w:rsidR="00047122" w:rsidRPr="0050345F" w:rsidRDefault="00047122" w:rsidP="00047122">
            <w:pPr>
              <w:spacing w:after="8"/>
              <w:rPr>
                <w:rFonts w:ascii="Arial" w:hAnsi="Arial" w:cs="Arial"/>
                <w:sz w:val="20"/>
              </w:rPr>
            </w:pPr>
            <w:r w:rsidRPr="0050345F">
              <w:rPr>
                <w:rFonts w:ascii="Arial" w:hAnsi="Arial" w:cs="Arial"/>
                <w:sz w:val="20"/>
              </w:rPr>
              <w:t>Types of interventions</w:t>
            </w:r>
          </w:p>
          <w:p w14:paraId="115ED361" w14:textId="20C4C166" w:rsidR="00047122" w:rsidRPr="0050345F" w:rsidRDefault="00047122" w:rsidP="00047122">
            <w:pPr>
              <w:spacing w:after="8"/>
              <w:rPr>
                <w:rFonts w:ascii="Arial" w:hAnsi="Arial" w:cs="Arial"/>
                <w:sz w:val="20"/>
              </w:rPr>
            </w:pPr>
            <w:r w:rsidRPr="0050345F">
              <w:rPr>
                <w:rFonts w:ascii="Arial" w:hAnsi="Arial" w:cs="Arial"/>
                <w:sz w:val="20"/>
              </w:rPr>
              <w:t>We will compare aripiprazole augmentation to continuation of the antidepressant already used with or without placebo augmentation. Aripiprazole monotherapy will be excluded. Both fixed and flexible-</w:t>
            </w:r>
            <w:r w:rsidRPr="0050345F">
              <w:rPr>
                <w:rFonts w:ascii="Arial" w:hAnsi="Arial" w:cs="Arial"/>
                <w:sz w:val="20"/>
              </w:rPr>
              <w:lastRenderedPageBreak/>
              <w:t>dose designs will be allowed. We will only use the fixed-dose arms for primary analyses and include flexible-dose arms for sensitivity analyses.</w:t>
            </w:r>
          </w:p>
        </w:tc>
      </w:tr>
      <w:tr w:rsidR="00047122" w:rsidRPr="0050345F" w14:paraId="3B73A4B1" w14:textId="77777777" w:rsidTr="002B6B45">
        <w:tc>
          <w:tcPr>
            <w:tcW w:w="606" w:type="pct"/>
            <w:tcBorders>
              <w:top w:val="single" w:sz="4" w:space="0" w:color="auto"/>
              <w:bottom w:val="single" w:sz="4" w:space="0" w:color="auto"/>
            </w:tcBorders>
          </w:tcPr>
          <w:p w14:paraId="1309FFD1" w14:textId="77777777" w:rsidR="00047122" w:rsidRPr="0050345F" w:rsidRDefault="00047122" w:rsidP="002B6B45">
            <w:pPr>
              <w:spacing w:after="8"/>
              <w:rPr>
                <w:rFonts w:ascii="Arial" w:hAnsi="Arial" w:cs="Arial"/>
                <w:sz w:val="20"/>
              </w:rPr>
            </w:pPr>
            <w:r w:rsidRPr="0050345F">
              <w:rPr>
                <w:rFonts w:ascii="Arial" w:hAnsi="Arial" w:cs="Arial"/>
                <w:sz w:val="20"/>
              </w:rPr>
              <w:lastRenderedPageBreak/>
              <w:t>Information sources</w:t>
            </w:r>
          </w:p>
        </w:tc>
        <w:tc>
          <w:tcPr>
            <w:tcW w:w="234" w:type="pct"/>
            <w:tcBorders>
              <w:top w:val="single" w:sz="4" w:space="0" w:color="auto"/>
              <w:bottom w:val="single" w:sz="4" w:space="0" w:color="auto"/>
            </w:tcBorders>
          </w:tcPr>
          <w:p w14:paraId="01A7B299" w14:textId="77777777" w:rsidR="00047122" w:rsidRPr="0050345F" w:rsidRDefault="00047122" w:rsidP="002B6B45">
            <w:pPr>
              <w:spacing w:after="8"/>
              <w:jc w:val="center"/>
              <w:rPr>
                <w:rFonts w:ascii="Arial" w:hAnsi="Arial" w:cs="Arial"/>
                <w:sz w:val="20"/>
              </w:rPr>
            </w:pPr>
            <w:r w:rsidRPr="0050345F">
              <w:rPr>
                <w:rFonts w:ascii="Arial" w:hAnsi="Arial" w:cs="Arial"/>
                <w:sz w:val="20"/>
              </w:rPr>
              <w:t>9</w:t>
            </w:r>
          </w:p>
        </w:tc>
        <w:tc>
          <w:tcPr>
            <w:tcW w:w="2080" w:type="pct"/>
            <w:tcBorders>
              <w:top w:val="single" w:sz="4" w:space="0" w:color="auto"/>
              <w:bottom w:val="single" w:sz="4" w:space="0" w:color="auto"/>
            </w:tcBorders>
          </w:tcPr>
          <w:p w14:paraId="197B3781" w14:textId="77777777" w:rsidR="00047122" w:rsidRPr="0050345F" w:rsidRDefault="00047122" w:rsidP="002B6B45">
            <w:pPr>
              <w:spacing w:after="8"/>
              <w:rPr>
                <w:rFonts w:ascii="Arial" w:hAnsi="Arial" w:cs="Arial"/>
                <w:sz w:val="20"/>
              </w:rPr>
            </w:pPr>
            <w:r w:rsidRPr="0050345F">
              <w:rPr>
                <w:rFonts w:ascii="Arial" w:hAnsi="Arial" w:cs="Arial"/>
                <w:sz w:val="20"/>
              </w:rPr>
              <w:t>Describe all intended information sources (such as electronic databases, contact with study authors, trial registers or other grey literature sources) with planned dates of coverage</w:t>
            </w:r>
          </w:p>
        </w:tc>
        <w:tc>
          <w:tcPr>
            <w:tcW w:w="2080" w:type="pct"/>
            <w:tcBorders>
              <w:top w:val="single" w:sz="4" w:space="0" w:color="auto"/>
              <w:bottom w:val="single" w:sz="4" w:space="0" w:color="auto"/>
            </w:tcBorders>
          </w:tcPr>
          <w:p w14:paraId="270D11E1" w14:textId="1D087FA6" w:rsidR="00047122" w:rsidRPr="0050345F" w:rsidRDefault="00047122" w:rsidP="002B6B45">
            <w:pPr>
              <w:spacing w:after="8"/>
              <w:rPr>
                <w:rFonts w:ascii="Arial" w:hAnsi="Arial" w:cs="Arial"/>
                <w:sz w:val="20"/>
              </w:rPr>
            </w:pPr>
            <w:r w:rsidRPr="0050345F">
              <w:rPr>
                <w:rFonts w:ascii="Arial" w:hAnsi="Arial" w:cs="Arial"/>
                <w:sz w:val="20"/>
              </w:rPr>
              <w:t>CENTRAL and PubMed. ClinicalTrials.gov and the WHO's trials portal (ICTRP). The Food and Drug Administration (USA), the European Medicines Agency (EU), the Medicines and Healthcare products Regulatory Agency (UK), the Therapeutic Goods Administration (Australia) and the Pharmaceuticals and Medical Devices Agency (Japan). Otsuka Pharmaceutical Co., Ltd. Reference lists.</w:t>
            </w:r>
          </w:p>
        </w:tc>
      </w:tr>
      <w:tr w:rsidR="00047122" w:rsidRPr="0050345F" w14:paraId="0FB2EFF3" w14:textId="77777777" w:rsidTr="002B6B45">
        <w:tc>
          <w:tcPr>
            <w:tcW w:w="606" w:type="pct"/>
            <w:tcBorders>
              <w:top w:val="single" w:sz="4" w:space="0" w:color="auto"/>
              <w:bottom w:val="single" w:sz="4" w:space="0" w:color="auto"/>
            </w:tcBorders>
          </w:tcPr>
          <w:p w14:paraId="5E81E21E" w14:textId="77777777" w:rsidR="00047122" w:rsidRPr="0050345F" w:rsidRDefault="00047122" w:rsidP="002B6B45">
            <w:pPr>
              <w:spacing w:after="8"/>
              <w:rPr>
                <w:rFonts w:ascii="Arial" w:hAnsi="Arial" w:cs="Arial"/>
                <w:sz w:val="20"/>
              </w:rPr>
            </w:pPr>
            <w:r w:rsidRPr="0050345F">
              <w:rPr>
                <w:rFonts w:ascii="Arial" w:hAnsi="Arial" w:cs="Arial"/>
                <w:sz w:val="20"/>
              </w:rPr>
              <w:t>Search strategy</w:t>
            </w:r>
          </w:p>
        </w:tc>
        <w:tc>
          <w:tcPr>
            <w:tcW w:w="234" w:type="pct"/>
            <w:tcBorders>
              <w:top w:val="single" w:sz="4" w:space="0" w:color="auto"/>
              <w:bottom w:val="single" w:sz="4" w:space="0" w:color="auto"/>
            </w:tcBorders>
          </w:tcPr>
          <w:p w14:paraId="37CC89E4" w14:textId="77777777" w:rsidR="00047122" w:rsidRPr="0050345F" w:rsidRDefault="00047122" w:rsidP="002B6B45">
            <w:pPr>
              <w:spacing w:after="8"/>
              <w:jc w:val="center"/>
              <w:rPr>
                <w:rFonts w:ascii="Arial" w:hAnsi="Arial" w:cs="Arial"/>
                <w:sz w:val="20"/>
              </w:rPr>
            </w:pPr>
            <w:r w:rsidRPr="0050345F">
              <w:rPr>
                <w:rFonts w:ascii="Arial" w:hAnsi="Arial" w:cs="Arial"/>
                <w:sz w:val="20"/>
              </w:rPr>
              <w:t>10</w:t>
            </w:r>
          </w:p>
        </w:tc>
        <w:tc>
          <w:tcPr>
            <w:tcW w:w="2080" w:type="pct"/>
            <w:tcBorders>
              <w:top w:val="single" w:sz="4" w:space="0" w:color="auto"/>
              <w:bottom w:val="single" w:sz="4" w:space="0" w:color="auto"/>
            </w:tcBorders>
          </w:tcPr>
          <w:p w14:paraId="3CD2C65F" w14:textId="77777777" w:rsidR="00047122" w:rsidRPr="0050345F" w:rsidRDefault="00047122" w:rsidP="002B6B45">
            <w:pPr>
              <w:spacing w:after="8"/>
              <w:rPr>
                <w:rFonts w:ascii="Arial" w:hAnsi="Arial" w:cs="Arial"/>
                <w:sz w:val="20"/>
              </w:rPr>
            </w:pPr>
            <w:r w:rsidRPr="0050345F">
              <w:rPr>
                <w:rFonts w:ascii="Arial" w:hAnsi="Arial" w:cs="Arial"/>
                <w:sz w:val="20"/>
              </w:rPr>
              <w:t>Present draft of search strategy to be used for at least one electronic database, including planned limits, such that it could be repeated</w:t>
            </w:r>
          </w:p>
        </w:tc>
        <w:tc>
          <w:tcPr>
            <w:tcW w:w="2080" w:type="pct"/>
            <w:tcBorders>
              <w:top w:val="single" w:sz="4" w:space="0" w:color="auto"/>
              <w:bottom w:val="single" w:sz="4" w:space="0" w:color="auto"/>
            </w:tcBorders>
          </w:tcPr>
          <w:p w14:paraId="7D10FC7B" w14:textId="0DBF833D" w:rsidR="00047122" w:rsidRPr="0050345F" w:rsidRDefault="00047122" w:rsidP="002B6B45">
            <w:pPr>
              <w:spacing w:after="8"/>
              <w:rPr>
                <w:rFonts w:ascii="Arial" w:hAnsi="Arial" w:cs="Arial"/>
                <w:sz w:val="20"/>
              </w:rPr>
            </w:pPr>
            <w:r w:rsidRPr="0050345F">
              <w:rPr>
                <w:rFonts w:ascii="Arial" w:hAnsi="Arial" w:cs="Arial"/>
                <w:sz w:val="20"/>
              </w:rPr>
              <w:t>We will use broad search terms for depression (depress* or dysthymi* or adjustment disorder* or mood disorder* or affective disorder or affective symptoms) in conjunction with generic and commercial names (Aripiprazole or Abilify).</w:t>
            </w:r>
          </w:p>
        </w:tc>
      </w:tr>
      <w:tr w:rsidR="00047122" w:rsidRPr="0050345F" w14:paraId="3BE59C56" w14:textId="77777777" w:rsidTr="002B6B45">
        <w:tc>
          <w:tcPr>
            <w:tcW w:w="606" w:type="pct"/>
            <w:tcBorders>
              <w:top w:val="single" w:sz="4" w:space="0" w:color="auto"/>
            </w:tcBorders>
          </w:tcPr>
          <w:p w14:paraId="5EABFB17" w14:textId="77777777" w:rsidR="00047122" w:rsidRPr="0050345F" w:rsidRDefault="00047122" w:rsidP="002B6B45">
            <w:pPr>
              <w:spacing w:after="8"/>
              <w:rPr>
                <w:rFonts w:ascii="Arial" w:hAnsi="Arial" w:cs="Arial"/>
                <w:sz w:val="20"/>
              </w:rPr>
            </w:pPr>
            <w:r w:rsidRPr="0050345F">
              <w:rPr>
                <w:rFonts w:ascii="Arial" w:hAnsi="Arial" w:cs="Arial"/>
                <w:sz w:val="20"/>
              </w:rPr>
              <w:t>Study records:</w:t>
            </w:r>
          </w:p>
        </w:tc>
        <w:tc>
          <w:tcPr>
            <w:tcW w:w="234" w:type="pct"/>
            <w:tcBorders>
              <w:top w:val="single" w:sz="4" w:space="0" w:color="auto"/>
            </w:tcBorders>
          </w:tcPr>
          <w:p w14:paraId="06CC9BF1" w14:textId="77777777" w:rsidR="00047122" w:rsidRPr="0050345F" w:rsidRDefault="00047122" w:rsidP="002B6B45">
            <w:pPr>
              <w:spacing w:after="8"/>
              <w:jc w:val="center"/>
              <w:rPr>
                <w:rFonts w:ascii="Arial" w:hAnsi="Arial" w:cs="Arial"/>
                <w:sz w:val="20"/>
              </w:rPr>
            </w:pPr>
          </w:p>
        </w:tc>
        <w:tc>
          <w:tcPr>
            <w:tcW w:w="2080" w:type="pct"/>
            <w:tcBorders>
              <w:top w:val="single" w:sz="4" w:space="0" w:color="auto"/>
            </w:tcBorders>
          </w:tcPr>
          <w:p w14:paraId="72872651" w14:textId="77777777" w:rsidR="00047122" w:rsidRPr="0050345F" w:rsidRDefault="00047122" w:rsidP="002B6B45">
            <w:pPr>
              <w:spacing w:after="8"/>
              <w:rPr>
                <w:rFonts w:ascii="Arial" w:hAnsi="Arial" w:cs="Arial"/>
                <w:sz w:val="20"/>
              </w:rPr>
            </w:pPr>
          </w:p>
        </w:tc>
        <w:tc>
          <w:tcPr>
            <w:tcW w:w="2080" w:type="pct"/>
            <w:tcBorders>
              <w:top w:val="single" w:sz="4" w:space="0" w:color="auto"/>
            </w:tcBorders>
          </w:tcPr>
          <w:p w14:paraId="45D5F35A" w14:textId="77777777" w:rsidR="00047122" w:rsidRPr="0050345F" w:rsidRDefault="00047122" w:rsidP="002B6B45">
            <w:pPr>
              <w:spacing w:after="8"/>
              <w:rPr>
                <w:rFonts w:ascii="Arial" w:hAnsi="Arial" w:cs="Arial"/>
                <w:sz w:val="20"/>
              </w:rPr>
            </w:pPr>
          </w:p>
        </w:tc>
      </w:tr>
      <w:tr w:rsidR="00047122" w:rsidRPr="0050345F" w14:paraId="349FA43A" w14:textId="77777777" w:rsidTr="002B6B45">
        <w:tc>
          <w:tcPr>
            <w:tcW w:w="606" w:type="pct"/>
          </w:tcPr>
          <w:p w14:paraId="72AB6482" w14:textId="77777777" w:rsidR="00047122" w:rsidRPr="0050345F" w:rsidRDefault="00047122" w:rsidP="002B6B45">
            <w:pPr>
              <w:spacing w:after="8"/>
              <w:ind w:left="284"/>
              <w:rPr>
                <w:rFonts w:ascii="Arial" w:hAnsi="Arial" w:cs="Arial"/>
                <w:sz w:val="20"/>
              </w:rPr>
            </w:pPr>
            <w:r w:rsidRPr="0050345F">
              <w:rPr>
                <w:rFonts w:ascii="Arial" w:hAnsi="Arial" w:cs="Arial"/>
                <w:sz w:val="20"/>
              </w:rPr>
              <w:t> </w:t>
            </w:r>
            <w:r w:rsidRPr="0050345F">
              <w:rPr>
                <w:rFonts w:ascii="Arial" w:hAnsi="Arial" w:cs="Arial"/>
                <w:sz w:val="20"/>
              </w:rPr>
              <w:t>Data management</w:t>
            </w:r>
          </w:p>
        </w:tc>
        <w:tc>
          <w:tcPr>
            <w:tcW w:w="234" w:type="pct"/>
          </w:tcPr>
          <w:p w14:paraId="343BC431" w14:textId="77777777" w:rsidR="00047122" w:rsidRPr="0050345F" w:rsidRDefault="00047122" w:rsidP="002B6B45">
            <w:pPr>
              <w:spacing w:after="8"/>
              <w:jc w:val="center"/>
              <w:rPr>
                <w:rFonts w:ascii="Arial" w:hAnsi="Arial" w:cs="Arial"/>
                <w:sz w:val="20"/>
              </w:rPr>
            </w:pPr>
            <w:r w:rsidRPr="0050345F">
              <w:rPr>
                <w:rFonts w:ascii="Arial" w:hAnsi="Arial" w:cs="Arial"/>
                <w:sz w:val="20"/>
              </w:rPr>
              <w:t>11a</w:t>
            </w:r>
          </w:p>
        </w:tc>
        <w:tc>
          <w:tcPr>
            <w:tcW w:w="2080" w:type="pct"/>
          </w:tcPr>
          <w:p w14:paraId="73E2541B" w14:textId="77777777" w:rsidR="00047122" w:rsidRPr="0050345F" w:rsidRDefault="00047122" w:rsidP="002B6B45">
            <w:pPr>
              <w:spacing w:after="8"/>
              <w:rPr>
                <w:rFonts w:ascii="Arial" w:hAnsi="Arial" w:cs="Arial"/>
                <w:sz w:val="20"/>
              </w:rPr>
            </w:pPr>
            <w:r w:rsidRPr="0050345F">
              <w:rPr>
                <w:rFonts w:ascii="Arial" w:hAnsi="Arial" w:cs="Arial"/>
                <w:sz w:val="20"/>
              </w:rPr>
              <w:t>Describe the mechanism(s) that will be used to manage records and data throughout the review</w:t>
            </w:r>
          </w:p>
        </w:tc>
        <w:tc>
          <w:tcPr>
            <w:tcW w:w="2080" w:type="pct"/>
          </w:tcPr>
          <w:p w14:paraId="4CC17483" w14:textId="50858BC7" w:rsidR="00047122" w:rsidRPr="0050345F" w:rsidRDefault="00047122" w:rsidP="002B6B45">
            <w:pPr>
              <w:spacing w:after="8"/>
              <w:rPr>
                <w:rFonts w:ascii="Arial" w:hAnsi="Arial" w:cs="Arial"/>
                <w:sz w:val="20"/>
              </w:rPr>
            </w:pPr>
            <w:r w:rsidRPr="0050345F">
              <w:rPr>
                <w:rFonts w:ascii="Arial" w:hAnsi="Arial" w:cs="Arial"/>
                <w:sz w:val="20"/>
              </w:rPr>
              <w:t>Two review authors will independently screen titles and abstracts</w:t>
            </w:r>
          </w:p>
        </w:tc>
      </w:tr>
      <w:tr w:rsidR="00047122" w:rsidRPr="0050345F" w14:paraId="20D279BF" w14:textId="77777777" w:rsidTr="002B6B45">
        <w:tc>
          <w:tcPr>
            <w:tcW w:w="606" w:type="pct"/>
          </w:tcPr>
          <w:p w14:paraId="6B6C085B" w14:textId="77777777" w:rsidR="00047122" w:rsidRPr="0050345F" w:rsidRDefault="00047122" w:rsidP="002B6B45">
            <w:pPr>
              <w:spacing w:after="8"/>
              <w:ind w:left="284"/>
              <w:rPr>
                <w:rFonts w:ascii="Arial" w:hAnsi="Arial" w:cs="Arial"/>
                <w:sz w:val="20"/>
              </w:rPr>
            </w:pPr>
            <w:r w:rsidRPr="0050345F">
              <w:rPr>
                <w:rFonts w:ascii="Arial" w:hAnsi="Arial" w:cs="Arial"/>
                <w:sz w:val="20"/>
              </w:rPr>
              <w:t> </w:t>
            </w:r>
            <w:r w:rsidRPr="0050345F">
              <w:rPr>
                <w:rFonts w:ascii="Arial" w:hAnsi="Arial" w:cs="Arial"/>
                <w:sz w:val="20"/>
              </w:rPr>
              <w:t>Selection process</w:t>
            </w:r>
          </w:p>
        </w:tc>
        <w:tc>
          <w:tcPr>
            <w:tcW w:w="234" w:type="pct"/>
          </w:tcPr>
          <w:p w14:paraId="2A89693F" w14:textId="77777777" w:rsidR="00047122" w:rsidRPr="0050345F" w:rsidRDefault="00047122" w:rsidP="002B6B45">
            <w:pPr>
              <w:spacing w:after="8"/>
              <w:jc w:val="center"/>
              <w:rPr>
                <w:rFonts w:ascii="Arial" w:hAnsi="Arial" w:cs="Arial"/>
                <w:sz w:val="20"/>
              </w:rPr>
            </w:pPr>
            <w:r w:rsidRPr="0050345F">
              <w:rPr>
                <w:rFonts w:ascii="Arial" w:hAnsi="Arial" w:cs="Arial"/>
                <w:sz w:val="20"/>
              </w:rPr>
              <w:t>11b</w:t>
            </w:r>
          </w:p>
        </w:tc>
        <w:tc>
          <w:tcPr>
            <w:tcW w:w="2080" w:type="pct"/>
          </w:tcPr>
          <w:p w14:paraId="749755CC" w14:textId="77777777" w:rsidR="00047122" w:rsidRPr="0050345F" w:rsidRDefault="00047122" w:rsidP="002B6B45">
            <w:pPr>
              <w:spacing w:after="8"/>
              <w:rPr>
                <w:rFonts w:ascii="Arial" w:hAnsi="Arial" w:cs="Arial"/>
                <w:sz w:val="20"/>
              </w:rPr>
            </w:pPr>
            <w:r w:rsidRPr="0050345F">
              <w:rPr>
                <w:rFonts w:ascii="Arial" w:hAnsi="Arial" w:cs="Arial"/>
                <w:sz w:val="20"/>
              </w:rPr>
              <w:t>State the process that will be used for selecting studies (such as two independent reviewers) through each phase of the review (that is, screening, eligibility and inclusion in meta-analysis)</w:t>
            </w:r>
          </w:p>
        </w:tc>
        <w:tc>
          <w:tcPr>
            <w:tcW w:w="2080" w:type="pct"/>
          </w:tcPr>
          <w:p w14:paraId="6CC370FD" w14:textId="629AD03C" w:rsidR="00047122" w:rsidRPr="0050345F" w:rsidRDefault="00047122" w:rsidP="002B6B45">
            <w:pPr>
              <w:spacing w:after="8"/>
              <w:rPr>
                <w:rFonts w:ascii="Arial" w:hAnsi="Arial" w:cs="Arial"/>
                <w:sz w:val="20"/>
              </w:rPr>
            </w:pPr>
            <w:r w:rsidRPr="0050345F">
              <w:rPr>
                <w:rFonts w:ascii="Arial" w:hAnsi="Arial" w:cs="Arial"/>
                <w:sz w:val="20"/>
              </w:rPr>
              <w:t>Two review authors will independently screen titles and abstracts</w:t>
            </w:r>
          </w:p>
        </w:tc>
      </w:tr>
      <w:tr w:rsidR="00047122" w:rsidRPr="0050345F" w14:paraId="6047DDA3" w14:textId="77777777" w:rsidTr="002B6B45">
        <w:tc>
          <w:tcPr>
            <w:tcW w:w="606" w:type="pct"/>
            <w:tcBorders>
              <w:bottom w:val="nil"/>
            </w:tcBorders>
          </w:tcPr>
          <w:p w14:paraId="45955427" w14:textId="77777777" w:rsidR="00047122" w:rsidRPr="0050345F" w:rsidRDefault="00047122" w:rsidP="002B6B45">
            <w:pPr>
              <w:spacing w:after="8"/>
              <w:ind w:left="284"/>
              <w:rPr>
                <w:rFonts w:ascii="Arial" w:hAnsi="Arial" w:cs="Arial"/>
                <w:sz w:val="20"/>
              </w:rPr>
            </w:pPr>
            <w:r w:rsidRPr="0050345F">
              <w:rPr>
                <w:rFonts w:ascii="Arial" w:hAnsi="Arial" w:cs="Arial"/>
                <w:sz w:val="20"/>
              </w:rPr>
              <w:t> </w:t>
            </w:r>
            <w:r w:rsidRPr="0050345F">
              <w:rPr>
                <w:rFonts w:ascii="Arial" w:hAnsi="Arial" w:cs="Arial"/>
                <w:sz w:val="20"/>
              </w:rPr>
              <w:t>Data collection process</w:t>
            </w:r>
          </w:p>
        </w:tc>
        <w:tc>
          <w:tcPr>
            <w:tcW w:w="234" w:type="pct"/>
            <w:tcBorders>
              <w:bottom w:val="nil"/>
            </w:tcBorders>
          </w:tcPr>
          <w:p w14:paraId="0CCA25C0" w14:textId="77777777" w:rsidR="00047122" w:rsidRPr="0050345F" w:rsidRDefault="00047122" w:rsidP="002B6B45">
            <w:pPr>
              <w:spacing w:after="8"/>
              <w:jc w:val="center"/>
              <w:rPr>
                <w:rFonts w:ascii="Arial" w:hAnsi="Arial" w:cs="Arial"/>
                <w:sz w:val="20"/>
              </w:rPr>
            </w:pPr>
            <w:r w:rsidRPr="0050345F">
              <w:rPr>
                <w:rFonts w:ascii="Arial" w:hAnsi="Arial" w:cs="Arial"/>
                <w:sz w:val="20"/>
              </w:rPr>
              <w:t>11c</w:t>
            </w:r>
          </w:p>
        </w:tc>
        <w:tc>
          <w:tcPr>
            <w:tcW w:w="2080" w:type="pct"/>
            <w:tcBorders>
              <w:bottom w:val="nil"/>
            </w:tcBorders>
          </w:tcPr>
          <w:p w14:paraId="4216F876" w14:textId="77777777" w:rsidR="00047122" w:rsidRPr="0050345F" w:rsidRDefault="00047122" w:rsidP="002B6B45">
            <w:pPr>
              <w:spacing w:after="8"/>
              <w:rPr>
                <w:rFonts w:ascii="Arial" w:hAnsi="Arial" w:cs="Arial"/>
                <w:sz w:val="20"/>
              </w:rPr>
            </w:pPr>
            <w:r w:rsidRPr="0050345F">
              <w:rPr>
                <w:rFonts w:ascii="Arial" w:hAnsi="Arial" w:cs="Arial"/>
                <w:sz w:val="20"/>
              </w:rPr>
              <w:t>Describe planned method of extracting data from reports (such as piloting forms, done independently, in duplicate), any processes for obtaining and confirming data from investigators</w:t>
            </w:r>
          </w:p>
        </w:tc>
        <w:tc>
          <w:tcPr>
            <w:tcW w:w="2080" w:type="pct"/>
            <w:tcBorders>
              <w:bottom w:val="nil"/>
            </w:tcBorders>
          </w:tcPr>
          <w:p w14:paraId="2D57EA30" w14:textId="77777777" w:rsidR="00047122" w:rsidRPr="0050345F" w:rsidRDefault="00047122" w:rsidP="00047122">
            <w:pPr>
              <w:spacing w:after="8"/>
              <w:rPr>
                <w:rFonts w:ascii="Arial" w:hAnsi="Arial" w:cs="Arial"/>
                <w:sz w:val="20"/>
              </w:rPr>
            </w:pPr>
            <w:r w:rsidRPr="0050345F">
              <w:rPr>
                <w:rFonts w:ascii="Arial" w:hAnsi="Arial" w:cs="Arial"/>
                <w:sz w:val="20"/>
              </w:rPr>
              <w:t>We will use a standardized data collection form for study characteristics and outcome data which will have been piloted on at least one study in the review. Two review authors will extract independently data from the included studies.</w:t>
            </w:r>
          </w:p>
          <w:p w14:paraId="6A506014" w14:textId="1BB0B86E" w:rsidR="00047122" w:rsidRPr="0050345F" w:rsidRDefault="00047122" w:rsidP="00047122">
            <w:pPr>
              <w:spacing w:after="8"/>
              <w:rPr>
                <w:rFonts w:ascii="Arial" w:hAnsi="Arial" w:cs="Arial"/>
                <w:sz w:val="20"/>
              </w:rPr>
            </w:pPr>
            <w:r w:rsidRPr="0050345F">
              <w:rPr>
                <w:rFonts w:ascii="Arial" w:hAnsi="Arial" w:cs="Arial"/>
                <w:sz w:val="20"/>
              </w:rPr>
              <w:lastRenderedPageBreak/>
              <w:t>Any disagreement will be resolved through discussion, or discussed with a third person if necessary.</w:t>
            </w:r>
          </w:p>
        </w:tc>
      </w:tr>
      <w:tr w:rsidR="00047122" w:rsidRPr="0050345F" w14:paraId="74BBA18D" w14:textId="77777777" w:rsidTr="002B6B45">
        <w:tc>
          <w:tcPr>
            <w:tcW w:w="606" w:type="pct"/>
            <w:tcBorders>
              <w:top w:val="nil"/>
              <w:bottom w:val="single" w:sz="4" w:space="0" w:color="auto"/>
            </w:tcBorders>
          </w:tcPr>
          <w:p w14:paraId="400EA542" w14:textId="77777777" w:rsidR="00047122" w:rsidRPr="0050345F" w:rsidRDefault="00047122" w:rsidP="002B6B45">
            <w:pPr>
              <w:spacing w:after="8"/>
              <w:rPr>
                <w:rFonts w:ascii="Arial" w:hAnsi="Arial" w:cs="Arial"/>
                <w:sz w:val="20"/>
              </w:rPr>
            </w:pPr>
            <w:r w:rsidRPr="0050345F">
              <w:rPr>
                <w:rFonts w:ascii="Arial" w:hAnsi="Arial" w:cs="Arial"/>
                <w:sz w:val="20"/>
              </w:rPr>
              <w:lastRenderedPageBreak/>
              <w:t>Data items</w:t>
            </w:r>
          </w:p>
        </w:tc>
        <w:tc>
          <w:tcPr>
            <w:tcW w:w="234" w:type="pct"/>
            <w:tcBorders>
              <w:top w:val="nil"/>
              <w:bottom w:val="single" w:sz="4" w:space="0" w:color="auto"/>
            </w:tcBorders>
          </w:tcPr>
          <w:p w14:paraId="0CE6B629" w14:textId="77777777" w:rsidR="00047122" w:rsidRPr="0050345F" w:rsidRDefault="00047122" w:rsidP="002B6B45">
            <w:pPr>
              <w:spacing w:after="8"/>
              <w:jc w:val="center"/>
              <w:rPr>
                <w:rFonts w:ascii="Arial" w:hAnsi="Arial" w:cs="Arial"/>
                <w:sz w:val="20"/>
              </w:rPr>
            </w:pPr>
            <w:r w:rsidRPr="0050345F">
              <w:rPr>
                <w:rFonts w:ascii="Arial" w:hAnsi="Arial" w:cs="Arial"/>
                <w:sz w:val="20"/>
              </w:rPr>
              <w:t>12</w:t>
            </w:r>
          </w:p>
        </w:tc>
        <w:tc>
          <w:tcPr>
            <w:tcW w:w="2080" w:type="pct"/>
            <w:tcBorders>
              <w:top w:val="nil"/>
              <w:bottom w:val="single" w:sz="4" w:space="0" w:color="auto"/>
            </w:tcBorders>
          </w:tcPr>
          <w:p w14:paraId="09E70CED" w14:textId="77777777" w:rsidR="00047122" w:rsidRPr="0050345F" w:rsidRDefault="00047122" w:rsidP="002B6B45">
            <w:pPr>
              <w:spacing w:after="8"/>
              <w:rPr>
                <w:rFonts w:ascii="Arial" w:hAnsi="Arial" w:cs="Arial"/>
                <w:sz w:val="20"/>
              </w:rPr>
            </w:pPr>
            <w:r w:rsidRPr="0050345F">
              <w:rPr>
                <w:rFonts w:ascii="Arial" w:hAnsi="Arial" w:cs="Arial"/>
                <w:sz w:val="20"/>
              </w:rPr>
              <w:t>List and define all variables for which data will be sought (such as PICO items, funding sources), any pre-planned data assumptions and simplifications</w:t>
            </w:r>
          </w:p>
        </w:tc>
        <w:tc>
          <w:tcPr>
            <w:tcW w:w="2080" w:type="pct"/>
            <w:tcBorders>
              <w:top w:val="nil"/>
              <w:bottom w:val="single" w:sz="4" w:space="0" w:color="auto"/>
            </w:tcBorders>
          </w:tcPr>
          <w:p w14:paraId="52B9D51F" w14:textId="77777777" w:rsidR="00047122" w:rsidRPr="0050345F" w:rsidRDefault="00047122" w:rsidP="00047122">
            <w:pPr>
              <w:spacing w:after="8"/>
              <w:rPr>
                <w:rFonts w:ascii="Arial" w:hAnsi="Arial" w:cs="Arial"/>
                <w:sz w:val="20"/>
              </w:rPr>
            </w:pPr>
            <w:r w:rsidRPr="0050345F">
              <w:rPr>
                <w:rFonts w:ascii="Arial" w:hAnsi="Arial" w:cs="Arial"/>
                <w:sz w:val="20"/>
              </w:rPr>
              <w:t>Patients (number of participants randomized to each arm, scale used, baseline severity mean &amp; standardized deviation (SD))</w:t>
            </w:r>
          </w:p>
          <w:p w14:paraId="3E31DF34" w14:textId="77777777" w:rsidR="00047122" w:rsidRPr="0050345F" w:rsidRDefault="00047122" w:rsidP="00047122">
            <w:pPr>
              <w:spacing w:after="8"/>
              <w:rPr>
                <w:rFonts w:ascii="Arial" w:hAnsi="Arial" w:cs="Arial"/>
                <w:sz w:val="20"/>
              </w:rPr>
            </w:pPr>
            <w:r w:rsidRPr="0050345F">
              <w:rPr>
                <w:rFonts w:ascii="Arial" w:hAnsi="Arial" w:cs="Arial"/>
                <w:sz w:val="20"/>
              </w:rPr>
              <w:t>Interventions (minimum dose, maximum dose, fixed or flexible, actual mean dose delivered)</w:t>
            </w:r>
          </w:p>
          <w:p w14:paraId="7FE7A541" w14:textId="1A4C98AC" w:rsidR="00047122" w:rsidRPr="0050345F" w:rsidRDefault="00047122" w:rsidP="00047122">
            <w:pPr>
              <w:spacing w:after="8"/>
              <w:rPr>
                <w:rFonts w:ascii="Arial" w:hAnsi="Arial" w:cs="Arial"/>
                <w:sz w:val="20"/>
              </w:rPr>
            </w:pPr>
            <w:r w:rsidRPr="0050345F">
              <w:rPr>
                <w:rFonts w:ascii="Arial" w:hAnsi="Arial" w:cs="Arial"/>
                <w:sz w:val="20"/>
              </w:rPr>
              <w:t>Outcomes (number of responders, drop outs for side effects, drop outs for any reason, timing in weeks, scale used, endpoint severity mean &amp; SD &amp; n (number assessed)).</w:t>
            </w:r>
          </w:p>
        </w:tc>
      </w:tr>
      <w:tr w:rsidR="00047122" w:rsidRPr="0050345F" w14:paraId="286604FF" w14:textId="77777777" w:rsidTr="002B6B45">
        <w:tc>
          <w:tcPr>
            <w:tcW w:w="606" w:type="pct"/>
            <w:tcBorders>
              <w:top w:val="single" w:sz="4" w:space="0" w:color="auto"/>
              <w:bottom w:val="single" w:sz="4" w:space="0" w:color="auto"/>
            </w:tcBorders>
          </w:tcPr>
          <w:p w14:paraId="5D3190A3" w14:textId="77777777" w:rsidR="00047122" w:rsidRPr="0050345F" w:rsidRDefault="00047122" w:rsidP="002B6B45">
            <w:pPr>
              <w:spacing w:after="8"/>
              <w:rPr>
                <w:rFonts w:ascii="Arial" w:hAnsi="Arial" w:cs="Arial"/>
                <w:sz w:val="20"/>
              </w:rPr>
            </w:pPr>
            <w:r w:rsidRPr="0050345F">
              <w:rPr>
                <w:rFonts w:ascii="Arial" w:hAnsi="Arial" w:cs="Arial"/>
                <w:sz w:val="20"/>
              </w:rPr>
              <w:t>Outcomes and prioritization</w:t>
            </w:r>
          </w:p>
        </w:tc>
        <w:tc>
          <w:tcPr>
            <w:tcW w:w="234" w:type="pct"/>
            <w:tcBorders>
              <w:top w:val="single" w:sz="4" w:space="0" w:color="auto"/>
              <w:bottom w:val="single" w:sz="4" w:space="0" w:color="auto"/>
            </w:tcBorders>
          </w:tcPr>
          <w:p w14:paraId="5186A524" w14:textId="77777777" w:rsidR="00047122" w:rsidRPr="0050345F" w:rsidRDefault="00047122" w:rsidP="002B6B45">
            <w:pPr>
              <w:spacing w:after="8"/>
              <w:jc w:val="center"/>
              <w:rPr>
                <w:rFonts w:ascii="Arial" w:hAnsi="Arial" w:cs="Arial"/>
                <w:sz w:val="20"/>
              </w:rPr>
            </w:pPr>
            <w:r w:rsidRPr="0050345F">
              <w:rPr>
                <w:rFonts w:ascii="Arial" w:hAnsi="Arial" w:cs="Arial"/>
                <w:sz w:val="20"/>
              </w:rPr>
              <w:t>13</w:t>
            </w:r>
          </w:p>
        </w:tc>
        <w:tc>
          <w:tcPr>
            <w:tcW w:w="2080" w:type="pct"/>
            <w:tcBorders>
              <w:top w:val="single" w:sz="4" w:space="0" w:color="auto"/>
              <w:bottom w:val="single" w:sz="4" w:space="0" w:color="auto"/>
            </w:tcBorders>
          </w:tcPr>
          <w:p w14:paraId="357A2D72" w14:textId="77777777" w:rsidR="00047122" w:rsidRPr="0050345F" w:rsidRDefault="00047122" w:rsidP="002B6B45">
            <w:pPr>
              <w:spacing w:after="8"/>
              <w:rPr>
                <w:rFonts w:ascii="Arial" w:hAnsi="Arial" w:cs="Arial"/>
                <w:sz w:val="20"/>
              </w:rPr>
            </w:pPr>
            <w:r w:rsidRPr="0050345F">
              <w:rPr>
                <w:rFonts w:ascii="Arial" w:hAnsi="Arial" w:cs="Arial"/>
                <w:sz w:val="20"/>
              </w:rPr>
              <w:t>List and define all outcomes for which data will be sought, including prioritization of main and additional outcomes, with rationale</w:t>
            </w:r>
          </w:p>
        </w:tc>
        <w:tc>
          <w:tcPr>
            <w:tcW w:w="2080" w:type="pct"/>
            <w:tcBorders>
              <w:top w:val="single" w:sz="4" w:space="0" w:color="auto"/>
              <w:bottom w:val="single" w:sz="4" w:space="0" w:color="auto"/>
            </w:tcBorders>
          </w:tcPr>
          <w:p w14:paraId="618D4643" w14:textId="77777777" w:rsidR="00047122" w:rsidRPr="0050345F" w:rsidRDefault="00047122" w:rsidP="00047122">
            <w:pPr>
              <w:spacing w:after="8"/>
              <w:rPr>
                <w:rFonts w:ascii="Arial" w:hAnsi="Arial" w:cs="Arial"/>
                <w:sz w:val="20"/>
              </w:rPr>
            </w:pPr>
            <w:r w:rsidRPr="0050345F">
              <w:rPr>
                <w:rFonts w:ascii="Arial" w:hAnsi="Arial" w:cs="Arial"/>
                <w:sz w:val="20"/>
              </w:rPr>
              <w:t xml:space="preserve">The primary outcomes of interest in this study are the following beneficial as well as harmful outcomes at the time point as close to 8 weeks (range 4-12 weeks) as possible in each included study. If equidistant, we will use the longer timeframe. </w:t>
            </w:r>
          </w:p>
          <w:p w14:paraId="03CD715A" w14:textId="77777777" w:rsidR="00047122" w:rsidRPr="0050345F" w:rsidRDefault="00047122" w:rsidP="00047122">
            <w:pPr>
              <w:spacing w:after="8"/>
              <w:rPr>
                <w:rFonts w:ascii="Arial" w:hAnsi="Arial" w:cs="Arial"/>
                <w:sz w:val="20"/>
              </w:rPr>
            </w:pPr>
            <w:r w:rsidRPr="0050345F">
              <w:rPr>
                <w:rFonts w:ascii="Arial" w:hAnsi="Arial" w:cs="Arial"/>
                <w:sz w:val="20"/>
              </w:rPr>
              <w:t>1 Response, defined as 50% or greater reduction on a validated scale for depression</w:t>
            </w:r>
          </w:p>
          <w:p w14:paraId="7B824A94" w14:textId="77777777" w:rsidR="00047122" w:rsidRPr="0050345F" w:rsidRDefault="00047122" w:rsidP="00047122">
            <w:pPr>
              <w:spacing w:after="8"/>
              <w:rPr>
                <w:rFonts w:ascii="Arial" w:hAnsi="Arial" w:cs="Arial"/>
                <w:sz w:val="20"/>
              </w:rPr>
            </w:pPr>
            <w:r w:rsidRPr="0050345F">
              <w:rPr>
                <w:rFonts w:ascii="Arial" w:hAnsi="Arial" w:cs="Arial"/>
                <w:sz w:val="20"/>
              </w:rPr>
              <w:t>2 Dropouts for adverse effects, interpreted as an overall index of treatment tolerability</w:t>
            </w:r>
          </w:p>
          <w:p w14:paraId="50741B82" w14:textId="77777777" w:rsidR="00047122" w:rsidRPr="0050345F" w:rsidRDefault="00047122" w:rsidP="00047122">
            <w:pPr>
              <w:spacing w:after="8"/>
              <w:rPr>
                <w:rFonts w:ascii="Arial" w:hAnsi="Arial" w:cs="Arial"/>
                <w:sz w:val="20"/>
              </w:rPr>
            </w:pPr>
            <w:r w:rsidRPr="0050345F">
              <w:rPr>
                <w:rFonts w:ascii="Arial" w:hAnsi="Arial" w:cs="Arial"/>
                <w:sz w:val="20"/>
              </w:rPr>
              <w:t>3 Dropouts for any reasons, interpreted as an overall index of treatment acceptability</w:t>
            </w:r>
          </w:p>
          <w:p w14:paraId="11501AED" w14:textId="77777777" w:rsidR="00047122" w:rsidRPr="0050345F" w:rsidRDefault="00047122" w:rsidP="00047122">
            <w:pPr>
              <w:spacing w:after="8"/>
              <w:rPr>
                <w:rFonts w:ascii="Arial" w:hAnsi="Arial" w:cs="Arial"/>
                <w:sz w:val="20"/>
              </w:rPr>
            </w:pPr>
            <w:r w:rsidRPr="0050345F">
              <w:rPr>
                <w:rFonts w:ascii="Arial" w:hAnsi="Arial" w:cs="Arial"/>
                <w:sz w:val="20"/>
              </w:rPr>
              <w:t>We will abide by the intention-to-treat principle by taking the number of randomized patients as the denominator for all outcomes. Those who had been randomized but not accounted for in the original study will be assumed to have dropped out for some reason other than adverse effects and without responding.</w:t>
            </w:r>
          </w:p>
          <w:p w14:paraId="4925C1A0" w14:textId="77777777" w:rsidR="00047122" w:rsidRPr="0050345F" w:rsidRDefault="00047122" w:rsidP="00047122">
            <w:pPr>
              <w:spacing w:after="8"/>
              <w:rPr>
                <w:rFonts w:ascii="Arial" w:hAnsi="Arial" w:cs="Arial"/>
                <w:sz w:val="20"/>
              </w:rPr>
            </w:pPr>
          </w:p>
          <w:p w14:paraId="2B2E4050" w14:textId="4881F48F" w:rsidR="00047122" w:rsidRPr="0050345F" w:rsidRDefault="00047122" w:rsidP="00047122">
            <w:pPr>
              <w:spacing w:after="8"/>
              <w:rPr>
                <w:rFonts w:ascii="Arial" w:hAnsi="Arial" w:cs="Arial"/>
                <w:sz w:val="20"/>
              </w:rPr>
            </w:pPr>
            <w:r w:rsidRPr="0050345F">
              <w:rPr>
                <w:rFonts w:ascii="Arial" w:hAnsi="Arial" w:cs="Arial"/>
                <w:sz w:val="20"/>
              </w:rPr>
              <w:lastRenderedPageBreak/>
              <w:t>For treatment response, we prioritized the Hamilton Depression Rating Scale (any type of HDRS will be accepted), then Montgomery-Åsberg Depression Rating Scale, and if neither was used, any other validated scale. When this outcome was not reported, we will calculate response using a validated imputation method.</w:t>
            </w:r>
          </w:p>
        </w:tc>
      </w:tr>
      <w:tr w:rsidR="00047122" w:rsidRPr="0050345F" w14:paraId="39C72A01" w14:textId="77777777" w:rsidTr="002B6B45">
        <w:tc>
          <w:tcPr>
            <w:tcW w:w="606" w:type="pct"/>
            <w:tcBorders>
              <w:top w:val="single" w:sz="4" w:space="0" w:color="auto"/>
              <w:bottom w:val="single" w:sz="4" w:space="0" w:color="auto"/>
            </w:tcBorders>
          </w:tcPr>
          <w:p w14:paraId="6CDA6C7F" w14:textId="77777777" w:rsidR="00047122" w:rsidRPr="0050345F" w:rsidRDefault="00047122" w:rsidP="002B6B45">
            <w:pPr>
              <w:spacing w:after="8"/>
              <w:rPr>
                <w:rFonts w:ascii="Arial" w:hAnsi="Arial" w:cs="Arial"/>
                <w:sz w:val="20"/>
              </w:rPr>
            </w:pPr>
            <w:r w:rsidRPr="0050345F">
              <w:rPr>
                <w:rFonts w:ascii="Arial" w:hAnsi="Arial" w:cs="Arial"/>
                <w:sz w:val="20"/>
              </w:rPr>
              <w:lastRenderedPageBreak/>
              <w:t>Risk of bias in individual studies</w:t>
            </w:r>
          </w:p>
        </w:tc>
        <w:tc>
          <w:tcPr>
            <w:tcW w:w="234" w:type="pct"/>
            <w:tcBorders>
              <w:top w:val="single" w:sz="4" w:space="0" w:color="auto"/>
              <w:bottom w:val="single" w:sz="4" w:space="0" w:color="auto"/>
            </w:tcBorders>
          </w:tcPr>
          <w:p w14:paraId="12813761" w14:textId="77777777" w:rsidR="00047122" w:rsidRPr="0050345F" w:rsidRDefault="00047122" w:rsidP="002B6B45">
            <w:pPr>
              <w:spacing w:after="8"/>
              <w:jc w:val="center"/>
              <w:rPr>
                <w:rFonts w:ascii="Arial" w:hAnsi="Arial" w:cs="Arial"/>
                <w:sz w:val="20"/>
              </w:rPr>
            </w:pPr>
            <w:r w:rsidRPr="0050345F">
              <w:rPr>
                <w:rFonts w:ascii="Arial" w:hAnsi="Arial" w:cs="Arial"/>
                <w:sz w:val="20"/>
              </w:rPr>
              <w:t>14</w:t>
            </w:r>
          </w:p>
        </w:tc>
        <w:tc>
          <w:tcPr>
            <w:tcW w:w="2080" w:type="pct"/>
            <w:tcBorders>
              <w:top w:val="single" w:sz="4" w:space="0" w:color="auto"/>
              <w:bottom w:val="single" w:sz="4" w:space="0" w:color="auto"/>
            </w:tcBorders>
          </w:tcPr>
          <w:p w14:paraId="023645CE" w14:textId="77777777" w:rsidR="00047122" w:rsidRPr="0050345F" w:rsidRDefault="00047122" w:rsidP="002B6B45">
            <w:pPr>
              <w:spacing w:after="8"/>
              <w:rPr>
                <w:rFonts w:ascii="Arial" w:hAnsi="Arial" w:cs="Arial"/>
                <w:sz w:val="20"/>
              </w:rPr>
            </w:pPr>
            <w:r w:rsidRPr="0050345F">
              <w:rPr>
                <w:rFonts w:ascii="Arial" w:hAnsi="Arial" w:cs="Arial"/>
                <w:sz w:val="20"/>
              </w:rPr>
              <w:t>Describe anticipated methods for assessing risk of bias of individual studies, including whether this will be done at the outcome or study level, or both; state how this information will be used in data synthesis</w:t>
            </w:r>
          </w:p>
        </w:tc>
        <w:tc>
          <w:tcPr>
            <w:tcW w:w="2080" w:type="pct"/>
            <w:tcBorders>
              <w:top w:val="single" w:sz="4" w:space="0" w:color="auto"/>
              <w:bottom w:val="single" w:sz="4" w:space="0" w:color="auto"/>
            </w:tcBorders>
          </w:tcPr>
          <w:p w14:paraId="7720A0D6" w14:textId="6C8347C7" w:rsidR="00047122" w:rsidRPr="0050345F" w:rsidRDefault="00047122" w:rsidP="002B6B45">
            <w:pPr>
              <w:spacing w:after="8"/>
              <w:rPr>
                <w:rFonts w:ascii="Arial" w:hAnsi="Arial" w:cs="Arial"/>
                <w:sz w:val="20"/>
              </w:rPr>
            </w:pPr>
            <w:r w:rsidRPr="0050345F">
              <w:rPr>
                <w:rFonts w:ascii="Arial" w:hAnsi="Arial" w:cs="Arial"/>
                <w:sz w:val="20"/>
              </w:rPr>
              <w:t>We will use Cochrane Risk of Bias 2.0 tool (RoB2)</w:t>
            </w:r>
          </w:p>
        </w:tc>
      </w:tr>
      <w:tr w:rsidR="00047122" w:rsidRPr="0050345F" w14:paraId="00797C3F" w14:textId="77777777" w:rsidTr="002B6B45">
        <w:tc>
          <w:tcPr>
            <w:tcW w:w="606" w:type="pct"/>
            <w:vMerge w:val="restart"/>
            <w:tcBorders>
              <w:top w:val="single" w:sz="4" w:space="0" w:color="auto"/>
              <w:bottom w:val="nil"/>
            </w:tcBorders>
          </w:tcPr>
          <w:p w14:paraId="28A3474D" w14:textId="77777777" w:rsidR="00047122" w:rsidRPr="0050345F" w:rsidRDefault="00047122" w:rsidP="002B6B45">
            <w:pPr>
              <w:spacing w:after="8"/>
              <w:rPr>
                <w:rFonts w:ascii="Arial" w:hAnsi="Arial" w:cs="Arial"/>
                <w:sz w:val="20"/>
              </w:rPr>
            </w:pPr>
            <w:r w:rsidRPr="0050345F">
              <w:rPr>
                <w:rFonts w:ascii="Arial" w:hAnsi="Arial" w:cs="Arial"/>
                <w:sz w:val="20"/>
              </w:rPr>
              <w:t>Data synthesis</w:t>
            </w:r>
          </w:p>
        </w:tc>
        <w:tc>
          <w:tcPr>
            <w:tcW w:w="234" w:type="pct"/>
            <w:tcBorders>
              <w:top w:val="single" w:sz="4" w:space="0" w:color="auto"/>
              <w:bottom w:val="nil"/>
            </w:tcBorders>
          </w:tcPr>
          <w:p w14:paraId="1AF30DC5" w14:textId="77777777" w:rsidR="00047122" w:rsidRPr="0050345F" w:rsidRDefault="00047122" w:rsidP="002B6B45">
            <w:pPr>
              <w:spacing w:after="8"/>
              <w:jc w:val="center"/>
              <w:rPr>
                <w:rFonts w:ascii="Arial" w:hAnsi="Arial" w:cs="Arial"/>
                <w:sz w:val="20"/>
              </w:rPr>
            </w:pPr>
            <w:r w:rsidRPr="0050345F">
              <w:rPr>
                <w:rFonts w:ascii="Arial" w:hAnsi="Arial" w:cs="Arial"/>
                <w:sz w:val="20"/>
              </w:rPr>
              <w:t>15a</w:t>
            </w:r>
          </w:p>
        </w:tc>
        <w:tc>
          <w:tcPr>
            <w:tcW w:w="2080" w:type="pct"/>
            <w:tcBorders>
              <w:top w:val="single" w:sz="4" w:space="0" w:color="auto"/>
              <w:bottom w:val="nil"/>
            </w:tcBorders>
          </w:tcPr>
          <w:p w14:paraId="79640C44" w14:textId="77777777" w:rsidR="00047122" w:rsidRPr="0050345F" w:rsidRDefault="00047122" w:rsidP="002B6B45">
            <w:pPr>
              <w:spacing w:after="8"/>
              <w:rPr>
                <w:rFonts w:ascii="Arial" w:hAnsi="Arial" w:cs="Arial"/>
                <w:sz w:val="20"/>
              </w:rPr>
            </w:pPr>
            <w:r w:rsidRPr="0050345F">
              <w:rPr>
                <w:rFonts w:ascii="Arial" w:hAnsi="Arial" w:cs="Arial"/>
                <w:sz w:val="20"/>
              </w:rPr>
              <w:t>Describe criteria under which study data will be quantitatively synthesised</w:t>
            </w:r>
          </w:p>
        </w:tc>
        <w:tc>
          <w:tcPr>
            <w:tcW w:w="2080" w:type="pct"/>
            <w:tcBorders>
              <w:top w:val="single" w:sz="4" w:space="0" w:color="auto"/>
              <w:bottom w:val="nil"/>
            </w:tcBorders>
          </w:tcPr>
          <w:p w14:paraId="0E377468" w14:textId="0A25485B" w:rsidR="00047122" w:rsidRPr="0050345F" w:rsidRDefault="00047122" w:rsidP="00047122">
            <w:pPr>
              <w:spacing w:after="8"/>
              <w:rPr>
                <w:rFonts w:ascii="Arial" w:hAnsi="Arial" w:cs="Arial"/>
                <w:sz w:val="20"/>
              </w:rPr>
            </w:pPr>
            <w:r w:rsidRPr="0050345F">
              <w:rPr>
                <w:rFonts w:ascii="Arial" w:hAnsi="Arial" w:cs="Arial"/>
                <w:sz w:val="20"/>
              </w:rPr>
              <w:t>We will synthesize the data using dose-response meta-analysis with the dosresmeta package in R</w:t>
            </w:r>
          </w:p>
        </w:tc>
      </w:tr>
      <w:tr w:rsidR="00047122" w:rsidRPr="0050345F" w14:paraId="76D821AA" w14:textId="77777777" w:rsidTr="002B6B45">
        <w:tc>
          <w:tcPr>
            <w:tcW w:w="606" w:type="pct"/>
            <w:vMerge/>
            <w:tcBorders>
              <w:top w:val="nil"/>
              <w:bottom w:val="nil"/>
            </w:tcBorders>
          </w:tcPr>
          <w:p w14:paraId="4FA034C8" w14:textId="77777777" w:rsidR="00047122" w:rsidRPr="0050345F" w:rsidRDefault="00047122" w:rsidP="002B6B45">
            <w:pPr>
              <w:spacing w:after="8"/>
              <w:rPr>
                <w:rFonts w:ascii="Arial" w:hAnsi="Arial" w:cs="Arial"/>
                <w:sz w:val="20"/>
              </w:rPr>
            </w:pPr>
          </w:p>
        </w:tc>
        <w:tc>
          <w:tcPr>
            <w:tcW w:w="234" w:type="pct"/>
            <w:tcBorders>
              <w:top w:val="nil"/>
              <w:bottom w:val="nil"/>
            </w:tcBorders>
          </w:tcPr>
          <w:p w14:paraId="5015C9D4" w14:textId="77777777" w:rsidR="00047122" w:rsidRPr="0050345F" w:rsidRDefault="00047122" w:rsidP="002B6B45">
            <w:pPr>
              <w:spacing w:after="8"/>
              <w:jc w:val="center"/>
              <w:rPr>
                <w:rFonts w:ascii="Arial" w:hAnsi="Arial" w:cs="Arial"/>
                <w:sz w:val="20"/>
              </w:rPr>
            </w:pPr>
            <w:r w:rsidRPr="0050345F">
              <w:rPr>
                <w:rFonts w:ascii="Arial" w:hAnsi="Arial" w:cs="Arial"/>
                <w:sz w:val="20"/>
              </w:rPr>
              <w:t>15b</w:t>
            </w:r>
          </w:p>
        </w:tc>
        <w:tc>
          <w:tcPr>
            <w:tcW w:w="2080" w:type="pct"/>
            <w:tcBorders>
              <w:top w:val="nil"/>
              <w:bottom w:val="nil"/>
            </w:tcBorders>
          </w:tcPr>
          <w:p w14:paraId="6EECA1E7" w14:textId="77777777" w:rsidR="00047122" w:rsidRPr="0050345F" w:rsidRDefault="00047122" w:rsidP="002B6B45">
            <w:pPr>
              <w:spacing w:after="8"/>
              <w:rPr>
                <w:rFonts w:ascii="Arial" w:hAnsi="Arial" w:cs="Arial"/>
                <w:sz w:val="20"/>
              </w:rPr>
            </w:pPr>
            <w:r w:rsidRPr="0050345F">
              <w:rPr>
                <w:rFonts w:ascii="Arial" w:hAnsi="Arial" w:cs="Arial"/>
                <w:sz w:val="20"/>
              </w:rPr>
              <w:t>If data are appropriate for quantitative synthesis, describe planned summary measures, methods of handling data and methods of combining data from studies, including any planned exploration of consistency (such as I</w:t>
            </w:r>
            <w:r w:rsidRPr="0050345F">
              <w:rPr>
                <w:rFonts w:ascii="Arial" w:hAnsi="Arial" w:cs="Arial"/>
                <w:sz w:val="20"/>
                <w:vertAlign w:val="superscript"/>
              </w:rPr>
              <w:t>2</w:t>
            </w:r>
            <w:r w:rsidRPr="0050345F">
              <w:rPr>
                <w:rFonts w:ascii="Arial" w:hAnsi="Arial" w:cs="Arial"/>
                <w:sz w:val="20"/>
              </w:rPr>
              <w:t>, Kendall’s τ)</w:t>
            </w:r>
          </w:p>
        </w:tc>
        <w:tc>
          <w:tcPr>
            <w:tcW w:w="2080" w:type="pct"/>
            <w:tcBorders>
              <w:top w:val="nil"/>
              <w:bottom w:val="nil"/>
            </w:tcBorders>
          </w:tcPr>
          <w:p w14:paraId="070C1D99" w14:textId="3D9FC308" w:rsidR="00047122" w:rsidRPr="0050345F" w:rsidRDefault="00047122" w:rsidP="002B6B45">
            <w:pPr>
              <w:spacing w:after="8"/>
              <w:rPr>
                <w:rFonts w:ascii="Arial" w:hAnsi="Arial" w:cs="Arial"/>
                <w:sz w:val="20"/>
              </w:rPr>
            </w:pPr>
            <w:r w:rsidRPr="0050345F">
              <w:rPr>
                <w:rFonts w:ascii="Arial" w:hAnsi="Arial" w:cs="Arial"/>
                <w:sz w:val="20"/>
              </w:rPr>
              <w:t>We will investigate the heterogeneity between studies by the variance partition coefficient (VPC) using dosresmeta R package</w:t>
            </w:r>
          </w:p>
        </w:tc>
      </w:tr>
      <w:tr w:rsidR="00047122" w:rsidRPr="0050345F" w14:paraId="616B43D9" w14:textId="77777777" w:rsidTr="002B6B45">
        <w:tc>
          <w:tcPr>
            <w:tcW w:w="606" w:type="pct"/>
            <w:vMerge/>
            <w:tcBorders>
              <w:top w:val="nil"/>
              <w:bottom w:val="nil"/>
            </w:tcBorders>
          </w:tcPr>
          <w:p w14:paraId="5C90619B" w14:textId="77777777" w:rsidR="00047122" w:rsidRPr="0050345F" w:rsidRDefault="00047122" w:rsidP="002B6B45">
            <w:pPr>
              <w:spacing w:after="8"/>
              <w:rPr>
                <w:rFonts w:ascii="Arial" w:hAnsi="Arial" w:cs="Arial"/>
                <w:sz w:val="20"/>
              </w:rPr>
            </w:pPr>
          </w:p>
        </w:tc>
        <w:tc>
          <w:tcPr>
            <w:tcW w:w="234" w:type="pct"/>
            <w:tcBorders>
              <w:top w:val="nil"/>
              <w:bottom w:val="nil"/>
            </w:tcBorders>
          </w:tcPr>
          <w:p w14:paraId="29FD520C" w14:textId="77777777" w:rsidR="00047122" w:rsidRPr="0050345F" w:rsidRDefault="00047122" w:rsidP="002B6B45">
            <w:pPr>
              <w:spacing w:after="8"/>
              <w:jc w:val="center"/>
              <w:rPr>
                <w:rFonts w:ascii="Arial" w:hAnsi="Arial" w:cs="Arial"/>
                <w:sz w:val="20"/>
              </w:rPr>
            </w:pPr>
            <w:r w:rsidRPr="0050345F">
              <w:rPr>
                <w:rFonts w:ascii="Arial" w:hAnsi="Arial" w:cs="Arial"/>
                <w:sz w:val="20"/>
              </w:rPr>
              <w:t>15c</w:t>
            </w:r>
          </w:p>
        </w:tc>
        <w:tc>
          <w:tcPr>
            <w:tcW w:w="2080" w:type="pct"/>
            <w:tcBorders>
              <w:top w:val="nil"/>
              <w:bottom w:val="nil"/>
            </w:tcBorders>
          </w:tcPr>
          <w:p w14:paraId="76416EEC" w14:textId="77777777" w:rsidR="00047122" w:rsidRPr="0050345F" w:rsidRDefault="00047122" w:rsidP="002B6B45">
            <w:pPr>
              <w:spacing w:after="8"/>
              <w:rPr>
                <w:rFonts w:ascii="Arial" w:hAnsi="Arial" w:cs="Arial"/>
                <w:sz w:val="20"/>
              </w:rPr>
            </w:pPr>
            <w:r w:rsidRPr="0050345F">
              <w:rPr>
                <w:rFonts w:ascii="Arial" w:hAnsi="Arial" w:cs="Arial"/>
                <w:sz w:val="20"/>
              </w:rPr>
              <w:t>Describe any proposed additional analyses (such as sensitivity or subgroup analyses, meta-regression)</w:t>
            </w:r>
          </w:p>
        </w:tc>
        <w:tc>
          <w:tcPr>
            <w:tcW w:w="2080" w:type="pct"/>
            <w:tcBorders>
              <w:top w:val="nil"/>
              <w:bottom w:val="nil"/>
            </w:tcBorders>
          </w:tcPr>
          <w:p w14:paraId="54063A14" w14:textId="77777777" w:rsidR="00284CA2" w:rsidRPr="0050345F" w:rsidRDefault="00284CA2" w:rsidP="00284CA2">
            <w:pPr>
              <w:spacing w:after="8"/>
              <w:rPr>
                <w:rFonts w:ascii="Arial" w:hAnsi="Arial" w:cs="Arial"/>
                <w:sz w:val="20"/>
              </w:rPr>
            </w:pPr>
            <w:r w:rsidRPr="0050345F">
              <w:rPr>
                <w:rFonts w:ascii="Arial" w:hAnsi="Arial" w:cs="Arial"/>
                <w:sz w:val="20"/>
              </w:rPr>
              <w:t xml:space="preserve">Sensitivity analyses </w:t>
            </w:r>
          </w:p>
          <w:p w14:paraId="0DEEF30D" w14:textId="77777777" w:rsidR="00284CA2" w:rsidRPr="0050345F" w:rsidRDefault="00284CA2" w:rsidP="00284CA2">
            <w:pPr>
              <w:spacing w:after="8"/>
              <w:rPr>
                <w:rFonts w:ascii="Arial" w:hAnsi="Arial" w:cs="Arial"/>
                <w:sz w:val="20"/>
              </w:rPr>
            </w:pPr>
            <w:r w:rsidRPr="0050345F">
              <w:rPr>
                <w:rFonts w:ascii="Arial" w:hAnsi="Arial" w:cs="Arial"/>
                <w:sz w:val="20"/>
              </w:rPr>
              <w:t>In order to ascertain the robustness of the primary analyses, we will conduct the following sensitivity analyses.</w:t>
            </w:r>
          </w:p>
          <w:p w14:paraId="22EEEEC6" w14:textId="77777777" w:rsidR="00284CA2" w:rsidRPr="0050345F" w:rsidRDefault="00284CA2" w:rsidP="00284CA2">
            <w:pPr>
              <w:spacing w:after="8"/>
              <w:rPr>
                <w:rFonts w:ascii="Arial" w:hAnsi="Arial" w:cs="Arial"/>
                <w:sz w:val="20"/>
              </w:rPr>
            </w:pPr>
            <w:r w:rsidRPr="0050345F">
              <w:rPr>
                <w:rFonts w:ascii="Arial" w:hAnsi="Arial" w:cs="Arial"/>
                <w:sz w:val="20"/>
              </w:rPr>
              <w:t>1 To test the influence of trials included</w:t>
            </w:r>
          </w:p>
          <w:p w14:paraId="434AEC7C" w14:textId="77777777" w:rsidR="00284CA2" w:rsidRPr="0050345F" w:rsidRDefault="00284CA2" w:rsidP="00284CA2">
            <w:pPr>
              <w:spacing w:after="8"/>
              <w:rPr>
                <w:rFonts w:ascii="Arial" w:hAnsi="Arial" w:cs="Arial"/>
                <w:sz w:val="20"/>
              </w:rPr>
            </w:pPr>
            <w:r w:rsidRPr="0050345F">
              <w:rPr>
                <w:rFonts w:ascii="Arial" w:hAnsi="Arial" w:cs="Arial"/>
                <w:sz w:val="20"/>
              </w:rPr>
              <w:t>1.1 Excluding trials with overall high risk of bias</w:t>
            </w:r>
          </w:p>
          <w:p w14:paraId="2C5F209F" w14:textId="77777777" w:rsidR="00284CA2" w:rsidRPr="0050345F" w:rsidRDefault="00284CA2" w:rsidP="00284CA2">
            <w:pPr>
              <w:spacing w:after="8"/>
              <w:rPr>
                <w:rFonts w:ascii="Arial" w:hAnsi="Arial" w:cs="Arial"/>
                <w:sz w:val="20"/>
              </w:rPr>
            </w:pPr>
            <w:r w:rsidRPr="0050345F">
              <w:rPr>
                <w:rFonts w:ascii="Arial" w:hAnsi="Arial" w:cs="Arial"/>
                <w:sz w:val="20"/>
              </w:rPr>
              <w:t>1.2 Including trials with flexible-dose arms</w:t>
            </w:r>
          </w:p>
          <w:p w14:paraId="587349DA" w14:textId="77777777" w:rsidR="00284CA2" w:rsidRPr="0050345F" w:rsidRDefault="00284CA2" w:rsidP="00284CA2">
            <w:pPr>
              <w:spacing w:after="8"/>
              <w:rPr>
                <w:rFonts w:ascii="Arial" w:hAnsi="Arial" w:cs="Arial"/>
                <w:sz w:val="20"/>
              </w:rPr>
            </w:pPr>
            <w:r w:rsidRPr="0050345F">
              <w:rPr>
                <w:rFonts w:ascii="Arial" w:hAnsi="Arial" w:cs="Arial"/>
                <w:sz w:val="20"/>
              </w:rPr>
              <w:t>2 To test the stability of the shape of the spline curves</w:t>
            </w:r>
          </w:p>
          <w:p w14:paraId="47494866" w14:textId="59E52515" w:rsidR="00047122" w:rsidRPr="0050345F" w:rsidRDefault="00284CA2" w:rsidP="00284CA2">
            <w:pPr>
              <w:spacing w:after="8"/>
              <w:rPr>
                <w:rFonts w:ascii="Arial" w:hAnsi="Arial" w:cs="Arial"/>
                <w:sz w:val="20"/>
              </w:rPr>
            </w:pPr>
            <w:r w:rsidRPr="0050345F">
              <w:rPr>
                <w:rFonts w:ascii="Arial" w:hAnsi="Arial" w:cs="Arial"/>
                <w:sz w:val="20"/>
              </w:rPr>
              <w:t>2.1 Using different numbers and locations of knots</w:t>
            </w:r>
          </w:p>
        </w:tc>
      </w:tr>
      <w:tr w:rsidR="00047122" w:rsidRPr="0050345F" w14:paraId="3E104FB2" w14:textId="77777777" w:rsidTr="002B6B45">
        <w:tc>
          <w:tcPr>
            <w:tcW w:w="606" w:type="pct"/>
            <w:vMerge/>
            <w:tcBorders>
              <w:top w:val="nil"/>
              <w:bottom w:val="single" w:sz="4" w:space="0" w:color="auto"/>
            </w:tcBorders>
          </w:tcPr>
          <w:p w14:paraId="6B16D104" w14:textId="77777777" w:rsidR="00047122" w:rsidRPr="0050345F" w:rsidRDefault="00047122" w:rsidP="002B6B45">
            <w:pPr>
              <w:spacing w:after="8"/>
              <w:rPr>
                <w:rFonts w:ascii="Arial" w:hAnsi="Arial" w:cs="Arial"/>
                <w:sz w:val="20"/>
              </w:rPr>
            </w:pPr>
          </w:p>
        </w:tc>
        <w:tc>
          <w:tcPr>
            <w:tcW w:w="234" w:type="pct"/>
            <w:tcBorders>
              <w:top w:val="nil"/>
              <w:bottom w:val="single" w:sz="4" w:space="0" w:color="auto"/>
            </w:tcBorders>
          </w:tcPr>
          <w:p w14:paraId="655D89F3" w14:textId="77777777" w:rsidR="00047122" w:rsidRPr="0050345F" w:rsidRDefault="00047122" w:rsidP="002B6B45">
            <w:pPr>
              <w:spacing w:after="8"/>
              <w:jc w:val="center"/>
              <w:rPr>
                <w:rFonts w:ascii="Arial" w:hAnsi="Arial" w:cs="Arial"/>
                <w:sz w:val="20"/>
              </w:rPr>
            </w:pPr>
            <w:r w:rsidRPr="0050345F">
              <w:rPr>
                <w:rFonts w:ascii="Arial" w:hAnsi="Arial" w:cs="Arial"/>
                <w:sz w:val="20"/>
              </w:rPr>
              <w:t>15d</w:t>
            </w:r>
          </w:p>
        </w:tc>
        <w:tc>
          <w:tcPr>
            <w:tcW w:w="2080" w:type="pct"/>
            <w:tcBorders>
              <w:top w:val="nil"/>
              <w:bottom w:val="single" w:sz="4" w:space="0" w:color="auto"/>
            </w:tcBorders>
          </w:tcPr>
          <w:p w14:paraId="50822716" w14:textId="77777777" w:rsidR="00047122" w:rsidRPr="0050345F" w:rsidRDefault="00047122" w:rsidP="002B6B45">
            <w:pPr>
              <w:spacing w:after="8"/>
              <w:rPr>
                <w:rFonts w:ascii="Arial" w:hAnsi="Arial" w:cs="Arial"/>
                <w:sz w:val="20"/>
              </w:rPr>
            </w:pPr>
            <w:r w:rsidRPr="0050345F">
              <w:rPr>
                <w:rFonts w:ascii="Arial" w:hAnsi="Arial" w:cs="Arial"/>
                <w:sz w:val="20"/>
              </w:rPr>
              <w:t>If quantitative synthesis is not appropriate, describe the type of summary planned</w:t>
            </w:r>
          </w:p>
        </w:tc>
        <w:tc>
          <w:tcPr>
            <w:tcW w:w="2080" w:type="pct"/>
            <w:tcBorders>
              <w:top w:val="nil"/>
              <w:bottom w:val="single" w:sz="4" w:space="0" w:color="auto"/>
            </w:tcBorders>
          </w:tcPr>
          <w:p w14:paraId="2C2261D7" w14:textId="21F67705" w:rsidR="00047122" w:rsidRPr="0050345F" w:rsidRDefault="00284CA2" w:rsidP="002B6B45">
            <w:pPr>
              <w:spacing w:after="8"/>
              <w:rPr>
                <w:rFonts w:ascii="Arial" w:hAnsi="Arial" w:cs="Arial"/>
                <w:sz w:val="20"/>
              </w:rPr>
            </w:pPr>
            <w:r w:rsidRPr="0050345F">
              <w:rPr>
                <w:rFonts w:ascii="Arial" w:hAnsi="Arial" w:cs="Arial"/>
                <w:sz w:val="20"/>
              </w:rPr>
              <w:t>Not applicable</w:t>
            </w:r>
          </w:p>
        </w:tc>
      </w:tr>
      <w:tr w:rsidR="00047122" w:rsidRPr="0050345F" w14:paraId="3AE9601C" w14:textId="77777777" w:rsidTr="002B6B45">
        <w:tc>
          <w:tcPr>
            <w:tcW w:w="606" w:type="pct"/>
            <w:tcBorders>
              <w:top w:val="single" w:sz="4" w:space="0" w:color="auto"/>
              <w:bottom w:val="single" w:sz="4" w:space="0" w:color="auto"/>
            </w:tcBorders>
          </w:tcPr>
          <w:p w14:paraId="12CE2A4C" w14:textId="77777777" w:rsidR="00047122" w:rsidRPr="0050345F" w:rsidRDefault="00047122" w:rsidP="002B6B45">
            <w:pPr>
              <w:spacing w:after="8"/>
              <w:rPr>
                <w:rFonts w:ascii="Arial" w:hAnsi="Arial" w:cs="Arial"/>
                <w:sz w:val="20"/>
              </w:rPr>
            </w:pPr>
            <w:r w:rsidRPr="0050345F">
              <w:rPr>
                <w:rFonts w:ascii="Arial" w:hAnsi="Arial" w:cs="Arial"/>
                <w:sz w:val="20"/>
              </w:rPr>
              <w:lastRenderedPageBreak/>
              <w:t>Meta-bias(es)</w:t>
            </w:r>
          </w:p>
        </w:tc>
        <w:tc>
          <w:tcPr>
            <w:tcW w:w="234" w:type="pct"/>
            <w:tcBorders>
              <w:top w:val="single" w:sz="4" w:space="0" w:color="auto"/>
              <w:bottom w:val="single" w:sz="4" w:space="0" w:color="auto"/>
            </w:tcBorders>
          </w:tcPr>
          <w:p w14:paraId="0A3955CB" w14:textId="77777777" w:rsidR="00047122" w:rsidRPr="0050345F" w:rsidRDefault="00047122" w:rsidP="002B6B45">
            <w:pPr>
              <w:spacing w:after="8"/>
              <w:jc w:val="center"/>
              <w:rPr>
                <w:rFonts w:ascii="Arial" w:hAnsi="Arial" w:cs="Arial"/>
                <w:sz w:val="20"/>
              </w:rPr>
            </w:pPr>
            <w:r w:rsidRPr="0050345F">
              <w:rPr>
                <w:rFonts w:ascii="Arial" w:hAnsi="Arial" w:cs="Arial"/>
                <w:sz w:val="20"/>
              </w:rPr>
              <w:t>16</w:t>
            </w:r>
          </w:p>
        </w:tc>
        <w:tc>
          <w:tcPr>
            <w:tcW w:w="2080" w:type="pct"/>
            <w:tcBorders>
              <w:top w:val="single" w:sz="4" w:space="0" w:color="auto"/>
              <w:bottom w:val="single" w:sz="4" w:space="0" w:color="auto"/>
            </w:tcBorders>
          </w:tcPr>
          <w:p w14:paraId="549CF85A" w14:textId="77777777" w:rsidR="00047122" w:rsidRPr="0050345F" w:rsidRDefault="00047122" w:rsidP="002B6B45">
            <w:pPr>
              <w:spacing w:after="8"/>
              <w:rPr>
                <w:rFonts w:ascii="Arial" w:hAnsi="Arial" w:cs="Arial"/>
                <w:sz w:val="20"/>
              </w:rPr>
            </w:pPr>
            <w:r w:rsidRPr="0050345F">
              <w:rPr>
                <w:rFonts w:ascii="Arial" w:hAnsi="Arial" w:cs="Arial"/>
                <w:sz w:val="20"/>
              </w:rPr>
              <w:t>Specify any planned assessment of meta-bias(es) (such as publication bias across studies, selective reporting within studies)</w:t>
            </w:r>
          </w:p>
        </w:tc>
        <w:tc>
          <w:tcPr>
            <w:tcW w:w="2080" w:type="pct"/>
            <w:tcBorders>
              <w:top w:val="single" w:sz="4" w:space="0" w:color="auto"/>
              <w:bottom w:val="single" w:sz="4" w:space="0" w:color="auto"/>
            </w:tcBorders>
          </w:tcPr>
          <w:p w14:paraId="24F089F6" w14:textId="7D17348F" w:rsidR="00047122" w:rsidRPr="0050345F" w:rsidRDefault="00284CA2" w:rsidP="002B6B45">
            <w:pPr>
              <w:spacing w:after="8"/>
              <w:rPr>
                <w:rFonts w:ascii="Arial" w:hAnsi="Arial" w:cs="Arial"/>
                <w:sz w:val="20"/>
              </w:rPr>
            </w:pPr>
            <w:r w:rsidRPr="0050345F">
              <w:rPr>
                <w:rFonts w:ascii="Arial" w:hAnsi="Arial" w:cs="Arial"/>
                <w:sz w:val="20"/>
              </w:rPr>
              <w:t>To evaluate the possibility of small study effects and their association with reporting bias, we plan to draw contour-enhanced funnel plots for comparisons with at least 10 studies using the meta package in R.</w:t>
            </w:r>
          </w:p>
        </w:tc>
      </w:tr>
      <w:tr w:rsidR="00047122" w:rsidRPr="0050345F" w14:paraId="31F4DC28" w14:textId="77777777" w:rsidTr="002B6B45">
        <w:tc>
          <w:tcPr>
            <w:tcW w:w="606" w:type="pct"/>
            <w:tcBorders>
              <w:top w:val="single" w:sz="4" w:space="0" w:color="auto"/>
              <w:bottom w:val="single" w:sz="12" w:space="0" w:color="auto"/>
            </w:tcBorders>
          </w:tcPr>
          <w:p w14:paraId="2618DF6D" w14:textId="77777777" w:rsidR="00047122" w:rsidRPr="0050345F" w:rsidRDefault="00047122" w:rsidP="002B6B45">
            <w:pPr>
              <w:spacing w:after="8"/>
              <w:rPr>
                <w:rFonts w:ascii="Arial" w:hAnsi="Arial" w:cs="Arial"/>
                <w:sz w:val="20"/>
              </w:rPr>
            </w:pPr>
            <w:r w:rsidRPr="0050345F">
              <w:rPr>
                <w:rFonts w:ascii="Arial" w:hAnsi="Arial" w:cs="Arial"/>
                <w:sz w:val="20"/>
              </w:rPr>
              <w:t>Confidence in cumulative evidence</w:t>
            </w:r>
          </w:p>
        </w:tc>
        <w:tc>
          <w:tcPr>
            <w:tcW w:w="234" w:type="pct"/>
            <w:tcBorders>
              <w:top w:val="single" w:sz="4" w:space="0" w:color="auto"/>
              <w:bottom w:val="single" w:sz="12" w:space="0" w:color="auto"/>
            </w:tcBorders>
          </w:tcPr>
          <w:p w14:paraId="2340167E" w14:textId="77777777" w:rsidR="00047122" w:rsidRPr="0050345F" w:rsidRDefault="00047122" w:rsidP="002B6B45">
            <w:pPr>
              <w:spacing w:after="8"/>
              <w:jc w:val="center"/>
              <w:rPr>
                <w:rFonts w:ascii="Arial" w:hAnsi="Arial" w:cs="Arial"/>
                <w:sz w:val="20"/>
              </w:rPr>
            </w:pPr>
            <w:r w:rsidRPr="0050345F">
              <w:rPr>
                <w:rFonts w:ascii="Arial" w:hAnsi="Arial" w:cs="Arial"/>
                <w:sz w:val="20"/>
              </w:rPr>
              <w:t>17</w:t>
            </w:r>
          </w:p>
        </w:tc>
        <w:tc>
          <w:tcPr>
            <w:tcW w:w="2080" w:type="pct"/>
            <w:tcBorders>
              <w:top w:val="single" w:sz="4" w:space="0" w:color="auto"/>
              <w:bottom w:val="single" w:sz="12" w:space="0" w:color="auto"/>
            </w:tcBorders>
          </w:tcPr>
          <w:p w14:paraId="6CAB9498" w14:textId="77777777" w:rsidR="00047122" w:rsidRPr="0050345F" w:rsidRDefault="00047122" w:rsidP="002B6B45">
            <w:pPr>
              <w:spacing w:after="8"/>
              <w:rPr>
                <w:rFonts w:ascii="Arial" w:hAnsi="Arial" w:cs="Arial"/>
                <w:sz w:val="20"/>
              </w:rPr>
            </w:pPr>
            <w:r w:rsidRPr="0050345F">
              <w:rPr>
                <w:rFonts w:ascii="Arial" w:hAnsi="Arial" w:cs="Arial"/>
                <w:sz w:val="20"/>
              </w:rPr>
              <w:t>Describe how the strength of the body of evidence will be assessed (such as GRADE)</w:t>
            </w:r>
          </w:p>
        </w:tc>
        <w:tc>
          <w:tcPr>
            <w:tcW w:w="2080" w:type="pct"/>
            <w:tcBorders>
              <w:top w:val="single" w:sz="4" w:space="0" w:color="auto"/>
              <w:bottom w:val="single" w:sz="12" w:space="0" w:color="auto"/>
            </w:tcBorders>
          </w:tcPr>
          <w:p w14:paraId="0D708D99" w14:textId="67243104" w:rsidR="00047122" w:rsidRPr="0050345F" w:rsidRDefault="00284CA2" w:rsidP="002B6B45">
            <w:pPr>
              <w:spacing w:after="8"/>
              <w:rPr>
                <w:rFonts w:ascii="Arial" w:hAnsi="Arial" w:cs="Arial"/>
                <w:sz w:val="20"/>
              </w:rPr>
            </w:pPr>
            <w:r w:rsidRPr="0050345F">
              <w:rPr>
                <w:rFonts w:ascii="Arial" w:hAnsi="Arial" w:cs="Arial"/>
                <w:sz w:val="20"/>
              </w:rPr>
              <w:t>Not applicable</w:t>
            </w:r>
          </w:p>
        </w:tc>
      </w:tr>
    </w:tbl>
    <w:p w14:paraId="5A8D2667" w14:textId="77777777" w:rsidR="00830B60" w:rsidRPr="0050345F" w:rsidRDefault="00830B60" w:rsidP="00EA6A91">
      <w:pPr>
        <w:rPr>
          <w:rFonts w:ascii="Arial" w:hAnsi="Arial" w:cs="Arial"/>
        </w:rPr>
      </w:pPr>
    </w:p>
    <w:p w14:paraId="4FD4A7FC" w14:textId="77777777" w:rsidR="00830B60" w:rsidRPr="0050345F" w:rsidRDefault="00830B60" w:rsidP="00EA6A91">
      <w:pPr>
        <w:rPr>
          <w:rFonts w:ascii="Arial" w:hAnsi="Arial" w:cs="Arial"/>
          <w:b/>
        </w:rPr>
      </w:pPr>
    </w:p>
    <w:p w14:paraId="4F33C4A8" w14:textId="49AB2156" w:rsidR="00EA6A91" w:rsidRPr="0050345F" w:rsidRDefault="00EA6A91" w:rsidP="00EA6A91">
      <w:pPr>
        <w:rPr>
          <w:rFonts w:ascii="Arial" w:hAnsi="Arial" w:cs="Arial"/>
          <w:b/>
        </w:rPr>
      </w:pPr>
      <w:r w:rsidRPr="0050345F">
        <w:rPr>
          <w:rFonts w:ascii="Arial" w:hAnsi="Arial" w:cs="Arial"/>
          <w:b/>
        </w:rPr>
        <w:t xml:space="preserve">2. Search strings used for </w:t>
      </w:r>
      <w:r w:rsidR="00737F4F" w:rsidRPr="0050345F">
        <w:rPr>
          <w:rFonts w:ascii="Arial" w:hAnsi="Arial" w:cs="Arial"/>
          <w:color w:val="000000" w:themeColor="text1"/>
        </w:rPr>
        <w:t>Cochrane CENTRAL and PubMed</w:t>
      </w:r>
      <w:r w:rsidRPr="0050345F">
        <w:rPr>
          <w:rFonts w:ascii="Arial" w:hAnsi="Arial" w:cs="Arial"/>
          <w:b/>
        </w:rPr>
        <w:t>.</w:t>
      </w:r>
    </w:p>
    <w:p w14:paraId="37B3A4EA" w14:textId="572968F4" w:rsidR="00284CA2" w:rsidRPr="0050345F" w:rsidRDefault="00284CA2" w:rsidP="00EA6A91">
      <w:pPr>
        <w:rPr>
          <w:rFonts w:ascii="Arial" w:hAnsi="Arial" w:cs="Arial"/>
        </w:rPr>
      </w:pPr>
      <w:r w:rsidRPr="0050345F">
        <w:rPr>
          <w:rFonts w:ascii="Arial" w:hAnsi="Arial" w:cs="Arial"/>
        </w:rPr>
        <w:t>(depress* or dysthymi* or adjustment disorder* or mood disorder* or affective disorder or affective symptoms) and (aripiprazole or Abilify)</w:t>
      </w:r>
    </w:p>
    <w:p w14:paraId="100C3315" w14:textId="359A4ABE" w:rsidR="00EA6A91" w:rsidRPr="0050345F" w:rsidRDefault="00EA6A91" w:rsidP="00EA6A91">
      <w:pPr>
        <w:rPr>
          <w:rFonts w:ascii="Arial" w:hAnsi="Arial" w:cs="Arial"/>
        </w:rPr>
      </w:pPr>
    </w:p>
    <w:p w14:paraId="2AD3BBAD" w14:textId="77777777" w:rsidR="00830B60" w:rsidRPr="0050345F" w:rsidRDefault="00830B60" w:rsidP="00EA6A91">
      <w:pPr>
        <w:rPr>
          <w:rFonts w:ascii="Arial" w:hAnsi="Arial" w:cs="Arial"/>
        </w:rPr>
      </w:pPr>
    </w:p>
    <w:p w14:paraId="3F105C22" w14:textId="2ABCDF6A" w:rsidR="00EA6A91" w:rsidRPr="0050345F" w:rsidRDefault="00284CA2" w:rsidP="00EA6A91">
      <w:pPr>
        <w:rPr>
          <w:rFonts w:ascii="Arial" w:hAnsi="Arial" w:cs="Arial"/>
          <w:b/>
        </w:rPr>
      </w:pPr>
      <w:r w:rsidRPr="0050345F">
        <w:rPr>
          <w:rFonts w:ascii="Arial" w:hAnsi="Arial" w:cs="Arial"/>
          <w:b/>
        </w:rPr>
        <w:t>3</w:t>
      </w:r>
      <w:r w:rsidR="00EA6A91" w:rsidRPr="0050345F">
        <w:rPr>
          <w:rFonts w:ascii="Arial" w:hAnsi="Arial" w:cs="Arial"/>
          <w:b/>
        </w:rPr>
        <w:t>. List of all included papers</w:t>
      </w:r>
    </w:p>
    <w:p w14:paraId="460939C0" w14:textId="5A6A8BF2" w:rsidR="00284CA2" w:rsidRPr="0050345F" w:rsidRDefault="00284CA2" w:rsidP="00284CA2">
      <w:pPr>
        <w:pStyle w:val="af1"/>
        <w:numPr>
          <w:ilvl w:val="0"/>
          <w:numId w:val="7"/>
        </w:numPr>
        <w:ind w:leftChars="0"/>
        <w:rPr>
          <w:rFonts w:ascii="Arial" w:hAnsi="Arial" w:cs="Arial"/>
        </w:rPr>
      </w:pPr>
      <w:r w:rsidRPr="0050345F">
        <w:rPr>
          <w:rFonts w:ascii="Arial" w:hAnsi="Arial" w:cs="Arial"/>
        </w:rPr>
        <w:t>Kamijima K, Higuchi T, Ishigooka J, Ohmori T, Ozaki N, Kanba S, et al. Aripiprazole augmentation to antidepressant therapy in Japanese patients with major depressive disorder: A randomized, double-blind, placebo-controlled study (ADMIRE study). J Affect Disorders. 2013;151(3):899–905.</w:t>
      </w:r>
    </w:p>
    <w:p w14:paraId="6A7C9FAF" w14:textId="77777777" w:rsidR="00284CA2" w:rsidRPr="0050345F" w:rsidRDefault="00284CA2" w:rsidP="00284CA2">
      <w:pPr>
        <w:pStyle w:val="af1"/>
        <w:numPr>
          <w:ilvl w:val="0"/>
          <w:numId w:val="7"/>
        </w:numPr>
        <w:ind w:leftChars="0"/>
        <w:rPr>
          <w:rFonts w:ascii="Arial" w:hAnsi="Arial" w:cs="Arial"/>
        </w:rPr>
      </w:pPr>
      <w:r w:rsidRPr="0050345F">
        <w:rPr>
          <w:rFonts w:ascii="Arial" w:hAnsi="Arial" w:cs="Arial"/>
        </w:rPr>
        <w:t>Berman RM, Marcus RN, Swanink R, McQuade RD, Carson WH, Corey-Lisle PK, et al. The Efficacy and Safety of Aripiprazole as Adjunctive Therapy in Major Depressive Disorder: A Multicenter, Randomized, Double-Blind, Placebo-Controlled Study. J Clin Psychiatry. 2007;68(06):843–53.</w:t>
      </w:r>
    </w:p>
    <w:p w14:paraId="4A06E553" w14:textId="6D1CE746" w:rsidR="00284CA2" w:rsidRPr="0050345F" w:rsidRDefault="00284CA2" w:rsidP="00284CA2">
      <w:pPr>
        <w:pStyle w:val="af1"/>
        <w:numPr>
          <w:ilvl w:val="0"/>
          <w:numId w:val="7"/>
        </w:numPr>
        <w:ind w:leftChars="0"/>
        <w:rPr>
          <w:rFonts w:ascii="Arial" w:hAnsi="Arial" w:cs="Arial"/>
        </w:rPr>
      </w:pPr>
      <w:r w:rsidRPr="0050345F">
        <w:rPr>
          <w:rFonts w:ascii="Arial" w:hAnsi="Arial" w:cs="Arial"/>
        </w:rPr>
        <w:t>Marcus RN, McQuade RD, Carson WH, Hennicken D, Fava M, Simon JS, et al. The Efficacy and Safety of Aripiprazole as Adjunctive Therapy in Major Depressive Disorder. J Clin Psychopharm. 2008;28(2):156–65.</w:t>
      </w:r>
    </w:p>
    <w:p w14:paraId="05987873" w14:textId="66B7E10F" w:rsidR="00284CA2" w:rsidRPr="0050345F" w:rsidRDefault="00284CA2" w:rsidP="00284CA2">
      <w:pPr>
        <w:pStyle w:val="af1"/>
        <w:numPr>
          <w:ilvl w:val="0"/>
          <w:numId w:val="7"/>
        </w:numPr>
        <w:ind w:leftChars="0"/>
        <w:rPr>
          <w:rFonts w:ascii="Arial" w:hAnsi="Arial" w:cs="Arial"/>
        </w:rPr>
      </w:pPr>
      <w:r w:rsidRPr="0050345F">
        <w:rPr>
          <w:rFonts w:ascii="Arial" w:hAnsi="Arial" w:cs="Arial"/>
        </w:rPr>
        <w:t>Berman RM, Fava M, Thase ME, Trivedi MH, Swanink R, McQuade RD, et al. Aripiprazole Augmentation in Major Depressive Disorder: A Double-Blind, Placebo-Controlled Study in Patients with Inadequate Response to Antidepressants. Cns Spectrums. 2009;14(4):197–206.</w:t>
      </w:r>
    </w:p>
    <w:p w14:paraId="45517858" w14:textId="77EBDAB1" w:rsidR="00284CA2" w:rsidRPr="0050345F" w:rsidRDefault="00284CA2" w:rsidP="00284CA2">
      <w:pPr>
        <w:pStyle w:val="af1"/>
        <w:numPr>
          <w:ilvl w:val="0"/>
          <w:numId w:val="7"/>
        </w:numPr>
        <w:ind w:leftChars="0"/>
        <w:rPr>
          <w:rFonts w:ascii="Arial" w:hAnsi="Arial" w:cs="Arial"/>
        </w:rPr>
      </w:pPr>
      <w:r w:rsidRPr="0050345F">
        <w:rPr>
          <w:rFonts w:ascii="Arial" w:hAnsi="Arial" w:cs="Arial"/>
        </w:rPr>
        <w:t>Fava M, Mischoulon D, Iosifescu D, Witte J, Pencina M, Flynn M, et al. A Double-Blind, Placebo-Controlled Study of Aripiprazole Adjunctive to Antidepressant Therapy among Depressed Outpatients with Inadequate Response to Prior Antidepressant Therapy (ADAPT-A Study). Psychother Psychosom. 2012;81(2):87–97.</w:t>
      </w:r>
    </w:p>
    <w:p w14:paraId="61829405" w14:textId="7668282F" w:rsidR="00284CA2" w:rsidRPr="0050345F" w:rsidRDefault="00284CA2" w:rsidP="00284CA2">
      <w:pPr>
        <w:pStyle w:val="af1"/>
        <w:numPr>
          <w:ilvl w:val="0"/>
          <w:numId w:val="7"/>
        </w:numPr>
        <w:ind w:leftChars="0"/>
        <w:rPr>
          <w:rFonts w:ascii="Arial" w:hAnsi="Arial" w:cs="Arial"/>
        </w:rPr>
      </w:pPr>
      <w:r w:rsidRPr="0050345F">
        <w:rPr>
          <w:rFonts w:ascii="Arial" w:hAnsi="Arial" w:cs="Arial"/>
        </w:rPr>
        <w:t xml:space="preserve">Lenze EJ, Mulsant BH, Blumberger DM, Karp JF, Newcomer JW, Anderson SJ, et al. Efficacy, safety, and tolerability of augmentation pharmacotherapy with aripiprazole for </w:t>
      </w:r>
      <w:r w:rsidRPr="0050345F">
        <w:rPr>
          <w:rFonts w:ascii="Arial" w:hAnsi="Arial" w:cs="Arial"/>
        </w:rPr>
        <w:lastRenderedPageBreak/>
        <w:t>treatment-resistant depression in late life: a randomised, double-blind, placebo-controlled trial. Lancet. 2015;386(10011):2404–12.</w:t>
      </w:r>
    </w:p>
    <w:p w14:paraId="7EE77755" w14:textId="72838FE9" w:rsidR="00284CA2" w:rsidRPr="0050345F" w:rsidRDefault="00284CA2" w:rsidP="00284CA2">
      <w:pPr>
        <w:pStyle w:val="af1"/>
        <w:numPr>
          <w:ilvl w:val="0"/>
          <w:numId w:val="7"/>
        </w:numPr>
        <w:ind w:leftChars="0"/>
        <w:rPr>
          <w:rFonts w:ascii="Arial" w:hAnsi="Arial" w:cs="Arial"/>
        </w:rPr>
      </w:pPr>
      <w:r w:rsidRPr="0050345F">
        <w:rPr>
          <w:rFonts w:ascii="Arial" w:hAnsi="Arial" w:cs="Arial"/>
        </w:rPr>
        <w:t>Kamijima K, Kimura M, Kuwahara K, Kitayama Y, Tadori Y. Randomized, double</w:t>
      </w:r>
      <w:r w:rsidRPr="0050345F">
        <w:rPr>
          <w:rFonts w:ascii="Cambria Math" w:hAnsi="Cambria Math" w:cs="Cambria Math"/>
        </w:rPr>
        <w:t>‐</w:t>
      </w:r>
      <w:r w:rsidRPr="0050345F">
        <w:rPr>
          <w:rFonts w:ascii="Arial" w:hAnsi="Arial" w:cs="Arial"/>
        </w:rPr>
        <w:t>blind comparison of aripiprazole/sertraline combination and placebo/sertraline combination in patients with major depressive disorder. Psychiat Clin Neuros. 2018;72(8):591–601.</w:t>
      </w:r>
    </w:p>
    <w:p w14:paraId="10D9E5CD" w14:textId="7EC14BD7" w:rsidR="00284CA2" w:rsidRPr="0050345F" w:rsidRDefault="00284CA2" w:rsidP="00284CA2">
      <w:pPr>
        <w:pStyle w:val="af1"/>
        <w:numPr>
          <w:ilvl w:val="0"/>
          <w:numId w:val="7"/>
        </w:numPr>
        <w:ind w:leftChars="0"/>
        <w:rPr>
          <w:rFonts w:ascii="Arial" w:hAnsi="Arial" w:cs="Arial"/>
        </w:rPr>
      </w:pPr>
      <w:r w:rsidRPr="0050345F">
        <w:rPr>
          <w:rFonts w:ascii="Arial" w:hAnsi="Arial" w:cs="Arial"/>
        </w:rPr>
        <w:t>NCT01111552. Study to Evaluate the Efficacy, Safety and Tolerability of an Oral Aripiprazole/Escitalopram Combination Therapy in Patients With Major Depressive Disorder (MDD) (ACES 256). (April 27, 2010 – August 31, 2012); Available from: https://clinicaltrials.gov/ct2/show/NCT01111552</w:t>
      </w:r>
    </w:p>
    <w:p w14:paraId="1251AEEF" w14:textId="5A7ABF34" w:rsidR="00284CA2" w:rsidRPr="0050345F" w:rsidRDefault="00284CA2" w:rsidP="00284CA2">
      <w:pPr>
        <w:pStyle w:val="af1"/>
        <w:numPr>
          <w:ilvl w:val="0"/>
          <w:numId w:val="7"/>
        </w:numPr>
        <w:ind w:leftChars="0"/>
        <w:rPr>
          <w:rFonts w:ascii="Arial" w:hAnsi="Arial" w:cs="Arial"/>
        </w:rPr>
      </w:pPr>
      <w:r w:rsidRPr="0050345F">
        <w:rPr>
          <w:rFonts w:ascii="Arial" w:hAnsi="Arial" w:cs="Arial"/>
        </w:rPr>
        <w:t>NCT01111565. Study to Evaluate the Efficacy, Safety and Tolerability of an Oral Aripiprazole/Escitalopram Combination Therapy in Patients With Major Depressive Disorder (MDD) (ACES 263). (April 27, 2010 – August 31, 2012); Available from: https://clinicaltrials.gov/ct2/show/NCT01111565</w:t>
      </w:r>
    </w:p>
    <w:p w14:paraId="4487B1BC" w14:textId="2C22928D" w:rsidR="00284CA2" w:rsidRPr="0050345F" w:rsidRDefault="00284CA2" w:rsidP="00284CA2">
      <w:pPr>
        <w:pStyle w:val="af1"/>
        <w:numPr>
          <w:ilvl w:val="0"/>
          <w:numId w:val="7"/>
        </w:numPr>
        <w:ind w:leftChars="0"/>
        <w:rPr>
          <w:rFonts w:ascii="Arial" w:hAnsi="Arial" w:cs="Arial"/>
        </w:rPr>
      </w:pPr>
      <w:r w:rsidRPr="0050345F">
        <w:rPr>
          <w:rFonts w:ascii="Arial" w:hAnsi="Arial" w:cs="Arial"/>
        </w:rPr>
        <w:t>NCT01111539. Study to Evaluate the Efficacy, Safety and Tolerability of an Oral Aripiprazole/Escitalopram Combination Therapy in Patients With Major Depressive Disorder (MDD) (ACES 255). (April 27, 2010 – August 31, 2012); Available from: https://clinicaltrials.gov/ct2/show/NCT01111539</w:t>
      </w:r>
    </w:p>
    <w:p w14:paraId="64E9CC78" w14:textId="05964063" w:rsidR="00284CA2" w:rsidRPr="0050345F" w:rsidRDefault="00284CA2" w:rsidP="00284CA2">
      <w:pPr>
        <w:rPr>
          <w:rFonts w:ascii="Arial" w:hAnsi="Arial" w:cs="Arial"/>
          <w:b/>
        </w:rPr>
      </w:pPr>
      <w:r w:rsidRPr="0050345F">
        <w:rPr>
          <w:rFonts w:ascii="Arial" w:hAnsi="Arial" w:cs="Arial"/>
        </w:rPr>
        <w:br w:type="column"/>
      </w:r>
      <w:r w:rsidRPr="0050345F">
        <w:rPr>
          <w:rFonts w:ascii="Arial" w:hAnsi="Arial" w:cs="Arial"/>
          <w:b/>
        </w:rPr>
        <w:lastRenderedPageBreak/>
        <w:t>4</w:t>
      </w:r>
      <w:r w:rsidR="00EA6A91" w:rsidRPr="0050345F">
        <w:rPr>
          <w:rFonts w:ascii="Arial" w:hAnsi="Arial" w:cs="Arial"/>
          <w:b/>
        </w:rPr>
        <w:t xml:space="preserve">. Additional sensitivity analyses </w:t>
      </w:r>
    </w:p>
    <w:p w14:paraId="0E90AB07" w14:textId="754B4D85" w:rsidR="00284CA2" w:rsidRPr="0050345F" w:rsidRDefault="00284CA2" w:rsidP="00284CA2">
      <w:pPr>
        <w:rPr>
          <w:rFonts w:ascii="Arial" w:hAnsi="Arial" w:cs="Arial"/>
          <w:b/>
        </w:rPr>
      </w:pPr>
      <w:r w:rsidRPr="0050345F">
        <w:rPr>
          <w:rFonts w:ascii="Arial" w:hAnsi="Arial" w:cs="Arial"/>
          <w:b/>
        </w:rPr>
        <w:t>eFigure4. Sensitivity analyses</w:t>
      </w:r>
    </w:p>
    <w:p w14:paraId="5D279BBD" w14:textId="4BC1E01F" w:rsidR="00F31895" w:rsidRPr="0050345F" w:rsidRDefault="00F31895" w:rsidP="00284CA2">
      <w:pPr>
        <w:rPr>
          <w:rFonts w:ascii="Arial" w:hAnsi="Arial" w:cs="Arial"/>
        </w:rPr>
      </w:pPr>
      <w:r w:rsidRPr="0050345F">
        <w:rPr>
          <w:rFonts w:ascii="Arial" w:hAnsi="Arial" w:cs="Arial"/>
        </w:rPr>
        <w:t>Dose actually delivered.</w:t>
      </w:r>
    </w:p>
    <w:p w14:paraId="2D2AFEF0" w14:textId="389D4CC0" w:rsidR="0087303E" w:rsidRPr="0050345F" w:rsidRDefault="00F31895" w:rsidP="00284CA2">
      <w:pPr>
        <w:rPr>
          <w:rFonts w:ascii="Arial" w:hAnsi="Arial" w:cs="Arial"/>
          <w:b/>
        </w:rPr>
      </w:pPr>
      <w:r w:rsidRPr="0050345F">
        <w:rPr>
          <w:rFonts w:ascii="Arial" w:hAnsi="Arial" w:cs="Arial"/>
          <w:b/>
          <w:noProof/>
        </w:rPr>
        <w:drawing>
          <wp:inline distT="0" distB="0" distL="0" distR="0" wp14:anchorId="5CD82EC0" wp14:editId="3DC430E4">
            <wp:extent cx="2003898" cy="1308477"/>
            <wp:effectExtent l="0" t="0" r="317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2254" cy="1385759"/>
                    </a:xfrm>
                    <a:prstGeom prst="rect">
                      <a:avLst/>
                    </a:prstGeom>
                  </pic:spPr>
                </pic:pic>
              </a:graphicData>
            </a:graphic>
          </wp:inline>
        </w:drawing>
      </w:r>
      <w:r w:rsidRPr="0050345F">
        <w:rPr>
          <w:rFonts w:ascii="Arial" w:hAnsi="Arial" w:cs="Arial"/>
          <w:b/>
          <w:noProof/>
        </w:rPr>
        <w:drawing>
          <wp:inline distT="0" distB="0" distL="0" distR="0" wp14:anchorId="7404F33F" wp14:editId="25696CAE">
            <wp:extent cx="2004749" cy="1303506"/>
            <wp:effectExtent l="0" t="0" r="1905"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4043" cy="1361566"/>
                    </a:xfrm>
                    <a:prstGeom prst="rect">
                      <a:avLst/>
                    </a:prstGeom>
                  </pic:spPr>
                </pic:pic>
              </a:graphicData>
            </a:graphic>
          </wp:inline>
        </w:drawing>
      </w:r>
      <w:r w:rsidR="0087303E" w:rsidRPr="0050345F">
        <w:rPr>
          <w:rFonts w:ascii="Arial" w:hAnsi="Arial" w:cs="Arial"/>
          <w:b/>
          <w:noProof/>
        </w:rPr>
        <w:drawing>
          <wp:inline distT="0" distB="0" distL="0" distR="0" wp14:anchorId="3BAF3506" wp14:editId="7DEA2E7A">
            <wp:extent cx="2027768" cy="1302412"/>
            <wp:effectExtent l="0" t="0" r="4445" b="571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6605" cy="1404431"/>
                    </a:xfrm>
                    <a:prstGeom prst="rect">
                      <a:avLst/>
                    </a:prstGeom>
                  </pic:spPr>
                </pic:pic>
              </a:graphicData>
            </a:graphic>
          </wp:inline>
        </w:drawing>
      </w:r>
    </w:p>
    <w:p w14:paraId="4BF73946" w14:textId="6A616F16" w:rsidR="00284CA2" w:rsidRPr="0050345F" w:rsidRDefault="00F31895" w:rsidP="00284CA2">
      <w:pPr>
        <w:rPr>
          <w:rFonts w:ascii="Arial" w:hAnsi="Arial" w:cs="Arial"/>
        </w:rPr>
      </w:pPr>
      <w:r w:rsidRPr="0050345F">
        <w:rPr>
          <w:rFonts w:ascii="Arial" w:hAnsi="Arial" w:cs="Arial"/>
        </w:rPr>
        <w:t>Knots at 2, 4, 8mg</w:t>
      </w:r>
    </w:p>
    <w:p w14:paraId="7D0B361E" w14:textId="4E65D344" w:rsidR="00F31895" w:rsidRPr="0050345F" w:rsidRDefault="00F31895" w:rsidP="00284CA2">
      <w:pPr>
        <w:rPr>
          <w:rFonts w:ascii="Arial" w:hAnsi="Arial" w:cs="Arial"/>
          <w:b/>
        </w:rPr>
      </w:pPr>
      <w:r w:rsidRPr="0050345F">
        <w:rPr>
          <w:rFonts w:ascii="Arial" w:hAnsi="Arial" w:cs="Arial"/>
          <w:b/>
          <w:noProof/>
        </w:rPr>
        <w:drawing>
          <wp:inline distT="0" distB="0" distL="0" distR="0" wp14:anchorId="7F04EBD0" wp14:editId="60BB5076">
            <wp:extent cx="2004576" cy="1303506"/>
            <wp:effectExtent l="0" t="0" r="254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9581" cy="1345777"/>
                    </a:xfrm>
                    <a:prstGeom prst="rect">
                      <a:avLst/>
                    </a:prstGeom>
                  </pic:spPr>
                </pic:pic>
              </a:graphicData>
            </a:graphic>
          </wp:inline>
        </w:drawing>
      </w:r>
      <w:r w:rsidRPr="0050345F">
        <w:rPr>
          <w:rFonts w:ascii="Arial" w:hAnsi="Arial" w:cs="Arial"/>
          <w:b/>
          <w:noProof/>
        </w:rPr>
        <w:drawing>
          <wp:inline distT="0" distB="0" distL="0" distR="0" wp14:anchorId="1B6FC294" wp14:editId="74786C9C">
            <wp:extent cx="2003898" cy="1308659"/>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4874" cy="1368071"/>
                    </a:xfrm>
                    <a:prstGeom prst="rect">
                      <a:avLst/>
                    </a:prstGeom>
                  </pic:spPr>
                </pic:pic>
              </a:graphicData>
            </a:graphic>
          </wp:inline>
        </w:drawing>
      </w:r>
      <w:r w:rsidRPr="0050345F">
        <w:rPr>
          <w:rFonts w:ascii="Arial" w:hAnsi="Arial" w:cs="Arial"/>
          <w:b/>
          <w:noProof/>
        </w:rPr>
        <w:drawing>
          <wp:inline distT="0" distB="0" distL="0" distR="0" wp14:anchorId="6408677D" wp14:editId="29D4FAA2">
            <wp:extent cx="2027555" cy="1294182"/>
            <wp:effectExtent l="0" t="0" r="4445"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1650" cy="1341477"/>
                    </a:xfrm>
                    <a:prstGeom prst="rect">
                      <a:avLst/>
                    </a:prstGeom>
                  </pic:spPr>
                </pic:pic>
              </a:graphicData>
            </a:graphic>
          </wp:inline>
        </w:drawing>
      </w:r>
    </w:p>
    <w:p w14:paraId="3366BAAF" w14:textId="686D12A7" w:rsidR="0075367B" w:rsidRPr="0050345F" w:rsidRDefault="0075367B" w:rsidP="00284CA2">
      <w:pPr>
        <w:rPr>
          <w:rFonts w:ascii="Arial" w:hAnsi="Arial" w:cs="Arial"/>
          <w:color w:val="000000" w:themeColor="text1"/>
        </w:rPr>
      </w:pPr>
      <w:r w:rsidRPr="0050345F">
        <w:rPr>
          <w:rFonts w:ascii="Arial" w:hAnsi="Arial" w:cs="Arial"/>
          <w:color w:val="000000" w:themeColor="text1"/>
        </w:rPr>
        <w:t>Knots at 2.5, 5, 10mg</w:t>
      </w:r>
    </w:p>
    <w:p w14:paraId="3AA738AB" w14:textId="5B636908" w:rsidR="0075367B" w:rsidRPr="0050345F" w:rsidRDefault="0075367B" w:rsidP="00284CA2">
      <w:pPr>
        <w:rPr>
          <w:rFonts w:ascii="Arial" w:hAnsi="Arial" w:cs="Arial"/>
        </w:rPr>
      </w:pPr>
      <w:r w:rsidRPr="0050345F">
        <w:rPr>
          <w:rFonts w:ascii="Arial" w:hAnsi="Arial" w:cs="Arial"/>
          <w:b/>
          <w:noProof/>
        </w:rPr>
        <w:drawing>
          <wp:inline distT="0" distB="0" distL="0" distR="0" wp14:anchorId="135E9EF3" wp14:editId="7A6394D9">
            <wp:extent cx="2003425" cy="1280354"/>
            <wp:effectExtent l="0" t="0" r="3175" b="25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9921" cy="1322850"/>
                    </a:xfrm>
                    <a:prstGeom prst="rect">
                      <a:avLst/>
                    </a:prstGeom>
                  </pic:spPr>
                </pic:pic>
              </a:graphicData>
            </a:graphic>
          </wp:inline>
        </w:drawing>
      </w:r>
      <w:r w:rsidRPr="0050345F">
        <w:rPr>
          <w:rFonts w:ascii="Arial" w:hAnsi="Arial" w:cs="Arial"/>
          <w:b/>
          <w:noProof/>
        </w:rPr>
        <w:drawing>
          <wp:inline distT="0" distB="0" distL="0" distR="0" wp14:anchorId="17044302" wp14:editId="38024910">
            <wp:extent cx="2010183" cy="128405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3682" cy="1311837"/>
                    </a:xfrm>
                    <a:prstGeom prst="rect">
                      <a:avLst/>
                    </a:prstGeom>
                  </pic:spPr>
                </pic:pic>
              </a:graphicData>
            </a:graphic>
          </wp:inline>
        </w:drawing>
      </w:r>
      <w:r w:rsidRPr="0050345F">
        <w:rPr>
          <w:rFonts w:ascii="Arial" w:hAnsi="Arial" w:cs="Arial"/>
          <w:b/>
          <w:noProof/>
        </w:rPr>
        <w:drawing>
          <wp:inline distT="0" distB="0" distL="0" distR="0" wp14:anchorId="7196975E" wp14:editId="2DCF2F55">
            <wp:extent cx="2012868" cy="1264596"/>
            <wp:effectExtent l="0" t="0" r="0"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3569" cy="1302732"/>
                    </a:xfrm>
                    <a:prstGeom prst="rect">
                      <a:avLst/>
                    </a:prstGeom>
                  </pic:spPr>
                </pic:pic>
              </a:graphicData>
            </a:graphic>
          </wp:inline>
        </w:drawing>
      </w:r>
    </w:p>
    <w:p w14:paraId="501D8EAF" w14:textId="29EFDB64" w:rsidR="00F31895" w:rsidRPr="0050345F" w:rsidRDefault="00F31895" w:rsidP="00284CA2">
      <w:pPr>
        <w:rPr>
          <w:rFonts w:ascii="Arial" w:hAnsi="Arial" w:cs="Arial"/>
        </w:rPr>
      </w:pPr>
      <w:r w:rsidRPr="0050345F">
        <w:rPr>
          <w:rFonts w:ascii="Arial" w:hAnsi="Arial" w:cs="Arial"/>
          <w:color w:val="000000" w:themeColor="text1"/>
        </w:rPr>
        <w:t>Knots at 3, 6, 9mg</w:t>
      </w:r>
    </w:p>
    <w:p w14:paraId="7E81A408" w14:textId="47F3FFC8" w:rsidR="00F31895" w:rsidRPr="0050345F" w:rsidRDefault="007278AD" w:rsidP="00EA6A91">
      <w:pPr>
        <w:rPr>
          <w:rFonts w:ascii="Arial" w:hAnsi="Arial" w:cs="Arial"/>
        </w:rPr>
      </w:pPr>
      <w:r w:rsidRPr="0050345F">
        <w:rPr>
          <w:rFonts w:ascii="Arial" w:hAnsi="Arial" w:cs="Arial"/>
          <w:b/>
          <w:noProof/>
        </w:rPr>
        <w:drawing>
          <wp:inline distT="0" distB="0" distL="0" distR="0" wp14:anchorId="3ADDB159" wp14:editId="5BD42CD2">
            <wp:extent cx="2025889" cy="1293779"/>
            <wp:effectExtent l="0" t="0" r="0" b="1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2569" cy="1336362"/>
                    </a:xfrm>
                    <a:prstGeom prst="rect">
                      <a:avLst/>
                    </a:prstGeom>
                  </pic:spPr>
                </pic:pic>
              </a:graphicData>
            </a:graphic>
          </wp:inline>
        </w:drawing>
      </w:r>
      <w:r w:rsidRPr="0050345F">
        <w:rPr>
          <w:rFonts w:ascii="Arial" w:hAnsi="Arial" w:cs="Arial"/>
          <w:b/>
          <w:noProof/>
        </w:rPr>
        <w:drawing>
          <wp:inline distT="0" distB="0" distL="0" distR="0" wp14:anchorId="7DF66953" wp14:editId="7882597C">
            <wp:extent cx="2025469" cy="1303507"/>
            <wp:effectExtent l="0" t="0" r="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3159" cy="1379247"/>
                    </a:xfrm>
                    <a:prstGeom prst="rect">
                      <a:avLst/>
                    </a:prstGeom>
                  </pic:spPr>
                </pic:pic>
              </a:graphicData>
            </a:graphic>
          </wp:inline>
        </w:drawing>
      </w:r>
      <w:r w:rsidRPr="0050345F">
        <w:rPr>
          <w:rFonts w:ascii="Arial" w:hAnsi="Arial" w:cs="Arial"/>
          <w:b/>
          <w:noProof/>
        </w:rPr>
        <w:drawing>
          <wp:inline distT="0" distB="0" distL="0" distR="0" wp14:anchorId="71313A25" wp14:editId="2A95F022">
            <wp:extent cx="1998443" cy="1284051"/>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0263" cy="1310922"/>
                    </a:xfrm>
                    <a:prstGeom prst="rect">
                      <a:avLst/>
                    </a:prstGeom>
                  </pic:spPr>
                </pic:pic>
              </a:graphicData>
            </a:graphic>
          </wp:inline>
        </w:drawing>
      </w:r>
    </w:p>
    <w:p w14:paraId="573504DE" w14:textId="7855F9D2" w:rsidR="00EA6A91" w:rsidRPr="0050345F" w:rsidRDefault="00284CA2" w:rsidP="00EA6A91">
      <w:pPr>
        <w:rPr>
          <w:rFonts w:ascii="Arial" w:hAnsi="Arial" w:cs="Arial"/>
          <w:b/>
        </w:rPr>
      </w:pPr>
      <w:r w:rsidRPr="0050345F">
        <w:rPr>
          <w:rFonts w:ascii="Arial" w:hAnsi="Arial" w:cs="Arial"/>
          <w:b/>
        </w:rPr>
        <w:br w:type="column"/>
      </w:r>
      <w:r w:rsidRPr="0050345F">
        <w:rPr>
          <w:rFonts w:ascii="Arial" w:hAnsi="Arial" w:cs="Arial"/>
          <w:b/>
        </w:rPr>
        <w:lastRenderedPageBreak/>
        <w:t>5</w:t>
      </w:r>
      <w:r w:rsidR="00EA6A91" w:rsidRPr="0050345F">
        <w:rPr>
          <w:rFonts w:ascii="Arial" w:hAnsi="Arial" w:cs="Arial"/>
          <w:b/>
        </w:rPr>
        <w:t>. Publication bias: a funnel plot and additional analyses undertaken where necessary</w:t>
      </w:r>
    </w:p>
    <w:p w14:paraId="155DF284" w14:textId="0D19F85D" w:rsidR="00284CA2" w:rsidRPr="0050345F" w:rsidRDefault="00284CA2" w:rsidP="00EA6A91">
      <w:pPr>
        <w:rPr>
          <w:rFonts w:ascii="Arial" w:hAnsi="Arial" w:cs="Arial"/>
        </w:rPr>
      </w:pPr>
    </w:p>
    <w:p w14:paraId="67EA2E8F" w14:textId="77777777" w:rsidR="00284CA2" w:rsidRPr="0050345F" w:rsidRDefault="00284CA2" w:rsidP="00284CA2">
      <w:pPr>
        <w:rPr>
          <w:rFonts w:ascii="Arial" w:hAnsi="Arial" w:cs="Arial"/>
          <w:b/>
        </w:rPr>
      </w:pPr>
      <w:r w:rsidRPr="0050345F">
        <w:rPr>
          <w:rFonts w:ascii="Arial" w:hAnsi="Arial" w:cs="Arial"/>
          <w:b/>
        </w:rPr>
        <w:t>eFigure2. Variance partition coefficient for efficacy</w:t>
      </w:r>
    </w:p>
    <w:p w14:paraId="1E090B6D" w14:textId="77777777" w:rsidR="00284CA2" w:rsidRPr="0050345F" w:rsidRDefault="00284CA2" w:rsidP="00284CA2">
      <w:pPr>
        <w:rPr>
          <w:rFonts w:ascii="Arial" w:hAnsi="Arial" w:cs="Arial"/>
        </w:rPr>
      </w:pPr>
      <w:r w:rsidRPr="0050345F">
        <w:rPr>
          <w:rFonts w:ascii="Arial" w:hAnsi="Arial" w:cs="Arial"/>
          <w:noProof/>
        </w:rPr>
        <w:drawing>
          <wp:inline distT="0" distB="0" distL="0" distR="0" wp14:anchorId="2169AEE0" wp14:editId="412DDF64">
            <wp:extent cx="4914900" cy="372110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4900" cy="3721100"/>
                    </a:xfrm>
                    <a:prstGeom prst="rect">
                      <a:avLst/>
                    </a:prstGeom>
                  </pic:spPr>
                </pic:pic>
              </a:graphicData>
            </a:graphic>
          </wp:inline>
        </w:drawing>
      </w:r>
    </w:p>
    <w:p w14:paraId="5C082884" w14:textId="77777777" w:rsidR="00284CA2" w:rsidRPr="0050345F" w:rsidRDefault="00284CA2" w:rsidP="00284CA2">
      <w:pPr>
        <w:rPr>
          <w:rFonts w:ascii="Arial" w:hAnsi="Arial" w:cs="Arial"/>
        </w:rPr>
      </w:pPr>
    </w:p>
    <w:p w14:paraId="40073A94" w14:textId="77777777" w:rsidR="00284CA2" w:rsidRPr="0050345F" w:rsidRDefault="00284CA2" w:rsidP="00284CA2">
      <w:pPr>
        <w:rPr>
          <w:rFonts w:ascii="Arial" w:hAnsi="Arial" w:cs="Arial"/>
        </w:rPr>
      </w:pPr>
    </w:p>
    <w:p w14:paraId="705F0572" w14:textId="77777777" w:rsidR="00284CA2" w:rsidRPr="0050345F" w:rsidRDefault="00284CA2" w:rsidP="00284CA2">
      <w:pPr>
        <w:rPr>
          <w:rFonts w:ascii="Arial" w:hAnsi="Arial" w:cs="Arial"/>
          <w:b/>
        </w:rPr>
      </w:pPr>
      <w:r w:rsidRPr="0050345F">
        <w:rPr>
          <w:rFonts w:ascii="Arial" w:hAnsi="Arial" w:cs="Arial"/>
          <w:b/>
        </w:rPr>
        <w:br w:type="page"/>
      </w:r>
    </w:p>
    <w:p w14:paraId="0860E3C6" w14:textId="77777777" w:rsidR="00284CA2" w:rsidRPr="0050345F" w:rsidRDefault="00284CA2" w:rsidP="00284CA2">
      <w:pPr>
        <w:rPr>
          <w:rFonts w:ascii="Arial" w:hAnsi="Arial" w:cs="Arial"/>
          <w:b/>
        </w:rPr>
      </w:pPr>
      <w:r w:rsidRPr="0050345F">
        <w:rPr>
          <w:rFonts w:ascii="Arial" w:hAnsi="Arial" w:cs="Arial"/>
          <w:b/>
        </w:rPr>
        <w:lastRenderedPageBreak/>
        <w:t xml:space="preserve">eFigure3. Contour-enhanced funnel plot </w:t>
      </w:r>
    </w:p>
    <w:p w14:paraId="080ED210" w14:textId="77777777" w:rsidR="00284CA2" w:rsidRPr="0050345F" w:rsidRDefault="00284CA2" w:rsidP="00284CA2">
      <w:pPr>
        <w:rPr>
          <w:rFonts w:ascii="Arial" w:hAnsi="Arial" w:cs="Arial"/>
        </w:rPr>
      </w:pPr>
      <w:r w:rsidRPr="0050345F">
        <w:rPr>
          <w:rFonts w:ascii="Arial" w:hAnsi="Arial" w:cs="Arial"/>
          <w:noProof/>
        </w:rPr>
        <w:drawing>
          <wp:inline distT="0" distB="0" distL="0" distR="0" wp14:anchorId="6D446633" wp14:editId="7411AAC9">
            <wp:extent cx="5396230" cy="3876675"/>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6230" cy="3876675"/>
                    </a:xfrm>
                    <a:prstGeom prst="rect">
                      <a:avLst/>
                    </a:prstGeom>
                  </pic:spPr>
                </pic:pic>
              </a:graphicData>
            </a:graphic>
          </wp:inline>
        </w:drawing>
      </w:r>
    </w:p>
    <w:p w14:paraId="3B9D6CF4" w14:textId="77777777" w:rsidR="00284CA2" w:rsidRPr="0050345F" w:rsidRDefault="00284CA2" w:rsidP="00284CA2">
      <w:pPr>
        <w:rPr>
          <w:rFonts w:ascii="Arial" w:hAnsi="Arial" w:cs="Arial"/>
          <w:b/>
        </w:rPr>
      </w:pPr>
      <w:r w:rsidRPr="0050345F">
        <w:rPr>
          <w:rFonts w:ascii="Arial" w:hAnsi="Arial" w:cs="Arial"/>
          <w:b/>
        </w:rPr>
        <w:br w:type="page"/>
      </w:r>
    </w:p>
    <w:p w14:paraId="5EC30B38" w14:textId="75A6EB9D" w:rsidR="00284CA2" w:rsidRPr="0050345F" w:rsidRDefault="00284CA2" w:rsidP="00284CA2">
      <w:pPr>
        <w:rPr>
          <w:rFonts w:ascii="Arial" w:hAnsi="Arial" w:cs="Arial"/>
          <w:b/>
        </w:rPr>
      </w:pPr>
      <w:r w:rsidRPr="0050345F">
        <w:rPr>
          <w:rFonts w:ascii="Arial" w:hAnsi="Arial" w:cs="Arial"/>
          <w:b/>
        </w:rPr>
        <w:lastRenderedPageBreak/>
        <w:t>6</w:t>
      </w:r>
      <w:r w:rsidR="00EA6A91" w:rsidRPr="0050345F">
        <w:rPr>
          <w:rFonts w:ascii="Arial" w:hAnsi="Arial" w:cs="Arial"/>
          <w:b/>
        </w:rPr>
        <w:t>. Quality assessment</w:t>
      </w:r>
    </w:p>
    <w:p w14:paraId="51941A3B" w14:textId="7082A363" w:rsidR="00284CA2" w:rsidRPr="0050345F" w:rsidRDefault="00284CA2" w:rsidP="00284CA2">
      <w:pPr>
        <w:rPr>
          <w:rFonts w:ascii="Arial" w:hAnsi="Arial" w:cs="Arial"/>
          <w:b/>
        </w:rPr>
      </w:pPr>
      <w:r w:rsidRPr="0050345F">
        <w:rPr>
          <w:rFonts w:ascii="Arial" w:hAnsi="Arial" w:cs="Arial"/>
          <w:b/>
        </w:rPr>
        <w:t>eFigure1. The revised Cochrane risk of bias tool summary</w:t>
      </w:r>
    </w:p>
    <w:p w14:paraId="39BF2B11" w14:textId="77777777" w:rsidR="00284CA2" w:rsidRPr="0050345F" w:rsidRDefault="00284CA2" w:rsidP="00284CA2">
      <w:pPr>
        <w:rPr>
          <w:rFonts w:ascii="Arial" w:hAnsi="Arial" w:cs="Arial"/>
        </w:rPr>
      </w:pPr>
      <w:r w:rsidRPr="0050345F">
        <w:rPr>
          <w:rFonts w:ascii="Arial" w:hAnsi="Arial" w:cs="Arial"/>
          <w:noProof/>
        </w:rPr>
        <w:drawing>
          <wp:inline distT="0" distB="0" distL="0" distR="0" wp14:anchorId="7C2A3120" wp14:editId="79ABA317">
            <wp:extent cx="5396230" cy="4465955"/>
            <wp:effectExtent l="0" t="0" r="127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2_trafficlightplot.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6230" cy="4465955"/>
                    </a:xfrm>
                    <a:prstGeom prst="rect">
                      <a:avLst/>
                    </a:prstGeom>
                  </pic:spPr>
                </pic:pic>
              </a:graphicData>
            </a:graphic>
          </wp:inline>
        </w:drawing>
      </w:r>
    </w:p>
    <w:p w14:paraId="75E3F8A6" w14:textId="77777777" w:rsidR="00284CA2" w:rsidRPr="0050345F" w:rsidRDefault="00284CA2" w:rsidP="00284CA2">
      <w:pPr>
        <w:rPr>
          <w:rFonts w:ascii="Arial" w:hAnsi="Arial" w:cs="Arial"/>
        </w:rPr>
      </w:pPr>
      <w:r w:rsidRPr="0050345F">
        <w:rPr>
          <w:rFonts w:ascii="Arial" w:hAnsi="Arial" w:cs="Arial"/>
          <w:noProof/>
        </w:rPr>
        <w:drawing>
          <wp:inline distT="0" distB="0" distL="0" distR="0" wp14:anchorId="489C9CF8" wp14:editId="3B3EBA6C">
            <wp:extent cx="5396230" cy="1620520"/>
            <wp:effectExtent l="0" t="0" r="127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2_summaryplot.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6230" cy="1620520"/>
                    </a:xfrm>
                    <a:prstGeom prst="rect">
                      <a:avLst/>
                    </a:prstGeom>
                  </pic:spPr>
                </pic:pic>
              </a:graphicData>
            </a:graphic>
          </wp:inline>
        </w:drawing>
      </w:r>
    </w:p>
    <w:p w14:paraId="1DC45BDE" w14:textId="77777777" w:rsidR="00A150F8" w:rsidRPr="0050345F" w:rsidRDefault="00A150F8" w:rsidP="00284CA2">
      <w:pPr>
        <w:rPr>
          <w:rFonts w:ascii="Arial" w:hAnsi="Arial" w:cs="Arial"/>
        </w:rPr>
      </w:pPr>
    </w:p>
    <w:p w14:paraId="682C201C" w14:textId="068E56C8" w:rsidR="00A150F8" w:rsidRPr="0050345F" w:rsidRDefault="00A150F8" w:rsidP="00284CA2">
      <w:pPr>
        <w:rPr>
          <w:rFonts w:ascii="Arial" w:hAnsi="Arial" w:cs="Arial"/>
          <w:b/>
          <w:color w:val="FF0000"/>
        </w:rPr>
        <w:sectPr w:rsidR="00A150F8" w:rsidRPr="0050345F" w:rsidSect="00736A44">
          <w:footerReference w:type="even" r:id="rId24"/>
          <w:footerReference w:type="default" r:id="rId25"/>
          <w:type w:val="continuous"/>
          <w:pgSz w:w="11900" w:h="16840"/>
          <w:pgMar w:top="1440" w:right="1080" w:bottom="1440" w:left="1080" w:header="851" w:footer="992" w:gutter="0"/>
          <w:cols w:space="425"/>
          <w:docGrid w:type="lines" w:linePitch="360"/>
        </w:sectPr>
      </w:pPr>
    </w:p>
    <w:p w14:paraId="10822B8D" w14:textId="0632DBEF" w:rsidR="00A150F8" w:rsidRPr="0050345F" w:rsidRDefault="00A150F8" w:rsidP="00284CA2">
      <w:pPr>
        <w:rPr>
          <w:rFonts w:ascii="Arial" w:hAnsi="Arial" w:cs="Arial"/>
          <w:b/>
          <w:color w:val="000000" w:themeColor="text1"/>
        </w:rPr>
      </w:pPr>
      <w:r w:rsidRPr="0050345F">
        <w:rPr>
          <w:rFonts w:ascii="Arial" w:hAnsi="Arial" w:cs="Arial"/>
          <w:b/>
          <w:color w:val="000000" w:themeColor="text1"/>
        </w:rPr>
        <w:lastRenderedPageBreak/>
        <w:t>eFigure5. GRADE evidence profile table</w:t>
      </w:r>
    </w:p>
    <w:p w14:paraId="2399CC25" w14:textId="6476F659" w:rsidR="00A150F8" w:rsidRPr="0050345F" w:rsidRDefault="006477E7" w:rsidP="00284CA2">
      <w:pPr>
        <w:rPr>
          <w:rFonts w:ascii="Arial" w:hAnsi="Arial" w:cs="Arial"/>
          <w:color w:val="000000" w:themeColor="text1"/>
        </w:rPr>
      </w:pPr>
      <w:r w:rsidRPr="0050345F">
        <w:rPr>
          <w:rFonts w:ascii="Arial" w:hAnsi="Arial" w:cs="Arial"/>
          <w:noProof/>
          <w:color w:val="000000" w:themeColor="text1"/>
        </w:rPr>
        <w:drawing>
          <wp:inline distT="0" distB="0" distL="0" distR="0" wp14:anchorId="42D5A121" wp14:editId="2555ECFA">
            <wp:extent cx="8864600" cy="199009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4600" cy="1990090"/>
                    </a:xfrm>
                    <a:prstGeom prst="rect">
                      <a:avLst/>
                    </a:prstGeom>
                  </pic:spPr>
                </pic:pic>
              </a:graphicData>
            </a:graphic>
          </wp:inline>
        </w:drawing>
      </w:r>
    </w:p>
    <w:tbl>
      <w:tblPr>
        <w:tblW w:w="13960" w:type="dxa"/>
        <w:tblCellMar>
          <w:left w:w="99" w:type="dxa"/>
          <w:right w:w="99" w:type="dxa"/>
        </w:tblCellMar>
        <w:tblLook w:val="04A0" w:firstRow="1" w:lastRow="0" w:firstColumn="1" w:lastColumn="0" w:noHBand="0" w:noVBand="1"/>
      </w:tblPr>
      <w:tblGrid>
        <w:gridCol w:w="13960"/>
      </w:tblGrid>
      <w:tr w:rsidR="00E16B88" w:rsidRPr="0050345F" w14:paraId="1A410EEC" w14:textId="77777777" w:rsidTr="00A150F8">
        <w:trPr>
          <w:trHeight w:val="320"/>
        </w:trPr>
        <w:tc>
          <w:tcPr>
            <w:tcW w:w="13960" w:type="dxa"/>
            <w:tcBorders>
              <w:top w:val="nil"/>
              <w:left w:val="nil"/>
              <w:bottom w:val="nil"/>
              <w:right w:val="nil"/>
            </w:tcBorders>
            <w:shd w:val="clear" w:color="auto" w:fill="auto"/>
            <w:noWrap/>
            <w:hideMark/>
          </w:tcPr>
          <w:p w14:paraId="24F9B27C" w14:textId="43CADF66" w:rsidR="006477E7" w:rsidRPr="0050345F" w:rsidRDefault="006477E7" w:rsidP="006477E7">
            <w:pPr>
              <w:rPr>
                <w:rFonts w:ascii="Arial" w:eastAsia="Yu Gothic" w:hAnsi="Arial" w:cs="Arial"/>
                <w:color w:val="000000" w:themeColor="text1"/>
              </w:rPr>
            </w:pPr>
            <w:r w:rsidRPr="0050345F">
              <w:rPr>
                <w:rFonts w:ascii="Arial" w:hAnsi="Arial" w:cs="Arial"/>
                <w:color w:val="000000" w:themeColor="text1"/>
              </w:rPr>
              <w:t>Risk of bias: Most information is from results with some concerns.</w:t>
            </w:r>
            <w:r w:rsidR="00AE7355" w:rsidRPr="0050345F">
              <w:rPr>
                <w:rFonts w:ascii="Arial" w:hAnsi="Arial" w:cs="Arial"/>
                <w:color w:val="000000" w:themeColor="text1"/>
              </w:rPr>
              <w:t xml:space="preserve"> </w:t>
            </w:r>
            <w:r w:rsidR="001B0BCE" w:rsidRPr="0050345F">
              <w:rPr>
                <w:rFonts w:ascii="Arial" w:hAnsi="Arial" w:cs="Arial"/>
                <w:color w:val="000000" w:themeColor="text1"/>
              </w:rPr>
              <w:t>(some concerns)</w:t>
            </w:r>
          </w:p>
        </w:tc>
      </w:tr>
      <w:tr w:rsidR="00E16B88" w:rsidRPr="0050345F" w14:paraId="3818AAA6" w14:textId="77777777" w:rsidTr="00655568">
        <w:trPr>
          <w:trHeight w:val="320"/>
        </w:trPr>
        <w:tc>
          <w:tcPr>
            <w:tcW w:w="13960" w:type="dxa"/>
            <w:tcBorders>
              <w:top w:val="nil"/>
              <w:left w:val="nil"/>
              <w:bottom w:val="nil"/>
              <w:right w:val="nil"/>
            </w:tcBorders>
            <w:shd w:val="clear" w:color="auto" w:fill="auto"/>
            <w:noWrap/>
            <w:hideMark/>
          </w:tcPr>
          <w:p w14:paraId="4CE63F56" w14:textId="63E6AD07" w:rsidR="006477E7" w:rsidRPr="0050345F" w:rsidRDefault="006477E7" w:rsidP="006477E7">
            <w:pPr>
              <w:rPr>
                <w:rFonts w:ascii="Arial" w:eastAsia="Yu Gothic" w:hAnsi="Arial" w:cs="Arial"/>
                <w:color w:val="000000" w:themeColor="text1"/>
              </w:rPr>
            </w:pPr>
            <w:r w:rsidRPr="0050345F">
              <w:rPr>
                <w:rFonts w:ascii="Arial" w:hAnsi="Arial" w:cs="Arial"/>
                <w:color w:val="000000" w:themeColor="text1"/>
              </w:rPr>
              <w:t xml:space="preserve">Inconsistency: Variance partition coefficient was consistently low (&lt;0.1). </w:t>
            </w:r>
            <w:r w:rsidR="001B0BCE" w:rsidRPr="0050345F">
              <w:rPr>
                <w:rFonts w:ascii="Arial" w:hAnsi="Arial" w:cs="Arial"/>
                <w:color w:val="000000" w:themeColor="text1"/>
              </w:rPr>
              <w:t>Width of confidence intervals is evaluated in the imprecision domain. (not serious)</w:t>
            </w:r>
          </w:p>
        </w:tc>
      </w:tr>
      <w:tr w:rsidR="00E16B88" w:rsidRPr="0050345F" w14:paraId="24CD10F3" w14:textId="77777777" w:rsidTr="00655568">
        <w:trPr>
          <w:trHeight w:val="320"/>
        </w:trPr>
        <w:tc>
          <w:tcPr>
            <w:tcW w:w="13960" w:type="dxa"/>
            <w:tcBorders>
              <w:top w:val="nil"/>
              <w:left w:val="nil"/>
              <w:bottom w:val="nil"/>
              <w:right w:val="nil"/>
            </w:tcBorders>
            <w:shd w:val="clear" w:color="auto" w:fill="auto"/>
            <w:noWrap/>
            <w:hideMark/>
          </w:tcPr>
          <w:p w14:paraId="25576511" w14:textId="70BEF7C2" w:rsidR="006477E7" w:rsidRPr="0050345F" w:rsidRDefault="006477E7" w:rsidP="006477E7">
            <w:pPr>
              <w:rPr>
                <w:rFonts w:ascii="Arial" w:eastAsia="Yu Gothic" w:hAnsi="Arial" w:cs="Arial"/>
                <w:color w:val="000000" w:themeColor="text1"/>
              </w:rPr>
            </w:pPr>
            <w:r w:rsidRPr="0050345F">
              <w:rPr>
                <w:rFonts w:ascii="Arial" w:hAnsi="Arial" w:cs="Arial"/>
                <w:color w:val="000000" w:themeColor="text1"/>
              </w:rPr>
              <w:t>Indirectness: There was no indirectness.</w:t>
            </w:r>
            <w:r w:rsidR="001B0BCE" w:rsidRPr="0050345F">
              <w:rPr>
                <w:rFonts w:ascii="Arial" w:hAnsi="Arial" w:cs="Arial"/>
                <w:color w:val="000000" w:themeColor="text1"/>
              </w:rPr>
              <w:t xml:space="preserve"> (not serious)</w:t>
            </w:r>
          </w:p>
        </w:tc>
      </w:tr>
      <w:tr w:rsidR="00E16B88" w:rsidRPr="0050345F" w14:paraId="008E11E0" w14:textId="77777777" w:rsidTr="00655568">
        <w:trPr>
          <w:trHeight w:val="320"/>
        </w:trPr>
        <w:tc>
          <w:tcPr>
            <w:tcW w:w="13960" w:type="dxa"/>
            <w:tcBorders>
              <w:top w:val="nil"/>
              <w:left w:val="nil"/>
              <w:bottom w:val="nil"/>
              <w:right w:val="nil"/>
            </w:tcBorders>
            <w:shd w:val="clear" w:color="auto" w:fill="auto"/>
            <w:noWrap/>
            <w:hideMark/>
          </w:tcPr>
          <w:p w14:paraId="6A0FF099" w14:textId="79A8F787" w:rsidR="006477E7" w:rsidRPr="0050345F" w:rsidRDefault="00E535A3" w:rsidP="006477E7">
            <w:pPr>
              <w:rPr>
                <w:rFonts w:ascii="Arial" w:eastAsia="Yu Gothic" w:hAnsi="Arial" w:cs="Arial"/>
                <w:color w:val="000000" w:themeColor="text1"/>
              </w:rPr>
            </w:pPr>
            <w:r w:rsidRPr="0050345F">
              <w:rPr>
                <w:rFonts w:ascii="Arial" w:hAnsi="Arial" w:cs="Arial"/>
                <w:color w:val="000000" w:themeColor="text1"/>
              </w:rPr>
              <w:t>Imprecision: Efficacy curve had narrow 95% confidence interval curves in doses 10mg and more, but they were relatively wide in the low-dose range. (some concerns) Tolerability and acceptability curves had wide 95% confidence interval curves in terms of odds ratio. (serious)</w:t>
            </w:r>
          </w:p>
        </w:tc>
      </w:tr>
      <w:tr w:rsidR="00E16B88" w:rsidRPr="0050345F" w14:paraId="59A29013" w14:textId="77777777" w:rsidTr="00655568">
        <w:trPr>
          <w:trHeight w:val="320"/>
        </w:trPr>
        <w:tc>
          <w:tcPr>
            <w:tcW w:w="13960" w:type="dxa"/>
            <w:tcBorders>
              <w:top w:val="nil"/>
              <w:left w:val="nil"/>
              <w:bottom w:val="nil"/>
              <w:right w:val="nil"/>
            </w:tcBorders>
            <w:shd w:val="clear" w:color="auto" w:fill="auto"/>
            <w:noWrap/>
            <w:hideMark/>
          </w:tcPr>
          <w:p w14:paraId="65506E41" w14:textId="2F8D9F77" w:rsidR="006477E7" w:rsidRPr="0050345F" w:rsidRDefault="006477E7" w:rsidP="006477E7">
            <w:pPr>
              <w:rPr>
                <w:rFonts w:ascii="Arial" w:eastAsia="Yu Gothic" w:hAnsi="Arial" w:cs="Arial"/>
                <w:color w:val="000000" w:themeColor="text1"/>
              </w:rPr>
            </w:pPr>
            <w:r w:rsidRPr="0050345F">
              <w:rPr>
                <w:rFonts w:ascii="Arial" w:hAnsi="Arial" w:cs="Arial"/>
                <w:color w:val="000000" w:themeColor="text1"/>
              </w:rPr>
              <w:t>Publication bias: Visual evaluation of contour-enhanced funnel plot was not suggestive of publication bias. All prospectively registered trials were included.</w:t>
            </w:r>
            <w:r w:rsidR="00791172" w:rsidRPr="0050345F">
              <w:rPr>
                <w:rFonts w:ascii="Arial" w:hAnsi="Arial" w:cs="Arial"/>
                <w:color w:val="000000" w:themeColor="text1"/>
              </w:rPr>
              <w:t xml:space="preserve"> (not serious)</w:t>
            </w:r>
          </w:p>
        </w:tc>
      </w:tr>
      <w:tr w:rsidR="00E16B88" w:rsidRPr="0050345F" w14:paraId="1BC88757" w14:textId="77777777" w:rsidTr="00655568">
        <w:trPr>
          <w:trHeight w:val="320"/>
        </w:trPr>
        <w:tc>
          <w:tcPr>
            <w:tcW w:w="13960" w:type="dxa"/>
            <w:tcBorders>
              <w:top w:val="nil"/>
              <w:left w:val="nil"/>
              <w:bottom w:val="nil"/>
              <w:right w:val="nil"/>
            </w:tcBorders>
            <w:shd w:val="clear" w:color="auto" w:fill="auto"/>
            <w:noWrap/>
            <w:hideMark/>
          </w:tcPr>
          <w:p w14:paraId="4C7E13C0" w14:textId="4C17E949" w:rsidR="006477E7" w:rsidRPr="0050345F" w:rsidRDefault="006477E7" w:rsidP="006477E7">
            <w:pPr>
              <w:rPr>
                <w:rFonts w:ascii="Arial" w:eastAsia="Yu Gothic" w:hAnsi="Arial" w:cs="Arial"/>
                <w:color w:val="000000" w:themeColor="text1"/>
              </w:rPr>
            </w:pPr>
            <w:r w:rsidRPr="0050345F">
              <w:rPr>
                <w:rFonts w:ascii="Arial" w:hAnsi="Arial" w:cs="Arial"/>
                <w:color w:val="000000" w:themeColor="text1"/>
              </w:rPr>
              <w:t xml:space="preserve">Other consideration: Most of the included studies were homogeneous by design and had similar baseline </w:t>
            </w:r>
            <w:r w:rsidR="00141B00" w:rsidRPr="0050345F">
              <w:rPr>
                <w:rFonts w:ascii="Arial" w:hAnsi="Arial" w:cs="Arial"/>
                <w:color w:val="000000" w:themeColor="text1"/>
              </w:rPr>
              <w:t>characteristics</w:t>
            </w:r>
            <w:r w:rsidRPr="0050345F">
              <w:rPr>
                <w:rFonts w:ascii="Arial" w:hAnsi="Arial" w:cs="Arial"/>
                <w:color w:val="000000" w:themeColor="text1"/>
              </w:rPr>
              <w:t>. Sensitivity analyses confirmed the primary analysis.</w:t>
            </w:r>
            <w:r w:rsidR="00791172" w:rsidRPr="0050345F">
              <w:rPr>
                <w:rFonts w:ascii="Arial" w:hAnsi="Arial" w:cs="Arial"/>
                <w:color w:val="000000" w:themeColor="text1"/>
              </w:rPr>
              <w:t xml:space="preserve"> (not serious)</w:t>
            </w:r>
          </w:p>
        </w:tc>
      </w:tr>
    </w:tbl>
    <w:p w14:paraId="0F66B4AF" w14:textId="77777777" w:rsidR="00A150F8" w:rsidRPr="0050345F" w:rsidRDefault="00A150F8" w:rsidP="00284CA2">
      <w:pPr>
        <w:rPr>
          <w:rFonts w:ascii="Arial" w:hAnsi="Arial" w:cs="Arial"/>
          <w:color w:val="FF0000"/>
        </w:rPr>
      </w:pPr>
    </w:p>
    <w:p w14:paraId="3B2B48A3" w14:textId="714DDB9E" w:rsidR="00A150F8" w:rsidRPr="0050345F" w:rsidRDefault="00A150F8" w:rsidP="00284CA2">
      <w:pPr>
        <w:rPr>
          <w:rFonts w:ascii="Arial" w:hAnsi="Arial" w:cs="Arial"/>
        </w:rPr>
        <w:sectPr w:rsidR="00A150F8" w:rsidRPr="0050345F" w:rsidSect="00A150F8">
          <w:pgSz w:w="16840" w:h="11900" w:orient="landscape"/>
          <w:pgMar w:top="1080" w:right="1440" w:bottom="1080" w:left="1440" w:header="851" w:footer="992" w:gutter="0"/>
          <w:cols w:space="425"/>
          <w:docGrid w:type="lines" w:linePitch="360"/>
        </w:sectPr>
      </w:pPr>
    </w:p>
    <w:p w14:paraId="1E0F64ED" w14:textId="7FD8CC87" w:rsidR="00284CA2" w:rsidRPr="0050345F" w:rsidRDefault="00284CA2" w:rsidP="00284CA2">
      <w:pPr>
        <w:rPr>
          <w:rFonts w:ascii="Arial" w:hAnsi="Arial" w:cs="Arial"/>
          <w:b/>
        </w:rPr>
      </w:pPr>
      <w:r w:rsidRPr="0050345F">
        <w:rPr>
          <w:rFonts w:ascii="Arial" w:hAnsi="Arial" w:cs="Arial"/>
          <w:b/>
        </w:rPr>
        <w:lastRenderedPageBreak/>
        <w:t>7. Others</w:t>
      </w:r>
    </w:p>
    <w:p w14:paraId="722A3929" w14:textId="4462D197" w:rsidR="001C0ED0" w:rsidRPr="0050345F" w:rsidRDefault="001C0ED0" w:rsidP="00284CA2">
      <w:pPr>
        <w:rPr>
          <w:rFonts w:ascii="Arial" w:hAnsi="Arial" w:cs="Arial"/>
          <w:b/>
        </w:rPr>
      </w:pPr>
      <w:r w:rsidRPr="0050345F">
        <w:rPr>
          <w:rFonts w:ascii="Arial" w:hAnsi="Arial" w:cs="Arial"/>
          <w:b/>
        </w:rPr>
        <w:t xml:space="preserve">eTable1. </w:t>
      </w:r>
      <w:r w:rsidR="003E1DDF" w:rsidRPr="0050345F">
        <w:rPr>
          <w:rFonts w:ascii="Arial" w:hAnsi="Arial" w:cs="Arial"/>
          <w:b/>
        </w:rPr>
        <w:t>List</w:t>
      </w:r>
      <w:r w:rsidRPr="0050345F">
        <w:rPr>
          <w:rFonts w:ascii="Arial" w:hAnsi="Arial" w:cs="Arial"/>
          <w:b/>
        </w:rPr>
        <w:t xml:space="preserve"> of excluded studies</w:t>
      </w:r>
    </w:p>
    <w:p w14:paraId="374912E6" w14:textId="77777777" w:rsidR="00736A44" w:rsidRPr="0050345F" w:rsidRDefault="00736A44" w:rsidP="00736A44">
      <w:pPr>
        <w:ind w:leftChars="100" w:left="240"/>
        <w:rPr>
          <w:rFonts w:ascii="Arial" w:hAnsi="Arial" w:cs="Arial"/>
          <w:b/>
        </w:rPr>
      </w:pPr>
    </w:p>
    <w:tbl>
      <w:tblPr>
        <w:tblStyle w:val="6"/>
        <w:tblW w:w="10120" w:type="dxa"/>
        <w:tblLook w:val="04A0" w:firstRow="1" w:lastRow="0" w:firstColumn="1" w:lastColumn="0" w:noHBand="0" w:noVBand="1"/>
      </w:tblPr>
      <w:tblGrid>
        <w:gridCol w:w="2306"/>
        <w:gridCol w:w="3873"/>
        <w:gridCol w:w="3941"/>
      </w:tblGrid>
      <w:tr w:rsidR="001C0ED0" w:rsidRPr="0050345F" w14:paraId="1F163DC4" w14:textId="77777777" w:rsidTr="00736A44">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2088" w:type="dxa"/>
            <w:hideMark/>
          </w:tcPr>
          <w:p w14:paraId="76C58BB6" w14:textId="77777777" w:rsidR="001C0ED0" w:rsidRPr="0050345F" w:rsidRDefault="001C0ED0" w:rsidP="001C0ED0">
            <w:pPr>
              <w:rPr>
                <w:rFonts w:ascii="Arial" w:hAnsi="Arial" w:cs="Arial"/>
                <w:b w:val="0"/>
                <w:bCs w:val="0"/>
                <w:color w:val="000000"/>
                <w:sz w:val="20"/>
                <w:szCs w:val="20"/>
              </w:rPr>
            </w:pPr>
            <w:r w:rsidRPr="0050345F">
              <w:rPr>
                <w:rFonts w:ascii="Arial" w:hAnsi="Arial" w:cs="Arial"/>
                <w:color w:val="000000"/>
                <w:sz w:val="20"/>
                <w:szCs w:val="20"/>
              </w:rPr>
              <w:t>Name</w:t>
            </w:r>
          </w:p>
        </w:tc>
        <w:tc>
          <w:tcPr>
            <w:tcW w:w="4277" w:type="dxa"/>
            <w:hideMark/>
          </w:tcPr>
          <w:p w14:paraId="138DB6CA" w14:textId="77777777" w:rsidR="001C0ED0" w:rsidRPr="0050345F" w:rsidRDefault="001C0ED0" w:rsidP="001C0ED0">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50345F">
              <w:rPr>
                <w:rFonts w:ascii="Arial" w:hAnsi="Arial" w:cs="Arial"/>
                <w:color w:val="000000"/>
                <w:sz w:val="20"/>
                <w:szCs w:val="20"/>
              </w:rPr>
              <w:t>Title</w:t>
            </w:r>
          </w:p>
        </w:tc>
        <w:tc>
          <w:tcPr>
            <w:tcW w:w="3755" w:type="dxa"/>
            <w:hideMark/>
          </w:tcPr>
          <w:p w14:paraId="3EAA1C8E" w14:textId="77777777" w:rsidR="001C0ED0" w:rsidRPr="0050345F" w:rsidRDefault="001C0ED0" w:rsidP="001C0ED0">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50345F">
              <w:rPr>
                <w:rFonts w:ascii="Arial" w:hAnsi="Arial" w:cs="Arial"/>
                <w:color w:val="000000"/>
                <w:sz w:val="20"/>
                <w:szCs w:val="20"/>
              </w:rPr>
              <w:t>Comment</w:t>
            </w:r>
          </w:p>
        </w:tc>
      </w:tr>
      <w:tr w:rsidR="001C0ED0" w:rsidRPr="0050345F" w14:paraId="2D808B91" w14:textId="77777777" w:rsidTr="00736A44">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334C5B4D"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CaravaggioF2014</w:t>
            </w:r>
          </w:p>
        </w:tc>
        <w:tc>
          <w:tcPr>
            <w:tcW w:w="4277" w:type="dxa"/>
            <w:hideMark/>
          </w:tcPr>
          <w:p w14:paraId="13575D4F"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Occupancy of dopamine D3 receptors by aripiprazole in treatment resistant late-life depressed patients depends on length of treatment as evidenced by in vivo imaging with -(+)-PHNO</w:t>
            </w:r>
          </w:p>
        </w:tc>
        <w:tc>
          <w:tcPr>
            <w:tcW w:w="3755" w:type="dxa"/>
            <w:hideMark/>
          </w:tcPr>
          <w:p w14:paraId="19A36C5B"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ari/pla seems not be adjunctive to AD</w:t>
            </w:r>
          </w:p>
        </w:tc>
      </w:tr>
      <w:tr w:rsidR="001C0ED0" w:rsidRPr="0050345F" w14:paraId="0672D24F"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37770F78"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CaseyDE2012a</w:t>
            </w:r>
          </w:p>
        </w:tc>
        <w:tc>
          <w:tcPr>
            <w:tcW w:w="4277" w:type="dxa"/>
            <w:hideMark/>
          </w:tcPr>
          <w:p w14:paraId="6D99479B"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Adjunctive aripiprazole more than doubles the rate of early and sustained response across multiple measures in patients with MDD who have an inadequate response to antidepressant monotherapy</w:t>
            </w:r>
          </w:p>
        </w:tc>
        <w:tc>
          <w:tcPr>
            <w:tcW w:w="3755" w:type="dxa"/>
            <w:hideMark/>
          </w:tcPr>
          <w:p w14:paraId="2C5CFD6C"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3D0FC0A0" w14:textId="77777777" w:rsidTr="00736A44">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7DFACB68"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CaseyDE2012b</w:t>
            </w:r>
          </w:p>
        </w:tc>
        <w:tc>
          <w:tcPr>
            <w:tcW w:w="4277" w:type="dxa"/>
            <w:hideMark/>
          </w:tcPr>
          <w:p w14:paraId="195A4327"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Efficacy of adjunctive aripiprazole in major depressive disorder: a pooled response  quartile analysis and the predictive value of week 2 early response.</w:t>
            </w:r>
          </w:p>
        </w:tc>
        <w:tc>
          <w:tcPr>
            <w:tcW w:w="3755" w:type="dxa"/>
            <w:hideMark/>
          </w:tcPr>
          <w:p w14:paraId="36CEF813"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5CB9B300"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205D9E28"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CaseyDE2014</w:t>
            </w:r>
          </w:p>
        </w:tc>
        <w:tc>
          <w:tcPr>
            <w:tcW w:w="4277" w:type="dxa"/>
            <w:hideMark/>
          </w:tcPr>
          <w:p w14:paraId="42892AD0"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Response and remission rates with adjunctive aripiprazole in patients with major  depressive disorder who exhibit minimal or no improvement on antidepressant monotherapy.</w:t>
            </w:r>
          </w:p>
        </w:tc>
        <w:tc>
          <w:tcPr>
            <w:tcW w:w="3755" w:type="dxa"/>
            <w:hideMark/>
          </w:tcPr>
          <w:p w14:paraId="233C55F1"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4D1A6736"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5B14E688"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CipirianiA2008</w:t>
            </w:r>
          </w:p>
        </w:tc>
        <w:tc>
          <w:tcPr>
            <w:tcW w:w="4277" w:type="dxa"/>
            <w:hideMark/>
          </w:tcPr>
          <w:p w14:paraId="4BDCDFF3"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Adding aripiprazole improves major depressive disorder following incomplete response  to antidepressants alone.</w:t>
            </w:r>
          </w:p>
        </w:tc>
        <w:tc>
          <w:tcPr>
            <w:tcW w:w="3755" w:type="dxa"/>
            <w:hideMark/>
          </w:tcPr>
          <w:p w14:paraId="7388405F"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BermanRM2007</w:t>
            </w:r>
          </w:p>
        </w:tc>
      </w:tr>
      <w:tr w:rsidR="001C0ED0" w:rsidRPr="0050345F" w14:paraId="67304E45"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08F64F46"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CleareA2008</w:t>
            </w:r>
          </w:p>
        </w:tc>
        <w:tc>
          <w:tcPr>
            <w:tcW w:w="4277" w:type="dxa"/>
            <w:hideMark/>
          </w:tcPr>
          <w:p w14:paraId="6C4BDCEF"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Adjunctive aripiprazole improves symptoms in antidepressant refractory major  depressive disorder.</w:t>
            </w:r>
          </w:p>
        </w:tc>
        <w:tc>
          <w:tcPr>
            <w:tcW w:w="3755" w:type="dxa"/>
            <w:hideMark/>
          </w:tcPr>
          <w:p w14:paraId="3567B8FB"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MarcusRN2008_CN138163</w:t>
            </w:r>
          </w:p>
        </w:tc>
      </w:tr>
      <w:tr w:rsidR="001C0ED0" w:rsidRPr="0050345F" w14:paraId="0007D2E9"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4337AC25"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CristanchoP2019</w:t>
            </w:r>
          </w:p>
        </w:tc>
        <w:tc>
          <w:tcPr>
            <w:tcW w:w="4277" w:type="dxa"/>
            <w:hideMark/>
          </w:tcPr>
          <w:p w14:paraId="49D3E3AE"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Optimizing Outcomes of Treatment-Resistant Depression in Older Adults (OPTIMUM):  Study Design and Treatment Characteristics of the First 396 Participants Randomized.</w:t>
            </w:r>
          </w:p>
        </w:tc>
        <w:tc>
          <w:tcPr>
            <w:tcW w:w="3755" w:type="dxa"/>
            <w:hideMark/>
          </w:tcPr>
          <w:p w14:paraId="60D254B0"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5799B5AE"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4732E87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lastRenderedPageBreak/>
              <w:t>DunnerDL2012</w:t>
            </w:r>
          </w:p>
        </w:tc>
        <w:tc>
          <w:tcPr>
            <w:tcW w:w="4277" w:type="dxa"/>
            <w:hideMark/>
          </w:tcPr>
          <w:p w14:paraId="070E1E4B"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Beneficial effects of adjunctive aripiprazole in major depressive disorder are not  dependent on antidepressant therapy history: a post hoc analysis of 3 randomized, double-blind, placebo-controlled trials.</w:t>
            </w:r>
          </w:p>
        </w:tc>
        <w:tc>
          <w:tcPr>
            <w:tcW w:w="3755" w:type="dxa"/>
            <w:hideMark/>
          </w:tcPr>
          <w:p w14:paraId="43ACCF4E"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5D40BA89"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3EDBC5F4"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EUCTR2006-004605-26</w:t>
            </w:r>
          </w:p>
        </w:tc>
        <w:tc>
          <w:tcPr>
            <w:tcW w:w="4277" w:type="dxa"/>
            <w:hideMark/>
          </w:tcPr>
          <w:p w14:paraId="1045F125"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Proposal to investigate the efficacy and tolerability of Aripiprazole as an add-on therapy in patients not responding to an adequate dose of an antidepressant therapy</w:t>
            </w:r>
          </w:p>
        </w:tc>
        <w:tc>
          <w:tcPr>
            <w:tcW w:w="3755" w:type="dxa"/>
            <w:hideMark/>
          </w:tcPr>
          <w:p w14:paraId="6640C133"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Ended prematurely. Confirmed that no participants were enrolled.</w:t>
            </w:r>
          </w:p>
        </w:tc>
      </w:tr>
      <w:tr w:rsidR="001C0ED0" w:rsidRPr="0050345F" w14:paraId="70B3F1F1"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17410106"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EUCTR2010-018860-17</w:t>
            </w:r>
          </w:p>
        </w:tc>
        <w:tc>
          <w:tcPr>
            <w:tcW w:w="4277" w:type="dxa"/>
            <w:hideMark/>
          </w:tcPr>
          <w:p w14:paraId="33D10232"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 Multicenter, 52-week, Open-label Study to Assess the Safety and Tolerability of an Oral Aripiprazole/Escitalopram Combination Therapy in Patients with Major Depressive Disorder - ACES 257</w:t>
            </w:r>
          </w:p>
        </w:tc>
        <w:tc>
          <w:tcPr>
            <w:tcW w:w="3755" w:type="dxa"/>
            <w:hideMark/>
          </w:tcPr>
          <w:p w14:paraId="744E08C9"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not randomised</w:t>
            </w:r>
          </w:p>
        </w:tc>
      </w:tr>
      <w:tr w:rsidR="001C0ED0" w:rsidRPr="0050345F" w14:paraId="04F9F089" w14:textId="77777777" w:rsidTr="00736A44">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42558C2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FabianTJ2012</w:t>
            </w:r>
          </w:p>
        </w:tc>
        <w:tc>
          <w:tcPr>
            <w:tcW w:w="4277" w:type="dxa"/>
            <w:hideMark/>
          </w:tcPr>
          <w:p w14:paraId="66EFB49F"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Improvement in functional outcomes with adjunctive aripiprazole versus placebo in  major depressive disorder: a pooled post hoc analysis of 3 short-term studies.</w:t>
            </w:r>
          </w:p>
        </w:tc>
        <w:tc>
          <w:tcPr>
            <w:tcW w:w="3755" w:type="dxa"/>
            <w:hideMark/>
          </w:tcPr>
          <w:p w14:paraId="14F137E4"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5E41E5C4"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038D6EEC"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FabrazzoM2012</w:t>
            </w:r>
          </w:p>
        </w:tc>
        <w:tc>
          <w:tcPr>
            <w:tcW w:w="4277" w:type="dxa"/>
            <w:hideMark/>
          </w:tcPr>
          <w:p w14:paraId="63E4FB38"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Aripiprazole augmentation strategy in clomipramine-resistant depressive patients: an  open preliminary study.</w:t>
            </w:r>
          </w:p>
        </w:tc>
        <w:tc>
          <w:tcPr>
            <w:tcW w:w="3755" w:type="dxa"/>
            <w:hideMark/>
          </w:tcPr>
          <w:p w14:paraId="628688FB"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assessors not blind</w:t>
            </w:r>
          </w:p>
        </w:tc>
      </w:tr>
      <w:tr w:rsidR="001C0ED0" w:rsidRPr="0050345F" w14:paraId="5D2283CE"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21186F37"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FavaM2009</w:t>
            </w:r>
          </w:p>
        </w:tc>
        <w:tc>
          <w:tcPr>
            <w:tcW w:w="4277" w:type="dxa"/>
            <w:hideMark/>
          </w:tcPr>
          <w:p w14:paraId="416F50BF"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Metabolic assessment of aripiprazole as adjunctive therapy in major depressive  disorder: a pooled analysis of 2 studies.</w:t>
            </w:r>
          </w:p>
        </w:tc>
        <w:tc>
          <w:tcPr>
            <w:tcW w:w="3755" w:type="dxa"/>
            <w:hideMark/>
          </w:tcPr>
          <w:p w14:paraId="667978F7"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1D63E101" w14:textId="77777777" w:rsidTr="00736A44">
        <w:trPr>
          <w:trHeight w:val="1400"/>
        </w:trPr>
        <w:tc>
          <w:tcPr>
            <w:cnfStyle w:val="001000000000" w:firstRow="0" w:lastRow="0" w:firstColumn="1" w:lastColumn="0" w:oddVBand="0" w:evenVBand="0" w:oddHBand="0" w:evenHBand="0" w:firstRowFirstColumn="0" w:firstRowLastColumn="0" w:lastRowFirstColumn="0" w:lastRowLastColumn="0"/>
            <w:tcW w:w="2088" w:type="dxa"/>
            <w:hideMark/>
          </w:tcPr>
          <w:p w14:paraId="10275B24"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FavaM2011</w:t>
            </w:r>
          </w:p>
        </w:tc>
        <w:tc>
          <w:tcPr>
            <w:tcW w:w="4277" w:type="dxa"/>
            <w:hideMark/>
          </w:tcPr>
          <w:p w14:paraId="50E03DBB"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Effects of adjunctive aripiprazole on sexual functioning in patients with major  depressive disorder and an inadequate response to standard antidepressant monotherapy: a post hoc analysis of 3 randomized, double-blind, placebo-controlled studies.</w:t>
            </w:r>
          </w:p>
        </w:tc>
        <w:tc>
          <w:tcPr>
            <w:tcW w:w="3755" w:type="dxa"/>
            <w:hideMark/>
          </w:tcPr>
          <w:p w14:paraId="45AD1DFA"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369E72D5"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1BBBAD65"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GebaraMA2018</w:t>
            </w:r>
          </w:p>
        </w:tc>
        <w:tc>
          <w:tcPr>
            <w:tcW w:w="4277" w:type="dxa"/>
            <w:hideMark/>
          </w:tcPr>
          <w:p w14:paraId="09F7C0DB"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Specific depressive symptoms predict remission to aripiprazole augmentation in  late-life treatment resistant depression.</w:t>
            </w:r>
          </w:p>
        </w:tc>
        <w:tc>
          <w:tcPr>
            <w:tcW w:w="3755" w:type="dxa"/>
            <w:hideMark/>
          </w:tcPr>
          <w:p w14:paraId="00AE37C7"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Lenze2015_IRLGREY_NCT00892047</w:t>
            </w:r>
          </w:p>
        </w:tc>
      </w:tr>
      <w:tr w:rsidR="001C0ED0" w:rsidRPr="0050345F" w14:paraId="07E3812C"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77A82F4A"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lastRenderedPageBreak/>
              <w:t>GraberMA2008</w:t>
            </w:r>
          </w:p>
        </w:tc>
        <w:tc>
          <w:tcPr>
            <w:tcW w:w="4277" w:type="dxa"/>
            <w:hideMark/>
          </w:tcPr>
          <w:p w14:paraId="0A2B345B"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Aripiprazole as adjunctive therapy in patients with major depressive disorder</w:t>
            </w:r>
          </w:p>
        </w:tc>
        <w:tc>
          <w:tcPr>
            <w:tcW w:w="3755" w:type="dxa"/>
            <w:hideMark/>
          </w:tcPr>
          <w:p w14:paraId="36842DF3"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BermanRM2007</w:t>
            </w:r>
          </w:p>
        </w:tc>
      </w:tr>
      <w:tr w:rsidR="001C0ED0" w:rsidRPr="0050345F" w14:paraId="7FC4D98D"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3DDF29C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HateganA2016</w:t>
            </w:r>
          </w:p>
        </w:tc>
        <w:tc>
          <w:tcPr>
            <w:tcW w:w="4277" w:type="dxa"/>
            <w:hideMark/>
          </w:tcPr>
          <w:p w14:paraId="3553C636"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ACP Journal Club. In older adults with treatment-resistant depression, adding  aripiprazole to venlafaxine increased remission at 12 wk.</w:t>
            </w:r>
          </w:p>
        </w:tc>
        <w:tc>
          <w:tcPr>
            <w:tcW w:w="3755" w:type="dxa"/>
            <w:hideMark/>
          </w:tcPr>
          <w:p w14:paraId="69E7E18D"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Lenze2015_IRLGREY_NCT00892047</w:t>
            </w:r>
          </w:p>
        </w:tc>
      </w:tr>
      <w:tr w:rsidR="001C0ED0" w:rsidRPr="0050345F" w14:paraId="211B7B98"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3DDAF5AD"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HorikoshiSH2017</w:t>
            </w:r>
          </w:p>
        </w:tc>
        <w:tc>
          <w:tcPr>
            <w:tcW w:w="4277" w:type="dxa"/>
            <w:hideMark/>
          </w:tcPr>
          <w:p w14:paraId="140FC6A4"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Low and high dose aripiprazole augmentation in major depressive disorder: a randomised, open-label study</w:t>
            </w:r>
          </w:p>
        </w:tc>
        <w:tc>
          <w:tcPr>
            <w:tcW w:w="3755" w:type="dxa"/>
            <w:hideMark/>
          </w:tcPr>
          <w:p w14:paraId="3C443E6C"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HorikoshiSH2019</w:t>
            </w:r>
          </w:p>
        </w:tc>
      </w:tr>
      <w:tr w:rsidR="001C0ED0" w:rsidRPr="0050345F" w14:paraId="36EA0646"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36613F33"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HorikoshiSH2019</w:t>
            </w:r>
          </w:p>
        </w:tc>
        <w:tc>
          <w:tcPr>
            <w:tcW w:w="4277" w:type="dxa"/>
            <w:hideMark/>
          </w:tcPr>
          <w:p w14:paraId="4BC25E38"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Low- and high-dose aripiprazole augmentation and plasma levels of homovanillic acid  in major depressive disorder: A randomized, open-label study.</w:t>
            </w:r>
          </w:p>
        </w:tc>
        <w:tc>
          <w:tcPr>
            <w:tcW w:w="3755" w:type="dxa"/>
            <w:hideMark/>
          </w:tcPr>
          <w:p w14:paraId="7AA56A40"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assessors not blind</w:t>
            </w:r>
          </w:p>
        </w:tc>
      </w:tr>
      <w:tr w:rsidR="001C0ED0" w:rsidRPr="0050345F" w14:paraId="50A5B424"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4AFF69F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HsuJH2016</w:t>
            </w:r>
          </w:p>
        </w:tc>
        <w:tc>
          <w:tcPr>
            <w:tcW w:w="4277" w:type="dxa"/>
            <w:hideMark/>
          </w:tcPr>
          <w:p w14:paraId="439228D0"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Impact of Prior Treatment on Remission of Late-Life Depression with Venlafaxine and  Subsequent Aripiprazole or Placebo Augmentation.</w:t>
            </w:r>
          </w:p>
        </w:tc>
        <w:tc>
          <w:tcPr>
            <w:tcW w:w="3755" w:type="dxa"/>
            <w:hideMark/>
          </w:tcPr>
          <w:p w14:paraId="593490D9"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Lenze2015_IRLGREY_NCT00892047</w:t>
            </w:r>
          </w:p>
        </w:tc>
      </w:tr>
      <w:tr w:rsidR="001C0ED0" w:rsidRPr="0050345F" w14:paraId="504246CC"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7FFCA4B6"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HsuJH2018</w:t>
            </w:r>
          </w:p>
        </w:tc>
        <w:tc>
          <w:tcPr>
            <w:tcW w:w="4277" w:type="dxa"/>
            <w:hideMark/>
          </w:tcPr>
          <w:p w14:paraId="1A47DFF1"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Clinical Predictors of Extrapyramidal Symptoms Associated With Aripiprazole  Augmentation for the Treatment of Late-Life Depression in a Randomized Controlled Trial.</w:t>
            </w:r>
          </w:p>
        </w:tc>
        <w:tc>
          <w:tcPr>
            <w:tcW w:w="3755" w:type="dxa"/>
            <w:hideMark/>
          </w:tcPr>
          <w:p w14:paraId="5266E3E9"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Lenze2015_IRLGREY_NCT00892047</w:t>
            </w:r>
          </w:p>
        </w:tc>
      </w:tr>
      <w:tr w:rsidR="001C0ED0" w:rsidRPr="0050345F" w14:paraId="02B4CBA8"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19A2E231"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IRCT201202122935N7</w:t>
            </w:r>
          </w:p>
        </w:tc>
        <w:tc>
          <w:tcPr>
            <w:tcW w:w="4277" w:type="dxa"/>
            <w:hideMark/>
          </w:tcPr>
          <w:p w14:paraId="18CC42BA"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Aripiprazole in mixed depression</w:t>
            </w:r>
          </w:p>
        </w:tc>
        <w:tc>
          <w:tcPr>
            <w:tcW w:w="3755" w:type="dxa"/>
            <w:hideMark/>
          </w:tcPr>
          <w:p w14:paraId="6F2893A3"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wrong publication type</w:t>
            </w:r>
          </w:p>
        </w:tc>
      </w:tr>
      <w:tr w:rsidR="001C0ED0" w:rsidRPr="0050345F" w14:paraId="64D85174"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6CF58DD2"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JoelI2014</w:t>
            </w:r>
          </w:p>
        </w:tc>
        <w:tc>
          <w:tcPr>
            <w:tcW w:w="4277" w:type="dxa"/>
            <w:hideMark/>
          </w:tcPr>
          <w:p w14:paraId="234EAE6C"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Dynamic prediction of treatment response in late-life depression.</w:t>
            </w:r>
          </w:p>
        </w:tc>
        <w:tc>
          <w:tcPr>
            <w:tcW w:w="3755" w:type="dxa"/>
            <w:hideMark/>
          </w:tcPr>
          <w:p w14:paraId="1C863CD4"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Lenze2015_IRLGREY_NCT00892047</w:t>
            </w:r>
          </w:p>
        </w:tc>
      </w:tr>
      <w:tr w:rsidR="001C0ED0" w:rsidRPr="0050345F" w14:paraId="11E47668"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59B9B112"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KaneriyaSH2016.pdf</w:t>
            </w:r>
          </w:p>
        </w:tc>
        <w:tc>
          <w:tcPr>
            <w:tcW w:w="4277" w:type="dxa"/>
            <w:hideMark/>
          </w:tcPr>
          <w:p w14:paraId="43CAE8E3"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Predictors and Moderators of Remission With Aripiprazole Augmentation in  Treatment-Resistant Late-Life Depression: An Analysis of the IRL-GRey Randomized Clinical Trial.</w:t>
            </w:r>
          </w:p>
        </w:tc>
        <w:tc>
          <w:tcPr>
            <w:tcW w:w="3755" w:type="dxa"/>
            <w:hideMark/>
          </w:tcPr>
          <w:p w14:paraId="5A553523"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Lenze2015_IRLGREY_NCT00892047</w:t>
            </w:r>
          </w:p>
        </w:tc>
      </w:tr>
      <w:tr w:rsidR="001C0ED0" w:rsidRPr="0050345F" w14:paraId="5C6D72B0"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049F1C79"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KCT00046072020</w:t>
            </w:r>
          </w:p>
        </w:tc>
        <w:tc>
          <w:tcPr>
            <w:tcW w:w="4277" w:type="dxa"/>
            <w:hideMark/>
          </w:tcPr>
          <w:p w14:paraId="6713F345"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Aripiprazole augmentation for somatic symptoms of depression</w:t>
            </w:r>
          </w:p>
        </w:tc>
        <w:tc>
          <w:tcPr>
            <w:tcW w:w="3755" w:type="dxa"/>
            <w:hideMark/>
          </w:tcPr>
          <w:p w14:paraId="03688971"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depression not refractory</w:t>
            </w:r>
          </w:p>
        </w:tc>
      </w:tr>
      <w:tr w:rsidR="001C0ED0" w:rsidRPr="0050345F" w14:paraId="52503EA2"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6DD5C471"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LeelahanajT2010</w:t>
            </w:r>
          </w:p>
        </w:tc>
        <w:tc>
          <w:tcPr>
            <w:tcW w:w="4277" w:type="dxa"/>
            <w:hideMark/>
          </w:tcPr>
          <w:p w14:paraId="3CDE2294"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The cost-effectiveness of aripiprazole as adjunctive therapy in major depressive  disorder: Thai economic model.</w:t>
            </w:r>
          </w:p>
        </w:tc>
        <w:tc>
          <w:tcPr>
            <w:tcW w:w="3755" w:type="dxa"/>
            <w:hideMark/>
          </w:tcPr>
          <w:p w14:paraId="30E1679A"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ThaseME2008</w:t>
            </w:r>
          </w:p>
        </w:tc>
      </w:tr>
      <w:tr w:rsidR="001C0ED0" w:rsidRPr="0050345F" w14:paraId="74000E03"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6B7FB5D3"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lastRenderedPageBreak/>
              <w:t>LenzeEJ2015.pdf</w:t>
            </w:r>
          </w:p>
        </w:tc>
        <w:tc>
          <w:tcPr>
            <w:tcW w:w="4277" w:type="dxa"/>
            <w:hideMark/>
          </w:tcPr>
          <w:p w14:paraId="1D6F4BDA"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LenzeEJ2015.pdf</w:t>
            </w:r>
          </w:p>
        </w:tc>
        <w:tc>
          <w:tcPr>
            <w:tcW w:w="3755" w:type="dxa"/>
            <w:hideMark/>
          </w:tcPr>
          <w:p w14:paraId="51BDA8C2"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duplicate of Lenze2015_IRLGREY_NCT00892047.pdf</w:t>
            </w:r>
          </w:p>
        </w:tc>
      </w:tr>
      <w:tr w:rsidR="001C0ED0" w:rsidRPr="0050345F" w14:paraId="69FE5548"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41268CBD"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LinCH2011</w:t>
            </w:r>
          </w:p>
        </w:tc>
        <w:tc>
          <w:tcPr>
            <w:tcW w:w="4277" w:type="dxa"/>
            <w:hideMark/>
          </w:tcPr>
          <w:p w14:paraId="7EF20E0A"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The cost-effectiveness of aripiprazole as adjunctive therapy in major depressive  disorder: Thai economic model.</w:t>
            </w:r>
          </w:p>
        </w:tc>
        <w:tc>
          <w:tcPr>
            <w:tcW w:w="3755" w:type="dxa"/>
            <w:hideMark/>
          </w:tcPr>
          <w:p w14:paraId="27119E9B"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depression not refractory</w:t>
            </w:r>
          </w:p>
        </w:tc>
      </w:tr>
      <w:tr w:rsidR="001C0ED0" w:rsidRPr="0050345F" w14:paraId="36DD682D"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5D1A951A"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LoseJY2009</w:t>
            </w:r>
          </w:p>
        </w:tc>
        <w:tc>
          <w:tcPr>
            <w:tcW w:w="4277" w:type="dxa"/>
            <w:hideMark/>
          </w:tcPr>
          <w:p w14:paraId="5FD70080"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Safety and tolerability of adjunctive aripiprazole in major depressive disorder: pooled data from 3 short-term studies</w:t>
            </w:r>
          </w:p>
        </w:tc>
        <w:tc>
          <w:tcPr>
            <w:tcW w:w="3755" w:type="dxa"/>
            <w:hideMark/>
          </w:tcPr>
          <w:p w14:paraId="563B2A95"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0CD201CB"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66F25C37"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MischoulonD2012</w:t>
            </w:r>
          </w:p>
        </w:tc>
        <w:tc>
          <w:tcPr>
            <w:tcW w:w="4277" w:type="dxa"/>
            <w:hideMark/>
          </w:tcPr>
          <w:p w14:paraId="7AC889F6"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Efficacy of dose increase among nonresponders to low-dose aripiprazole augmentation  in patients with inadequate response to antidepressant treatment: a randomized, double-blind, placebo-controlled, efficacy trial.</w:t>
            </w:r>
          </w:p>
        </w:tc>
        <w:tc>
          <w:tcPr>
            <w:tcW w:w="3755" w:type="dxa"/>
            <w:hideMark/>
          </w:tcPr>
          <w:p w14:paraId="7A61965A"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already treated with aripiprazole low dosage</w:t>
            </w:r>
          </w:p>
        </w:tc>
      </w:tr>
      <w:tr w:rsidR="001C0ED0" w:rsidRPr="0050345F" w14:paraId="5894245D" w14:textId="77777777" w:rsidTr="00736A44">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6F9B8F67"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MohamedS2017</w:t>
            </w:r>
          </w:p>
        </w:tc>
        <w:tc>
          <w:tcPr>
            <w:tcW w:w="4277" w:type="dxa"/>
            <w:hideMark/>
          </w:tcPr>
          <w:p w14:paraId="3DD94746"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Effect of Antidepressant Switching vs Augmentation on Remission Among Patients With  Major Depressive Disorder Unresponsive to Antidepressant Treatment: The VAST-D Randomized Clinical Trial.</w:t>
            </w:r>
          </w:p>
        </w:tc>
        <w:tc>
          <w:tcPr>
            <w:tcW w:w="3755" w:type="dxa"/>
            <w:hideMark/>
          </w:tcPr>
          <w:p w14:paraId="53900EC9"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5B006735"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4643DA7A"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MohamedS2020</w:t>
            </w:r>
          </w:p>
        </w:tc>
        <w:tc>
          <w:tcPr>
            <w:tcW w:w="4277" w:type="dxa"/>
            <w:hideMark/>
          </w:tcPr>
          <w:p w14:paraId="34215A3B"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Impact of Concurrent Posttraumatic Stress Disorder on Outcomes of Antipsychotic  Augmentation for Major Depressive Disorder With a Prior Failed Treatment: VAST-D Randomized Clinical Trial.</w:t>
            </w:r>
          </w:p>
        </w:tc>
        <w:tc>
          <w:tcPr>
            <w:tcW w:w="3755" w:type="dxa"/>
            <w:hideMark/>
          </w:tcPr>
          <w:p w14:paraId="7E8F5016"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MohamedS2017</w:t>
            </w:r>
          </w:p>
        </w:tc>
      </w:tr>
      <w:tr w:rsidR="001C0ED0" w:rsidRPr="0050345F" w14:paraId="34EBFD2B" w14:textId="77777777" w:rsidTr="00736A44">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398448FA"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MuzinaDJ2011</w:t>
            </w:r>
          </w:p>
        </w:tc>
        <w:tc>
          <w:tcPr>
            <w:tcW w:w="4277" w:type="dxa"/>
            <w:hideMark/>
          </w:tcPr>
          <w:p w14:paraId="22F067CD"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Adjunctive aripiprazole for depression: predictive value of early assessment.</w:t>
            </w:r>
          </w:p>
        </w:tc>
        <w:tc>
          <w:tcPr>
            <w:tcW w:w="3755" w:type="dxa"/>
            <w:hideMark/>
          </w:tcPr>
          <w:p w14:paraId="7BCAFA29"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25E83E00"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5C5C2147"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NCT00926835</w:t>
            </w:r>
          </w:p>
        </w:tc>
        <w:tc>
          <w:tcPr>
            <w:tcW w:w="4277" w:type="dxa"/>
            <w:hideMark/>
          </w:tcPr>
          <w:p w14:paraId="557585A5"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Effect of Antidepressants on the Treatment for Korean Major Depressive Disorder Patients</w:t>
            </w:r>
          </w:p>
        </w:tc>
        <w:tc>
          <w:tcPr>
            <w:tcW w:w="3755" w:type="dxa"/>
            <w:hideMark/>
          </w:tcPr>
          <w:p w14:paraId="1894F784"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7303F8C5"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599F3E92"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NCT01696617</w:t>
            </w:r>
          </w:p>
        </w:tc>
        <w:tc>
          <w:tcPr>
            <w:tcW w:w="4277" w:type="dxa"/>
            <w:hideMark/>
          </w:tcPr>
          <w:p w14:paraId="4D304633"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Aripiprazole (Abilify) as an Adjunctive Treatment for Inadequate Response in Major Depressive Disorder</w:t>
            </w:r>
          </w:p>
        </w:tc>
        <w:tc>
          <w:tcPr>
            <w:tcW w:w="3755" w:type="dxa"/>
            <w:hideMark/>
          </w:tcPr>
          <w:p w14:paraId="5001E03A"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7C2FC2F1"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7A6B8663"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lastRenderedPageBreak/>
              <w:t>NCT01942187</w:t>
            </w:r>
          </w:p>
        </w:tc>
        <w:tc>
          <w:tcPr>
            <w:tcW w:w="4277" w:type="dxa"/>
            <w:hideMark/>
          </w:tcPr>
          <w:p w14:paraId="0A0F88AB"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 Comparison of Medication Augmentation and PST in the Treatment of Depression in Older Adults</w:t>
            </w:r>
          </w:p>
        </w:tc>
        <w:tc>
          <w:tcPr>
            <w:tcW w:w="3755" w:type="dxa"/>
            <w:hideMark/>
          </w:tcPr>
          <w:p w14:paraId="10FAAF9D"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409A9682"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4F569E7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NCT02960763</w:t>
            </w:r>
          </w:p>
        </w:tc>
        <w:tc>
          <w:tcPr>
            <w:tcW w:w="4277" w:type="dxa"/>
            <w:hideMark/>
          </w:tcPr>
          <w:p w14:paraId="490B4D38"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Optimizing Outcomes of Treatment-Resistant Depression in Older Adults</w:t>
            </w:r>
          </w:p>
        </w:tc>
        <w:tc>
          <w:tcPr>
            <w:tcW w:w="3755" w:type="dxa"/>
            <w:hideMark/>
          </w:tcPr>
          <w:p w14:paraId="519E4A70"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3CF6BA79"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058CE1AE"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NCT02977299</w:t>
            </w:r>
          </w:p>
        </w:tc>
        <w:tc>
          <w:tcPr>
            <w:tcW w:w="4277" w:type="dxa"/>
            <w:hideMark/>
          </w:tcPr>
          <w:p w14:paraId="08BA8BA2"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Comparative Effectiveness Research Trial for Antidepressant Incomplete and Non-responders With TRD</w:t>
            </w:r>
          </w:p>
        </w:tc>
        <w:tc>
          <w:tcPr>
            <w:tcW w:w="3755" w:type="dxa"/>
            <w:hideMark/>
          </w:tcPr>
          <w:p w14:paraId="778B7AE6"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355CC502"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605C839B"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NCT04234776</w:t>
            </w:r>
          </w:p>
        </w:tc>
        <w:tc>
          <w:tcPr>
            <w:tcW w:w="4277" w:type="dxa"/>
            <w:hideMark/>
          </w:tcPr>
          <w:p w14:paraId="5831AE5E"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Intramuscular Ketamine Versus Aripiprazole and Escitalopram in the Treatment of Resistant Depression</w:t>
            </w:r>
          </w:p>
        </w:tc>
        <w:tc>
          <w:tcPr>
            <w:tcW w:w="3755" w:type="dxa"/>
            <w:hideMark/>
          </w:tcPr>
          <w:p w14:paraId="04FB3CEB"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depression not refractory</w:t>
            </w:r>
          </w:p>
        </w:tc>
      </w:tr>
      <w:tr w:rsidR="001C0ED0" w:rsidRPr="0050345F" w14:paraId="02F5E59A"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42FEBC10"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NelsonJC2009</w:t>
            </w:r>
          </w:p>
        </w:tc>
        <w:tc>
          <w:tcPr>
            <w:tcW w:w="4277" w:type="dxa"/>
            <w:hideMark/>
          </w:tcPr>
          <w:p w14:paraId="41817F97"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Safety and Tolerability of Adjunctive Aripiprazole in Major Depressive Disorder: A  Pooled Post Hoc Analysis (studies CN138-139 and CN138-163).</w:t>
            </w:r>
          </w:p>
        </w:tc>
        <w:tc>
          <w:tcPr>
            <w:tcW w:w="3755" w:type="dxa"/>
            <w:hideMark/>
          </w:tcPr>
          <w:p w14:paraId="20088C2A"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1019FAFD"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2E75FD38"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NelsonJC2010a</w:t>
            </w:r>
          </w:p>
        </w:tc>
        <w:tc>
          <w:tcPr>
            <w:tcW w:w="4277" w:type="dxa"/>
            <w:hideMark/>
          </w:tcPr>
          <w:p w14:paraId="7F8010A1"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Adjunctive aripiprazole in major depressive disorder (MDD): efficacy and predictors of remission</w:t>
            </w:r>
          </w:p>
        </w:tc>
        <w:tc>
          <w:tcPr>
            <w:tcW w:w="3755" w:type="dxa"/>
            <w:hideMark/>
          </w:tcPr>
          <w:p w14:paraId="6F0AE5AC"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2D20A9D3"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4FBE66FE"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NelsonJC2010b</w:t>
            </w:r>
          </w:p>
        </w:tc>
        <w:tc>
          <w:tcPr>
            <w:tcW w:w="4277" w:type="dxa"/>
            <w:hideMark/>
          </w:tcPr>
          <w:p w14:paraId="5682091F"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Effects of aripiprazole adjunctive to standard antidepressant treatment on the core  symptoms of depression: a post-hoc, pooled analysis of two large, placebo-controlled studies.</w:t>
            </w:r>
          </w:p>
        </w:tc>
        <w:tc>
          <w:tcPr>
            <w:tcW w:w="3755" w:type="dxa"/>
            <w:hideMark/>
          </w:tcPr>
          <w:p w14:paraId="55A4C4D9"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5E933623" w14:textId="77777777" w:rsidTr="00736A44">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591FDA31"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NelsonJC2012</w:t>
            </w:r>
          </w:p>
        </w:tc>
        <w:tc>
          <w:tcPr>
            <w:tcW w:w="4277" w:type="dxa"/>
            <w:hideMark/>
          </w:tcPr>
          <w:p w14:paraId="36028223"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Efficacy of adjunctive aripiprazole in patients with major depressive disorder who  showed minimal response to initial antidepressant therapy.</w:t>
            </w:r>
          </w:p>
        </w:tc>
        <w:tc>
          <w:tcPr>
            <w:tcW w:w="3755" w:type="dxa"/>
            <w:hideMark/>
          </w:tcPr>
          <w:p w14:paraId="1947479E"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05358221"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5090D054"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NelsonJC2014</w:t>
            </w:r>
          </w:p>
        </w:tc>
        <w:tc>
          <w:tcPr>
            <w:tcW w:w="4277" w:type="dxa"/>
            <w:hideMark/>
          </w:tcPr>
          <w:p w14:paraId="5E950AC5"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Efficacy of adjunctive aripiprazole in patients with major depressive disorder whose  symptoms worsened with antidepressant monotherapy.</w:t>
            </w:r>
          </w:p>
        </w:tc>
        <w:tc>
          <w:tcPr>
            <w:tcW w:w="3755" w:type="dxa"/>
            <w:hideMark/>
          </w:tcPr>
          <w:p w14:paraId="16CB02C2"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003B1659"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70CDE18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OughliH2019</w:t>
            </w:r>
          </w:p>
        </w:tc>
        <w:tc>
          <w:tcPr>
            <w:tcW w:w="4277" w:type="dxa"/>
            <w:hideMark/>
          </w:tcPr>
          <w:p w14:paraId="25532648"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Getting to precision psychopharmacology: Combining clinical and genetic information  to predict fat gain from aripiprazole.</w:t>
            </w:r>
          </w:p>
        </w:tc>
        <w:tc>
          <w:tcPr>
            <w:tcW w:w="3755" w:type="dxa"/>
            <w:hideMark/>
          </w:tcPr>
          <w:p w14:paraId="01F07166"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Lenze2015_IRLGREY_NCT00892047</w:t>
            </w:r>
          </w:p>
        </w:tc>
      </w:tr>
      <w:tr w:rsidR="001C0ED0" w:rsidRPr="0050345F" w14:paraId="6A13E547" w14:textId="77777777" w:rsidTr="00736A44">
        <w:trPr>
          <w:trHeight w:val="1460"/>
        </w:trPr>
        <w:tc>
          <w:tcPr>
            <w:cnfStyle w:val="001000000000" w:firstRow="0" w:lastRow="0" w:firstColumn="1" w:lastColumn="0" w:oddVBand="0" w:evenVBand="0" w:oddHBand="0" w:evenHBand="0" w:firstRowFirstColumn="0" w:firstRowLastColumn="0" w:lastRowFirstColumn="0" w:lastRowLastColumn="0"/>
            <w:tcW w:w="2088" w:type="dxa"/>
            <w:hideMark/>
          </w:tcPr>
          <w:p w14:paraId="75D501F6"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lastRenderedPageBreak/>
              <w:t>OzakiN2015</w:t>
            </w:r>
          </w:p>
        </w:tc>
        <w:tc>
          <w:tcPr>
            <w:tcW w:w="4277" w:type="dxa"/>
            <w:hideMark/>
          </w:tcPr>
          <w:p w14:paraId="07B942F6"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Efficacy of aripiprazole augmentation in Japanese patients with major depressive  disorder: a subgroup analysis and Montgomery-</w:t>
            </w:r>
            <w:r w:rsidRPr="0050345F">
              <w:rPr>
                <w:rFonts w:ascii="Arial" w:eastAsia="Tsukushi A Round Gothic Bold" w:hAnsi="Arial" w:cs="Arial"/>
                <w:color w:val="000000"/>
                <w:sz w:val="20"/>
                <w:szCs w:val="20"/>
              </w:rPr>
              <w:t>ﾃ</w:t>
            </w:r>
            <w:r w:rsidRPr="0050345F">
              <w:rPr>
                <w:rFonts w:ascii="Arial" w:hAnsi="Arial" w:cs="Arial"/>
                <w:color w:val="000000"/>
                <w:sz w:val="20"/>
                <w:szCs w:val="20"/>
              </w:rPr>
              <w:t>sberg Depression Rating Scale and Hamilton Rating Scale for Depression item analyses of the Aripiprazole Depression Multicenter</w:t>
            </w:r>
          </w:p>
        </w:tc>
        <w:tc>
          <w:tcPr>
            <w:tcW w:w="3755" w:type="dxa"/>
            <w:hideMark/>
          </w:tcPr>
          <w:p w14:paraId="694A7FC0"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KamijimaK2013</w:t>
            </w:r>
          </w:p>
        </w:tc>
      </w:tr>
      <w:tr w:rsidR="001C0ED0" w:rsidRPr="0050345F" w14:paraId="710670D1"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184FD0A7"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PaeCU2011</w:t>
            </w:r>
          </w:p>
        </w:tc>
        <w:tc>
          <w:tcPr>
            <w:tcW w:w="4277" w:type="dxa"/>
            <w:hideMark/>
          </w:tcPr>
          <w:p w14:paraId="490453CF"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Aripiprazole as Adjunctive Therapy for Patients with Major Depressive Disorder Overview and Implications of Clinical Trial Data</w:t>
            </w:r>
          </w:p>
        </w:tc>
        <w:tc>
          <w:tcPr>
            <w:tcW w:w="3755" w:type="dxa"/>
            <w:hideMark/>
          </w:tcPr>
          <w:p w14:paraId="46100E6E"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wrong publication type</w:t>
            </w:r>
          </w:p>
        </w:tc>
      </w:tr>
      <w:tr w:rsidR="001C0ED0" w:rsidRPr="0050345F" w14:paraId="3E7093AD"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1F23007B"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PatkarAA2006</w:t>
            </w:r>
          </w:p>
        </w:tc>
        <w:tc>
          <w:tcPr>
            <w:tcW w:w="4277" w:type="dxa"/>
            <w:hideMark/>
          </w:tcPr>
          <w:p w14:paraId="1CD64095"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An open-label, rater-blinded, augmentation study of aripiprazole in  treatment-resistant depression.</w:t>
            </w:r>
          </w:p>
        </w:tc>
        <w:tc>
          <w:tcPr>
            <w:tcW w:w="3755" w:type="dxa"/>
            <w:hideMark/>
          </w:tcPr>
          <w:p w14:paraId="62785C0F"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not randomised</w:t>
            </w:r>
          </w:p>
        </w:tc>
      </w:tr>
      <w:tr w:rsidR="001C0ED0" w:rsidRPr="0050345F" w14:paraId="16B64CD5"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7FDE20B8"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RahmanT2021</w:t>
            </w:r>
          </w:p>
        </w:tc>
        <w:tc>
          <w:tcPr>
            <w:tcW w:w="4277" w:type="dxa"/>
            <w:hideMark/>
          </w:tcPr>
          <w:p w14:paraId="079A40FD"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Prolactin and Estrogen Levels in Postmenopausal Women Receiving Aripiprazole  Augmentation Treatment for Depression.</w:t>
            </w:r>
          </w:p>
        </w:tc>
        <w:tc>
          <w:tcPr>
            <w:tcW w:w="3755" w:type="dxa"/>
            <w:hideMark/>
          </w:tcPr>
          <w:p w14:paraId="43BBCD0D"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Lenze2015_IRLGREY_NCT00892047</w:t>
            </w:r>
          </w:p>
        </w:tc>
      </w:tr>
      <w:tr w:rsidR="001C0ED0" w:rsidRPr="0050345F" w14:paraId="7E11A40D"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6AAE4A70"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ReimherrFW2010</w:t>
            </w:r>
          </w:p>
        </w:tc>
        <w:tc>
          <w:tcPr>
            <w:tcW w:w="4277" w:type="dxa"/>
            <w:hideMark/>
          </w:tcPr>
          <w:p w14:paraId="3B6A9A55"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 pooled MADRS/IDS cross-correlation analysis: clinician and patient self-report  assessment of improvement in core depressive symptoms with adjunctive aripiprazole.</w:t>
            </w:r>
          </w:p>
        </w:tc>
        <w:tc>
          <w:tcPr>
            <w:tcW w:w="3755" w:type="dxa"/>
            <w:hideMark/>
          </w:tcPr>
          <w:p w14:paraId="03AF7B16"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49E78045"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05CF753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RutherfordB2007</w:t>
            </w:r>
          </w:p>
        </w:tc>
        <w:tc>
          <w:tcPr>
            <w:tcW w:w="4277" w:type="dxa"/>
            <w:hideMark/>
          </w:tcPr>
          <w:p w14:paraId="02D1A25F"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An open trial of aripiprazole augmentation for SSRI non-remitters with late-life  depression.</w:t>
            </w:r>
          </w:p>
        </w:tc>
        <w:tc>
          <w:tcPr>
            <w:tcW w:w="3755" w:type="dxa"/>
            <w:hideMark/>
          </w:tcPr>
          <w:p w14:paraId="3F4EB7A1"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not randomised</w:t>
            </w:r>
          </w:p>
        </w:tc>
      </w:tr>
      <w:tr w:rsidR="001C0ED0" w:rsidRPr="0050345F" w14:paraId="073EE667"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5130AD4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SchuelleC2007</w:t>
            </w:r>
          </w:p>
        </w:tc>
        <w:tc>
          <w:tcPr>
            <w:tcW w:w="4277" w:type="dxa"/>
            <w:hideMark/>
          </w:tcPr>
          <w:p w14:paraId="53758C29"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Mirtazapine monotherapy versus combination therapy with mirtazapine and aripiprazole  in depressed patients without psychotic features: a 4-week open-label parallel-group study.</w:t>
            </w:r>
          </w:p>
        </w:tc>
        <w:tc>
          <w:tcPr>
            <w:tcW w:w="3755" w:type="dxa"/>
            <w:hideMark/>
          </w:tcPr>
          <w:p w14:paraId="5F8EE047"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assessors not blind</w:t>
            </w:r>
          </w:p>
        </w:tc>
      </w:tr>
      <w:tr w:rsidR="001C0ED0" w:rsidRPr="0050345F" w14:paraId="1295DC22"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1319B265"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SharmaV2015</w:t>
            </w:r>
          </w:p>
        </w:tc>
        <w:tc>
          <w:tcPr>
            <w:tcW w:w="4277" w:type="dxa"/>
            <w:hideMark/>
          </w:tcPr>
          <w:p w14:paraId="5BDD9046"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Aripiprazole augmentation of antidepressants for postpartum depression: a  preliminary report.</w:t>
            </w:r>
          </w:p>
        </w:tc>
        <w:tc>
          <w:tcPr>
            <w:tcW w:w="3755" w:type="dxa"/>
            <w:hideMark/>
          </w:tcPr>
          <w:p w14:paraId="5DF4C77D"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post-partum depression</w:t>
            </w:r>
          </w:p>
        </w:tc>
      </w:tr>
      <w:tr w:rsidR="001C0ED0" w:rsidRPr="0050345F" w14:paraId="555BDDBA"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1A2AB00A"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SheffrinM2009</w:t>
            </w:r>
          </w:p>
        </w:tc>
        <w:tc>
          <w:tcPr>
            <w:tcW w:w="4277" w:type="dxa"/>
            <w:hideMark/>
          </w:tcPr>
          <w:p w14:paraId="72B01F22"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 xml:space="preserve">Pilot study of augmentation with aripiprazole for incomplete response in </w:t>
            </w:r>
            <w:r w:rsidRPr="0050345F">
              <w:rPr>
                <w:rFonts w:ascii="Arial" w:hAnsi="Arial" w:cs="Arial"/>
                <w:color w:val="000000"/>
                <w:sz w:val="20"/>
                <w:szCs w:val="20"/>
              </w:rPr>
              <w:lastRenderedPageBreak/>
              <w:t>late-life  depression: getting to remission.</w:t>
            </w:r>
          </w:p>
        </w:tc>
        <w:tc>
          <w:tcPr>
            <w:tcW w:w="3755" w:type="dxa"/>
            <w:hideMark/>
          </w:tcPr>
          <w:p w14:paraId="69A761B2"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lastRenderedPageBreak/>
              <w:t>not randomised</w:t>
            </w:r>
          </w:p>
        </w:tc>
      </w:tr>
      <w:tr w:rsidR="001C0ED0" w:rsidRPr="0050345F" w14:paraId="146E452A"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40561045"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SmagulaSF2016</w:t>
            </w:r>
          </w:p>
        </w:tc>
        <w:tc>
          <w:tcPr>
            <w:tcW w:w="4277" w:type="dxa"/>
            <w:hideMark/>
          </w:tcPr>
          <w:p w14:paraId="40BB0FE4"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Combining moderators to identify clinical profiles of patients who will, and will  not, benefit from aripiprazole augmentation for treatment resistant late-life major depressive disorder.</w:t>
            </w:r>
          </w:p>
        </w:tc>
        <w:tc>
          <w:tcPr>
            <w:tcW w:w="3755" w:type="dxa"/>
            <w:hideMark/>
          </w:tcPr>
          <w:p w14:paraId="635D7C16"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Lenze2015_IRLGREY_NCT00892047</w:t>
            </w:r>
          </w:p>
        </w:tc>
      </w:tr>
      <w:tr w:rsidR="001C0ED0" w:rsidRPr="0050345F" w14:paraId="6F90BDCA"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656028A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SokolskiKN2008</w:t>
            </w:r>
          </w:p>
        </w:tc>
        <w:tc>
          <w:tcPr>
            <w:tcW w:w="4277" w:type="dxa"/>
            <w:hideMark/>
          </w:tcPr>
          <w:p w14:paraId="3505A5E7"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Remission of chronic severe selective serotonin-reuptake inhibitor/selective  norepinephrine-reuptake inhibitor refractory depression following adjunctive aripiprazole.</w:t>
            </w:r>
          </w:p>
        </w:tc>
        <w:tc>
          <w:tcPr>
            <w:tcW w:w="3755" w:type="dxa"/>
            <w:hideMark/>
          </w:tcPr>
          <w:p w14:paraId="34BA7113"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not randomised</w:t>
            </w:r>
          </w:p>
        </w:tc>
      </w:tr>
      <w:tr w:rsidR="001C0ED0" w:rsidRPr="0050345F" w14:paraId="6D106B38" w14:textId="77777777" w:rsidTr="00736A44">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1ECDF10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SteffansDC2011</w:t>
            </w:r>
          </w:p>
        </w:tc>
        <w:tc>
          <w:tcPr>
            <w:tcW w:w="4277" w:type="dxa"/>
            <w:hideMark/>
          </w:tcPr>
          <w:p w14:paraId="5DA59DE5"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Efficacy and safety of adjunctive aripiprazole in major depressive disorder in older  patients: a pooled subpopulation analysis.</w:t>
            </w:r>
          </w:p>
        </w:tc>
        <w:tc>
          <w:tcPr>
            <w:tcW w:w="3755" w:type="dxa"/>
            <w:hideMark/>
          </w:tcPr>
          <w:p w14:paraId="35A7450A"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6B7A542C"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29EE3456"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StewartTD2014</w:t>
            </w:r>
          </w:p>
        </w:tc>
        <w:tc>
          <w:tcPr>
            <w:tcW w:w="4277" w:type="dxa"/>
            <w:hideMark/>
          </w:tcPr>
          <w:p w14:paraId="325A9DC9"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Effect of symptom severity on efficacy and safety of aripiprazole adjunctive to  antidepressant monotherapy in major depressive disorder: a pooled analysis.</w:t>
            </w:r>
          </w:p>
        </w:tc>
        <w:tc>
          <w:tcPr>
            <w:tcW w:w="3755" w:type="dxa"/>
            <w:hideMark/>
          </w:tcPr>
          <w:p w14:paraId="5963F9FD"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three trials: NCT00095823 (Berman 2007), NCT00095758 (Marcus 2008) and NCT00105196 (Berman 2009)</w:t>
            </w:r>
          </w:p>
        </w:tc>
      </w:tr>
      <w:tr w:rsidR="001C0ED0" w:rsidRPr="0050345F" w14:paraId="7DE5CC7F"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4EFC0017"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TaylorR2021</w:t>
            </w:r>
          </w:p>
        </w:tc>
        <w:tc>
          <w:tcPr>
            <w:tcW w:w="4277" w:type="dxa"/>
            <w:hideMark/>
          </w:tcPr>
          <w:p w14:paraId="349C3F9C"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Joy Journal: A Behavioral Activation Technique Used in the Treatment of Late-Life  Depression Associated With Hopelessness During the COVID-19 Pandemic.</w:t>
            </w:r>
          </w:p>
        </w:tc>
        <w:tc>
          <w:tcPr>
            <w:tcW w:w="3755" w:type="dxa"/>
            <w:hideMark/>
          </w:tcPr>
          <w:p w14:paraId="6941018F"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not randomised</w:t>
            </w:r>
          </w:p>
        </w:tc>
      </w:tr>
      <w:tr w:rsidR="001C0ED0" w:rsidRPr="0050345F" w14:paraId="755DDF1F"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73E32682"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ThaseME2008</w:t>
            </w:r>
          </w:p>
        </w:tc>
        <w:tc>
          <w:tcPr>
            <w:tcW w:w="4277" w:type="dxa"/>
            <w:hideMark/>
          </w:tcPr>
          <w:p w14:paraId="6C494B86"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Examining the efficacy of adjunctive aripiprazole in major depressive disorder: a  pooled analysis of 2 studies.</w:t>
            </w:r>
          </w:p>
        </w:tc>
        <w:tc>
          <w:tcPr>
            <w:tcW w:w="3755" w:type="dxa"/>
            <w:hideMark/>
          </w:tcPr>
          <w:p w14:paraId="52E34F16"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3AA3865F"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2D45AA30"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TheMedicalLetter2011</w:t>
            </w:r>
          </w:p>
        </w:tc>
        <w:tc>
          <w:tcPr>
            <w:tcW w:w="4277" w:type="dxa"/>
            <w:hideMark/>
          </w:tcPr>
          <w:p w14:paraId="649ECC13"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Adjunctive antipsychotics for major depression.</w:t>
            </w:r>
          </w:p>
        </w:tc>
        <w:tc>
          <w:tcPr>
            <w:tcW w:w="3755" w:type="dxa"/>
            <w:hideMark/>
          </w:tcPr>
          <w:p w14:paraId="3B07F089"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wrong publication type</w:t>
            </w:r>
          </w:p>
        </w:tc>
      </w:tr>
      <w:tr w:rsidR="001C0ED0" w:rsidRPr="0050345F" w14:paraId="0EB5C1B6"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2E66B2BE"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TrivediMH2008</w:t>
            </w:r>
          </w:p>
        </w:tc>
        <w:tc>
          <w:tcPr>
            <w:tcW w:w="4277" w:type="dxa"/>
            <w:hideMark/>
          </w:tcPr>
          <w:p w14:paraId="34E400C2"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Adjunctive aripiprazole in major depressive disorder: analysis of efficacy and  safety in patients with anxious and atypical features.</w:t>
            </w:r>
          </w:p>
        </w:tc>
        <w:tc>
          <w:tcPr>
            <w:tcW w:w="3755" w:type="dxa"/>
            <w:hideMark/>
          </w:tcPr>
          <w:p w14:paraId="29FDF53C"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0E9531BC"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6DD51E75"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lastRenderedPageBreak/>
              <w:t>TrivediMH2009</w:t>
            </w:r>
          </w:p>
        </w:tc>
        <w:tc>
          <w:tcPr>
            <w:tcW w:w="4277" w:type="dxa"/>
            <w:hideMark/>
          </w:tcPr>
          <w:p w14:paraId="23FE6950"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Remission, response without remission, and nonresponse in major depressive disorder:  impact on functioning.</w:t>
            </w:r>
          </w:p>
        </w:tc>
        <w:tc>
          <w:tcPr>
            <w:tcW w:w="3755" w:type="dxa"/>
            <w:hideMark/>
          </w:tcPr>
          <w:p w14:paraId="721AF0CF"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5AD0C01C"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0CA1A895"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UMIN000011483</w:t>
            </w:r>
          </w:p>
        </w:tc>
        <w:tc>
          <w:tcPr>
            <w:tcW w:w="4277" w:type="dxa"/>
            <w:hideMark/>
          </w:tcPr>
          <w:p w14:paraId="30CD00D8"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Aripiprazole versus duloxetine in combination with mirtazapine for treatment-resistant,major deressive disorder: a rater-masked,randomized trial.</w:t>
            </w:r>
          </w:p>
        </w:tc>
        <w:tc>
          <w:tcPr>
            <w:tcW w:w="3755" w:type="dxa"/>
            <w:hideMark/>
          </w:tcPr>
          <w:p w14:paraId="43A63875"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75169FF4"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1566E9AF"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UMIN000013923</w:t>
            </w:r>
          </w:p>
        </w:tc>
        <w:tc>
          <w:tcPr>
            <w:tcW w:w="4277" w:type="dxa"/>
            <w:hideMark/>
          </w:tcPr>
          <w:p w14:paraId="281FAD8D"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Randomized Clinical Trial to Verify a Cost-effectiveness of the Standard Pharmacotherapy for Major Depressive Disorder</w:t>
            </w:r>
          </w:p>
        </w:tc>
        <w:tc>
          <w:tcPr>
            <w:tcW w:w="3755" w:type="dxa"/>
            <w:hideMark/>
          </w:tcPr>
          <w:p w14:paraId="6251BEEE"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5B59CBEA" w14:textId="77777777" w:rsidTr="00736A44">
        <w:trPr>
          <w:trHeight w:val="1120"/>
        </w:trPr>
        <w:tc>
          <w:tcPr>
            <w:cnfStyle w:val="001000000000" w:firstRow="0" w:lastRow="0" w:firstColumn="1" w:lastColumn="0" w:oddVBand="0" w:evenVBand="0" w:oddHBand="0" w:evenHBand="0" w:firstRowFirstColumn="0" w:firstRowLastColumn="0" w:lastRowFirstColumn="0" w:lastRowLastColumn="0"/>
            <w:tcW w:w="2088" w:type="dxa"/>
            <w:hideMark/>
          </w:tcPr>
          <w:p w14:paraId="00033846"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UMIN000016096</w:t>
            </w:r>
          </w:p>
        </w:tc>
        <w:tc>
          <w:tcPr>
            <w:tcW w:w="4277" w:type="dxa"/>
            <w:hideMark/>
          </w:tcPr>
          <w:p w14:paraId="169286CF"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The randomized controlled trial about searching for the predictive factor for the response of second-line medication (switching or augmentation) after the first-line medication failure to major depressive disorder patients.</w:t>
            </w:r>
          </w:p>
        </w:tc>
        <w:tc>
          <w:tcPr>
            <w:tcW w:w="3755" w:type="dxa"/>
            <w:hideMark/>
          </w:tcPr>
          <w:p w14:paraId="0E4A8194"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77B04F19" w14:textId="77777777" w:rsidTr="00736A4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1EF0BA98"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UMIN000020735</w:t>
            </w:r>
          </w:p>
        </w:tc>
        <w:tc>
          <w:tcPr>
            <w:tcW w:w="4277" w:type="dxa"/>
            <w:hideMark/>
          </w:tcPr>
          <w:p w14:paraId="14332EA4"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Randomized controlled trial to apply personalized medicine to treatment-resistant depression with mixed feature.</w:t>
            </w:r>
          </w:p>
        </w:tc>
        <w:tc>
          <w:tcPr>
            <w:tcW w:w="3755" w:type="dxa"/>
            <w:hideMark/>
          </w:tcPr>
          <w:p w14:paraId="0A90FFC1"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comparator not eligible</w:t>
            </w:r>
          </w:p>
        </w:tc>
      </w:tr>
      <w:tr w:rsidR="001C0ED0" w:rsidRPr="0050345F" w14:paraId="4998557D" w14:textId="77777777" w:rsidTr="00736A44">
        <w:trPr>
          <w:trHeight w:val="560"/>
        </w:trPr>
        <w:tc>
          <w:tcPr>
            <w:cnfStyle w:val="001000000000" w:firstRow="0" w:lastRow="0" w:firstColumn="1" w:lastColumn="0" w:oddVBand="0" w:evenVBand="0" w:oddHBand="0" w:evenHBand="0" w:firstRowFirstColumn="0" w:firstRowLastColumn="0" w:lastRowFirstColumn="0" w:lastRowLastColumn="0"/>
            <w:tcW w:w="2088" w:type="dxa"/>
            <w:hideMark/>
          </w:tcPr>
          <w:p w14:paraId="41D776EE"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WeberJ2008</w:t>
            </w:r>
          </w:p>
        </w:tc>
        <w:tc>
          <w:tcPr>
            <w:tcW w:w="4277" w:type="dxa"/>
            <w:hideMark/>
          </w:tcPr>
          <w:p w14:paraId="01FA6441"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Aripiprazole: in major depressive disorder.</w:t>
            </w:r>
          </w:p>
        </w:tc>
        <w:tc>
          <w:tcPr>
            <w:tcW w:w="3755" w:type="dxa"/>
            <w:hideMark/>
          </w:tcPr>
          <w:p w14:paraId="7DE4B247"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ED0" w:rsidRPr="0050345F" w14:paraId="2FC5E408"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74148B60"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WeislerRH2011</w:t>
            </w:r>
          </w:p>
        </w:tc>
        <w:tc>
          <w:tcPr>
            <w:tcW w:w="4277" w:type="dxa"/>
            <w:hideMark/>
          </w:tcPr>
          <w:p w14:paraId="5333E273"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Analysis of suicidality in pooled data from 2 double-blind, placebo-controlled  aripiprazole adjunctive therapy trials in major depressive disorder.</w:t>
            </w:r>
          </w:p>
        </w:tc>
        <w:tc>
          <w:tcPr>
            <w:tcW w:w="3755" w:type="dxa"/>
            <w:hideMark/>
          </w:tcPr>
          <w:p w14:paraId="08834A4B"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3F601CF9" w14:textId="77777777" w:rsidTr="00736A44">
        <w:trPr>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55C9D701"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WisnewskiSR2009</w:t>
            </w:r>
          </w:p>
        </w:tc>
        <w:tc>
          <w:tcPr>
            <w:tcW w:w="4277" w:type="dxa"/>
            <w:hideMark/>
          </w:tcPr>
          <w:p w14:paraId="3B4A21DF"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Global benefit-risk analysis of adjunctive aripiprazole in the treatment of patients  with major depressive disorder.</w:t>
            </w:r>
          </w:p>
        </w:tc>
        <w:tc>
          <w:tcPr>
            <w:tcW w:w="3755" w:type="dxa"/>
            <w:hideMark/>
          </w:tcPr>
          <w:p w14:paraId="2602400E" w14:textId="77777777" w:rsidR="001C0ED0" w:rsidRPr="0050345F" w:rsidRDefault="001C0ED0" w:rsidP="001C0ED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pooled analysis of two trials: NCT00095823 (Berman 2007) and NCT00095758 (Marcus 2008)</w:t>
            </w:r>
          </w:p>
        </w:tc>
      </w:tr>
      <w:tr w:rsidR="001C0ED0" w:rsidRPr="0050345F" w14:paraId="0864BE13" w14:textId="77777777" w:rsidTr="00736A4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88" w:type="dxa"/>
            <w:hideMark/>
          </w:tcPr>
          <w:p w14:paraId="654445A9" w14:textId="77777777" w:rsidR="001C0ED0" w:rsidRPr="0050345F" w:rsidRDefault="001C0ED0" w:rsidP="001C0ED0">
            <w:pPr>
              <w:rPr>
                <w:rFonts w:ascii="Arial" w:hAnsi="Arial" w:cs="Arial"/>
                <w:color w:val="000000"/>
                <w:sz w:val="20"/>
                <w:szCs w:val="20"/>
              </w:rPr>
            </w:pPr>
            <w:r w:rsidRPr="0050345F">
              <w:rPr>
                <w:rFonts w:ascii="Arial" w:hAnsi="Arial" w:cs="Arial"/>
                <w:color w:val="000000"/>
                <w:sz w:val="20"/>
                <w:szCs w:val="20"/>
              </w:rPr>
              <w:t>ZisookS2020</w:t>
            </w:r>
          </w:p>
        </w:tc>
        <w:tc>
          <w:tcPr>
            <w:tcW w:w="4277" w:type="dxa"/>
            <w:hideMark/>
          </w:tcPr>
          <w:p w14:paraId="07314FFF" w14:textId="4E786960"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Continuation phase treatment outcomes for switching, combining, or augmenting strategies for treatment-resistant major depressive disorder: A VAST-D report.</w:t>
            </w:r>
          </w:p>
        </w:tc>
        <w:tc>
          <w:tcPr>
            <w:tcW w:w="3755" w:type="dxa"/>
            <w:hideMark/>
          </w:tcPr>
          <w:p w14:paraId="09D696D2" w14:textId="77777777" w:rsidR="001C0ED0" w:rsidRPr="0050345F" w:rsidRDefault="001C0ED0" w:rsidP="001C0ED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0345F">
              <w:rPr>
                <w:rFonts w:ascii="Arial" w:hAnsi="Arial" w:cs="Arial"/>
                <w:color w:val="000000"/>
                <w:sz w:val="20"/>
                <w:szCs w:val="20"/>
              </w:rPr>
              <w:t>related to MohamedS2017</w:t>
            </w:r>
          </w:p>
        </w:tc>
      </w:tr>
    </w:tbl>
    <w:p w14:paraId="41F84B79" w14:textId="77F9A422" w:rsidR="001C0ED0" w:rsidRPr="0050345F" w:rsidRDefault="001C0ED0" w:rsidP="001C0ED0">
      <w:pPr>
        <w:rPr>
          <w:rFonts w:ascii="Arial" w:hAnsi="Arial" w:cs="Arial"/>
        </w:rPr>
        <w:sectPr w:rsidR="001C0ED0" w:rsidRPr="0050345F" w:rsidSect="00A150F8">
          <w:pgSz w:w="11900" w:h="16840"/>
          <w:pgMar w:top="1440" w:right="1080" w:bottom="1440" w:left="1080" w:header="851" w:footer="992" w:gutter="0"/>
          <w:cols w:space="425"/>
          <w:docGrid w:type="lines" w:linePitch="360"/>
        </w:sectPr>
      </w:pPr>
    </w:p>
    <w:p w14:paraId="7778AC6E" w14:textId="36768D72" w:rsidR="00736A44" w:rsidRPr="0050345F" w:rsidRDefault="00736A44" w:rsidP="006A604F">
      <w:pPr>
        <w:rPr>
          <w:rFonts w:ascii="Arial" w:hAnsi="Arial" w:cs="Arial"/>
          <w:b/>
        </w:rPr>
      </w:pPr>
    </w:p>
    <w:sectPr w:rsidR="00736A44" w:rsidRPr="0050345F" w:rsidSect="0047474F">
      <w:type w:val="continuous"/>
      <w:pgSz w:w="11900" w:h="16840"/>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22496" w14:textId="77777777" w:rsidR="00472266" w:rsidRDefault="00472266" w:rsidP="001C0ED0">
      <w:r>
        <w:separator/>
      </w:r>
    </w:p>
  </w:endnote>
  <w:endnote w:type="continuationSeparator" w:id="0">
    <w:p w14:paraId="1EBBB5CB" w14:textId="77777777" w:rsidR="00472266" w:rsidRDefault="00472266" w:rsidP="001C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sukushi A Round Gothic Bold">
    <w:altName w:val="Tsukushi A Round Gothic"/>
    <w:panose1 w:val="02020700000000000000"/>
    <w:charset w:val="80"/>
    <w:family w:val="roman"/>
    <w:pitch w:val="variable"/>
    <w:sig w:usb0="00000003" w:usb1="0AC71C10"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5"/>
      </w:rPr>
      <w:id w:val="-428744781"/>
      <w:docPartObj>
        <w:docPartGallery w:val="Page Numbers (Bottom of Page)"/>
        <w:docPartUnique/>
      </w:docPartObj>
    </w:sdtPr>
    <w:sdtEndPr>
      <w:rPr>
        <w:rStyle w:val="af5"/>
      </w:rPr>
    </w:sdtEndPr>
    <w:sdtContent>
      <w:p w14:paraId="36AED1FF" w14:textId="7DA9B95D" w:rsidR="001B0BCE" w:rsidRDefault="001B0BCE" w:rsidP="002B6B45">
        <w:pPr>
          <w:pStyle w:val="af3"/>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14:paraId="67B86979" w14:textId="77777777" w:rsidR="001B0BCE" w:rsidRDefault="001B0BCE">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5"/>
      </w:rPr>
      <w:id w:val="1694654747"/>
      <w:docPartObj>
        <w:docPartGallery w:val="Page Numbers (Bottom of Page)"/>
        <w:docPartUnique/>
      </w:docPartObj>
    </w:sdtPr>
    <w:sdtEndPr>
      <w:rPr>
        <w:rStyle w:val="af5"/>
      </w:rPr>
    </w:sdtEndPr>
    <w:sdtContent>
      <w:p w14:paraId="1FD1144D" w14:textId="6A947F98" w:rsidR="001B0BCE" w:rsidRDefault="001B0BCE" w:rsidP="002B6B45">
        <w:pPr>
          <w:pStyle w:val="af3"/>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1</w:t>
        </w:r>
        <w:r>
          <w:rPr>
            <w:rStyle w:val="af5"/>
          </w:rPr>
          <w:fldChar w:fldCharType="end"/>
        </w:r>
      </w:p>
    </w:sdtContent>
  </w:sdt>
  <w:p w14:paraId="7BD59A14" w14:textId="77777777" w:rsidR="001B0BCE" w:rsidRDefault="001B0BC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7DA4E" w14:textId="77777777" w:rsidR="00472266" w:rsidRDefault="00472266" w:rsidP="001C0ED0">
      <w:r>
        <w:separator/>
      </w:r>
    </w:p>
  </w:footnote>
  <w:footnote w:type="continuationSeparator" w:id="0">
    <w:p w14:paraId="6F91ECC2" w14:textId="77777777" w:rsidR="00472266" w:rsidRDefault="00472266" w:rsidP="001C0E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0729C"/>
    <w:multiLevelType w:val="multilevel"/>
    <w:tmpl w:val="5786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63AC4"/>
    <w:multiLevelType w:val="hybridMultilevel"/>
    <w:tmpl w:val="B9964F90"/>
    <w:lvl w:ilvl="0" w:tplc="97122C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E6F9F"/>
    <w:multiLevelType w:val="multilevel"/>
    <w:tmpl w:val="E2986416"/>
    <w:lvl w:ilvl="0">
      <w:start w:val="1"/>
      <w:numFmt w:val="decimal"/>
      <w:lvlText w:val="%1."/>
      <w:lvlJc w:val="left"/>
      <w:pPr>
        <w:ind w:left="36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320" w:hanging="1440"/>
      </w:pPr>
      <w:rPr>
        <w:rFonts w:hint="default"/>
      </w:rPr>
    </w:lvl>
    <w:lvl w:ilvl="8">
      <w:start w:val="1"/>
      <w:numFmt w:val="decimal"/>
      <w:isLgl/>
      <w:lvlText w:val="%1.%2.%3.%4.%5.%6.%7.%8.%9"/>
      <w:lvlJc w:val="left"/>
      <w:pPr>
        <w:ind w:left="8520" w:hanging="1800"/>
      </w:pPr>
      <w:rPr>
        <w:rFonts w:hint="default"/>
      </w:rPr>
    </w:lvl>
  </w:abstractNum>
  <w:abstractNum w:abstractNumId="3" w15:restartNumberingAfterBreak="0">
    <w:nsid w:val="4C3601C5"/>
    <w:multiLevelType w:val="hybridMultilevel"/>
    <w:tmpl w:val="046AAE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3940378"/>
    <w:multiLevelType w:val="multilevel"/>
    <w:tmpl w:val="A3545856"/>
    <w:lvl w:ilvl="0">
      <w:start w:val="1"/>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5" w15:restartNumberingAfterBreak="0">
    <w:nsid w:val="71C14D46"/>
    <w:multiLevelType w:val="multilevel"/>
    <w:tmpl w:val="8DFEF4A2"/>
    <w:lvl w:ilvl="0">
      <w:start w:val="1"/>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6" w15:restartNumberingAfterBreak="0">
    <w:nsid w:val="74FD6848"/>
    <w:multiLevelType w:val="multilevel"/>
    <w:tmpl w:val="52A4AC82"/>
    <w:lvl w:ilvl="0">
      <w:start w:val="2"/>
      <w:numFmt w:val="decimal"/>
      <w:lvlText w:val="%1"/>
      <w:lvlJc w:val="left"/>
      <w:pPr>
        <w:ind w:left="36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320" w:hanging="1440"/>
      </w:pPr>
      <w:rPr>
        <w:rFonts w:hint="default"/>
      </w:rPr>
    </w:lvl>
    <w:lvl w:ilvl="8">
      <w:start w:val="1"/>
      <w:numFmt w:val="decimal"/>
      <w:isLgl/>
      <w:lvlText w:val="%1.%2.%3.%4.%5.%6.%7.%8.%9"/>
      <w:lvlJc w:val="left"/>
      <w:pPr>
        <w:ind w:left="8520" w:hanging="1800"/>
      </w:pPr>
      <w:rPr>
        <w:rFonts w:hint="default"/>
      </w:rPr>
    </w:lvl>
  </w:abstractNum>
  <w:num w:numId="1">
    <w:abstractNumId w:val="0"/>
  </w:num>
  <w:num w:numId="2">
    <w:abstractNumId w:val="2"/>
  </w:num>
  <w:num w:numId="3">
    <w:abstractNumId w:val="4"/>
  </w:num>
  <w:num w:numId="4">
    <w:abstractNumId w:val="6"/>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4D2"/>
    <w:rsid w:val="00004B04"/>
    <w:rsid w:val="0000586C"/>
    <w:rsid w:val="000058B1"/>
    <w:rsid w:val="00007810"/>
    <w:rsid w:val="00011CA0"/>
    <w:rsid w:val="00015EED"/>
    <w:rsid w:val="000162B0"/>
    <w:rsid w:val="00032A4A"/>
    <w:rsid w:val="00032D09"/>
    <w:rsid w:val="00047122"/>
    <w:rsid w:val="00052900"/>
    <w:rsid w:val="000622B8"/>
    <w:rsid w:val="0006266B"/>
    <w:rsid w:val="00070444"/>
    <w:rsid w:val="000725CA"/>
    <w:rsid w:val="000859BE"/>
    <w:rsid w:val="00091FF8"/>
    <w:rsid w:val="000A337A"/>
    <w:rsid w:val="000A44C7"/>
    <w:rsid w:val="000A48EE"/>
    <w:rsid w:val="000B4A18"/>
    <w:rsid w:val="000D4D1C"/>
    <w:rsid w:val="000D7BF2"/>
    <w:rsid w:val="000F56E5"/>
    <w:rsid w:val="000F57DC"/>
    <w:rsid w:val="000F5B5C"/>
    <w:rsid w:val="001034F8"/>
    <w:rsid w:val="00110FDE"/>
    <w:rsid w:val="00117E11"/>
    <w:rsid w:val="00121DC1"/>
    <w:rsid w:val="00121DEA"/>
    <w:rsid w:val="001277A8"/>
    <w:rsid w:val="00132B37"/>
    <w:rsid w:val="00140393"/>
    <w:rsid w:val="00141B00"/>
    <w:rsid w:val="00150ED4"/>
    <w:rsid w:val="00156106"/>
    <w:rsid w:val="00160E50"/>
    <w:rsid w:val="00165E08"/>
    <w:rsid w:val="0017236B"/>
    <w:rsid w:val="001772E6"/>
    <w:rsid w:val="001817F2"/>
    <w:rsid w:val="00182DE7"/>
    <w:rsid w:val="001864CD"/>
    <w:rsid w:val="00190020"/>
    <w:rsid w:val="00196730"/>
    <w:rsid w:val="001A2544"/>
    <w:rsid w:val="001A5C6A"/>
    <w:rsid w:val="001B0BCE"/>
    <w:rsid w:val="001B19F7"/>
    <w:rsid w:val="001B6454"/>
    <w:rsid w:val="001C0ED0"/>
    <w:rsid w:val="001C1013"/>
    <w:rsid w:val="001C27C2"/>
    <w:rsid w:val="001C3E5B"/>
    <w:rsid w:val="001C7D73"/>
    <w:rsid w:val="001D048A"/>
    <w:rsid w:val="001D1CF4"/>
    <w:rsid w:val="001D373C"/>
    <w:rsid w:val="001E3DF3"/>
    <w:rsid w:val="001F720B"/>
    <w:rsid w:val="00201828"/>
    <w:rsid w:val="00224AAD"/>
    <w:rsid w:val="00226D21"/>
    <w:rsid w:val="00227A7F"/>
    <w:rsid w:val="00240CB7"/>
    <w:rsid w:val="00252AE1"/>
    <w:rsid w:val="0026773C"/>
    <w:rsid w:val="002737AD"/>
    <w:rsid w:val="00281072"/>
    <w:rsid w:val="00282168"/>
    <w:rsid w:val="00284CA2"/>
    <w:rsid w:val="00286A32"/>
    <w:rsid w:val="00294B8D"/>
    <w:rsid w:val="002B542A"/>
    <w:rsid w:val="002B6B45"/>
    <w:rsid w:val="002C4516"/>
    <w:rsid w:val="002C5AC2"/>
    <w:rsid w:val="002C6EE1"/>
    <w:rsid w:val="002D40C2"/>
    <w:rsid w:val="002F7A32"/>
    <w:rsid w:val="00302F85"/>
    <w:rsid w:val="003053BD"/>
    <w:rsid w:val="00307AE9"/>
    <w:rsid w:val="00313A6F"/>
    <w:rsid w:val="003177C4"/>
    <w:rsid w:val="003201D1"/>
    <w:rsid w:val="00320373"/>
    <w:rsid w:val="003246FC"/>
    <w:rsid w:val="00326918"/>
    <w:rsid w:val="00337BAC"/>
    <w:rsid w:val="003409BB"/>
    <w:rsid w:val="00342AC7"/>
    <w:rsid w:val="00353BBB"/>
    <w:rsid w:val="00357B09"/>
    <w:rsid w:val="003612F3"/>
    <w:rsid w:val="003620D3"/>
    <w:rsid w:val="00392679"/>
    <w:rsid w:val="00392C62"/>
    <w:rsid w:val="00394ABA"/>
    <w:rsid w:val="0039514A"/>
    <w:rsid w:val="0039705C"/>
    <w:rsid w:val="003C1250"/>
    <w:rsid w:val="003C5C4B"/>
    <w:rsid w:val="003D09E8"/>
    <w:rsid w:val="003E1DDF"/>
    <w:rsid w:val="003E49D7"/>
    <w:rsid w:val="003F25FD"/>
    <w:rsid w:val="003F4EF5"/>
    <w:rsid w:val="003F50EF"/>
    <w:rsid w:val="004005CA"/>
    <w:rsid w:val="004066C4"/>
    <w:rsid w:val="00410EB8"/>
    <w:rsid w:val="00421057"/>
    <w:rsid w:val="00421309"/>
    <w:rsid w:val="004231D3"/>
    <w:rsid w:val="004239DC"/>
    <w:rsid w:val="004362E8"/>
    <w:rsid w:val="004422EA"/>
    <w:rsid w:val="00461A60"/>
    <w:rsid w:val="00472266"/>
    <w:rsid w:val="0047474F"/>
    <w:rsid w:val="0048037A"/>
    <w:rsid w:val="00481725"/>
    <w:rsid w:val="00486602"/>
    <w:rsid w:val="0049464A"/>
    <w:rsid w:val="004A67A6"/>
    <w:rsid w:val="004B1268"/>
    <w:rsid w:val="004B17CC"/>
    <w:rsid w:val="004C1976"/>
    <w:rsid w:val="004C3ED9"/>
    <w:rsid w:val="004D00E8"/>
    <w:rsid w:val="004D2022"/>
    <w:rsid w:val="004D2F01"/>
    <w:rsid w:val="004D54D2"/>
    <w:rsid w:val="004E1711"/>
    <w:rsid w:val="004E2B60"/>
    <w:rsid w:val="004E563A"/>
    <w:rsid w:val="004F5B41"/>
    <w:rsid w:val="004F757C"/>
    <w:rsid w:val="005025CE"/>
    <w:rsid w:val="0050345F"/>
    <w:rsid w:val="005051F1"/>
    <w:rsid w:val="005065EA"/>
    <w:rsid w:val="00517D5F"/>
    <w:rsid w:val="005230BC"/>
    <w:rsid w:val="00524AEF"/>
    <w:rsid w:val="00526D1D"/>
    <w:rsid w:val="005343B0"/>
    <w:rsid w:val="00546ECF"/>
    <w:rsid w:val="00552EAB"/>
    <w:rsid w:val="005531B3"/>
    <w:rsid w:val="00557DEA"/>
    <w:rsid w:val="00562C50"/>
    <w:rsid w:val="00565928"/>
    <w:rsid w:val="00576227"/>
    <w:rsid w:val="005834AE"/>
    <w:rsid w:val="00591F5E"/>
    <w:rsid w:val="00595107"/>
    <w:rsid w:val="005954B4"/>
    <w:rsid w:val="005A59F4"/>
    <w:rsid w:val="005A669D"/>
    <w:rsid w:val="005B5022"/>
    <w:rsid w:val="005B7D39"/>
    <w:rsid w:val="005C1FD8"/>
    <w:rsid w:val="005D093F"/>
    <w:rsid w:val="005D23AC"/>
    <w:rsid w:val="005D3C8A"/>
    <w:rsid w:val="005F230E"/>
    <w:rsid w:val="00605D1E"/>
    <w:rsid w:val="00632B72"/>
    <w:rsid w:val="0063567E"/>
    <w:rsid w:val="006413BF"/>
    <w:rsid w:val="006477E7"/>
    <w:rsid w:val="00650286"/>
    <w:rsid w:val="00650E7E"/>
    <w:rsid w:val="00655568"/>
    <w:rsid w:val="00667547"/>
    <w:rsid w:val="00670D0F"/>
    <w:rsid w:val="00672715"/>
    <w:rsid w:val="0067272E"/>
    <w:rsid w:val="00680E3D"/>
    <w:rsid w:val="00684EAE"/>
    <w:rsid w:val="0068720F"/>
    <w:rsid w:val="00693153"/>
    <w:rsid w:val="0069667F"/>
    <w:rsid w:val="00696F24"/>
    <w:rsid w:val="00697C7C"/>
    <w:rsid w:val="006A3900"/>
    <w:rsid w:val="006A604F"/>
    <w:rsid w:val="006C0183"/>
    <w:rsid w:val="006C7D62"/>
    <w:rsid w:val="006D047B"/>
    <w:rsid w:val="006D07C8"/>
    <w:rsid w:val="006D47C4"/>
    <w:rsid w:val="006D7202"/>
    <w:rsid w:val="006E1C93"/>
    <w:rsid w:val="006E4310"/>
    <w:rsid w:val="006E75E1"/>
    <w:rsid w:val="006E7E1E"/>
    <w:rsid w:val="00700C33"/>
    <w:rsid w:val="0071041E"/>
    <w:rsid w:val="00720DC8"/>
    <w:rsid w:val="00725764"/>
    <w:rsid w:val="0072662A"/>
    <w:rsid w:val="007278AD"/>
    <w:rsid w:val="007308A8"/>
    <w:rsid w:val="00736A44"/>
    <w:rsid w:val="00737F4F"/>
    <w:rsid w:val="00741F36"/>
    <w:rsid w:val="00747813"/>
    <w:rsid w:val="0075367B"/>
    <w:rsid w:val="007611D5"/>
    <w:rsid w:val="00761B4C"/>
    <w:rsid w:val="007826CF"/>
    <w:rsid w:val="00783A05"/>
    <w:rsid w:val="00783E45"/>
    <w:rsid w:val="00791172"/>
    <w:rsid w:val="007D62E4"/>
    <w:rsid w:val="007E0F07"/>
    <w:rsid w:val="007E1BFF"/>
    <w:rsid w:val="007E205F"/>
    <w:rsid w:val="007E355C"/>
    <w:rsid w:val="007E39B7"/>
    <w:rsid w:val="007F1E30"/>
    <w:rsid w:val="007F412B"/>
    <w:rsid w:val="00800315"/>
    <w:rsid w:val="00811160"/>
    <w:rsid w:val="00811589"/>
    <w:rsid w:val="0082071A"/>
    <w:rsid w:val="008214EE"/>
    <w:rsid w:val="00823C2C"/>
    <w:rsid w:val="00824060"/>
    <w:rsid w:val="00830B60"/>
    <w:rsid w:val="008407B4"/>
    <w:rsid w:val="0085767B"/>
    <w:rsid w:val="0087303E"/>
    <w:rsid w:val="00880E31"/>
    <w:rsid w:val="00882CCD"/>
    <w:rsid w:val="008911AA"/>
    <w:rsid w:val="00892C1F"/>
    <w:rsid w:val="008A03C9"/>
    <w:rsid w:val="008A23E1"/>
    <w:rsid w:val="008A4FDE"/>
    <w:rsid w:val="008A6993"/>
    <w:rsid w:val="008B1D0F"/>
    <w:rsid w:val="008B1DB0"/>
    <w:rsid w:val="008B3E48"/>
    <w:rsid w:val="008C0056"/>
    <w:rsid w:val="008D1813"/>
    <w:rsid w:val="008D4C59"/>
    <w:rsid w:val="008E3E10"/>
    <w:rsid w:val="008E6153"/>
    <w:rsid w:val="009115EC"/>
    <w:rsid w:val="009137BD"/>
    <w:rsid w:val="009162C6"/>
    <w:rsid w:val="00916827"/>
    <w:rsid w:val="00916A0C"/>
    <w:rsid w:val="009174F0"/>
    <w:rsid w:val="00925CE5"/>
    <w:rsid w:val="00940926"/>
    <w:rsid w:val="00944633"/>
    <w:rsid w:val="009545F9"/>
    <w:rsid w:val="009559D2"/>
    <w:rsid w:val="00964DBC"/>
    <w:rsid w:val="00971443"/>
    <w:rsid w:val="009802F9"/>
    <w:rsid w:val="009825CE"/>
    <w:rsid w:val="00983469"/>
    <w:rsid w:val="00990E27"/>
    <w:rsid w:val="00997F02"/>
    <w:rsid w:val="009A0D41"/>
    <w:rsid w:val="009A66A1"/>
    <w:rsid w:val="009B0026"/>
    <w:rsid w:val="009C1B73"/>
    <w:rsid w:val="009C5715"/>
    <w:rsid w:val="009C6126"/>
    <w:rsid w:val="009C6F27"/>
    <w:rsid w:val="009D7655"/>
    <w:rsid w:val="009E6BB3"/>
    <w:rsid w:val="009E7140"/>
    <w:rsid w:val="00A02608"/>
    <w:rsid w:val="00A05B17"/>
    <w:rsid w:val="00A05F8A"/>
    <w:rsid w:val="00A0618A"/>
    <w:rsid w:val="00A150F8"/>
    <w:rsid w:val="00A162AA"/>
    <w:rsid w:val="00A247A9"/>
    <w:rsid w:val="00A31681"/>
    <w:rsid w:val="00A364E8"/>
    <w:rsid w:val="00A36F1F"/>
    <w:rsid w:val="00A55E73"/>
    <w:rsid w:val="00A56176"/>
    <w:rsid w:val="00A779C9"/>
    <w:rsid w:val="00A82806"/>
    <w:rsid w:val="00A860F4"/>
    <w:rsid w:val="00A86BB8"/>
    <w:rsid w:val="00A876AC"/>
    <w:rsid w:val="00A91D58"/>
    <w:rsid w:val="00A946CF"/>
    <w:rsid w:val="00AA2B08"/>
    <w:rsid w:val="00AB4242"/>
    <w:rsid w:val="00AB56EA"/>
    <w:rsid w:val="00AC29E3"/>
    <w:rsid w:val="00AD6F6C"/>
    <w:rsid w:val="00AE7355"/>
    <w:rsid w:val="00AF0206"/>
    <w:rsid w:val="00AF5A7C"/>
    <w:rsid w:val="00B00BF6"/>
    <w:rsid w:val="00B03C08"/>
    <w:rsid w:val="00B10493"/>
    <w:rsid w:val="00B13885"/>
    <w:rsid w:val="00B15A5E"/>
    <w:rsid w:val="00B169FF"/>
    <w:rsid w:val="00B172C9"/>
    <w:rsid w:val="00B20F56"/>
    <w:rsid w:val="00B274AE"/>
    <w:rsid w:val="00B33FC0"/>
    <w:rsid w:val="00B443AF"/>
    <w:rsid w:val="00B51639"/>
    <w:rsid w:val="00B635C1"/>
    <w:rsid w:val="00B70D2B"/>
    <w:rsid w:val="00B778F4"/>
    <w:rsid w:val="00BA0479"/>
    <w:rsid w:val="00BA5129"/>
    <w:rsid w:val="00BA71B0"/>
    <w:rsid w:val="00BB0988"/>
    <w:rsid w:val="00BD1A78"/>
    <w:rsid w:val="00BE201E"/>
    <w:rsid w:val="00BF1A7C"/>
    <w:rsid w:val="00C0023F"/>
    <w:rsid w:val="00C02733"/>
    <w:rsid w:val="00C10E31"/>
    <w:rsid w:val="00C2230B"/>
    <w:rsid w:val="00C22F32"/>
    <w:rsid w:val="00C303EA"/>
    <w:rsid w:val="00C315E8"/>
    <w:rsid w:val="00C3380E"/>
    <w:rsid w:val="00C36019"/>
    <w:rsid w:val="00C36334"/>
    <w:rsid w:val="00C52348"/>
    <w:rsid w:val="00C53182"/>
    <w:rsid w:val="00C57B4C"/>
    <w:rsid w:val="00C61F2F"/>
    <w:rsid w:val="00C80A12"/>
    <w:rsid w:val="00C81FF6"/>
    <w:rsid w:val="00C907E4"/>
    <w:rsid w:val="00C93CFE"/>
    <w:rsid w:val="00C956B8"/>
    <w:rsid w:val="00CA795C"/>
    <w:rsid w:val="00CB1921"/>
    <w:rsid w:val="00CB73FD"/>
    <w:rsid w:val="00CC3EA4"/>
    <w:rsid w:val="00CD53F7"/>
    <w:rsid w:val="00CD54DC"/>
    <w:rsid w:val="00CD6AAA"/>
    <w:rsid w:val="00CD7394"/>
    <w:rsid w:val="00D0042D"/>
    <w:rsid w:val="00D01998"/>
    <w:rsid w:val="00D03F44"/>
    <w:rsid w:val="00D1065F"/>
    <w:rsid w:val="00D16B6E"/>
    <w:rsid w:val="00D2198E"/>
    <w:rsid w:val="00D21B27"/>
    <w:rsid w:val="00D42E4D"/>
    <w:rsid w:val="00D53376"/>
    <w:rsid w:val="00D60221"/>
    <w:rsid w:val="00D641AB"/>
    <w:rsid w:val="00D64B2A"/>
    <w:rsid w:val="00D65FDF"/>
    <w:rsid w:val="00D90C09"/>
    <w:rsid w:val="00D90D3D"/>
    <w:rsid w:val="00D92761"/>
    <w:rsid w:val="00D97CCC"/>
    <w:rsid w:val="00DA1D5E"/>
    <w:rsid w:val="00DA3CB3"/>
    <w:rsid w:val="00DA7419"/>
    <w:rsid w:val="00DB02F2"/>
    <w:rsid w:val="00DB175A"/>
    <w:rsid w:val="00DB535D"/>
    <w:rsid w:val="00DB6321"/>
    <w:rsid w:val="00DC003A"/>
    <w:rsid w:val="00DC0A2D"/>
    <w:rsid w:val="00DC7515"/>
    <w:rsid w:val="00DD5152"/>
    <w:rsid w:val="00DD6A71"/>
    <w:rsid w:val="00DE0584"/>
    <w:rsid w:val="00DF381A"/>
    <w:rsid w:val="00DF45E1"/>
    <w:rsid w:val="00E04B41"/>
    <w:rsid w:val="00E15119"/>
    <w:rsid w:val="00E16280"/>
    <w:rsid w:val="00E16B88"/>
    <w:rsid w:val="00E2186B"/>
    <w:rsid w:val="00E22D48"/>
    <w:rsid w:val="00E238AA"/>
    <w:rsid w:val="00E253D8"/>
    <w:rsid w:val="00E2557E"/>
    <w:rsid w:val="00E35AAD"/>
    <w:rsid w:val="00E41558"/>
    <w:rsid w:val="00E41806"/>
    <w:rsid w:val="00E42C26"/>
    <w:rsid w:val="00E45B50"/>
    <w:rsid w:val="00E51509"/>
    <w:rsid w:val="00E535A3"/>
    <w:rsid w:val="00E55EFA"/>
    <w:rsid w:val="00E624AA"/>
    <w:rsid w:val="00E67807"/>
    <w:rsid w:val="00E75799"/>
    <w:rsid w:val="00E812DE"/>
    <w:rsid w:val="00E81C1C"/>
    <w:rsid w:val="00E8310C"/>
    <w:rsid w:val="00E97F51"/>
    <w:rsid w:val="00EA6A91"/>
    <w:rsid w:val="00EB6C03"/>
    <w:rsid w:val="00EC7A35"/>
    <w:rsid w:val="00ED7D50"/>
    <w:rsid w:val="00EE316E"/>
    <w:rsid w:val="00EF1B16"/>
    <w:rsid w:val="00EF5B09"/>
    <w:rsid w:val="00EF73BC"/>
    <w:rsid w:val="00F002D6"/>
    <w:rsid w:val="00F12936"/>
    <w:rsid w:val="00F147B2"/>
    <w:rsid w:val="00F316C2"/>
    <w:rsid w:val="00F31895"/>
    <w:rsid w:val="00F36D99"/>
    <w:rsid w:val="00F468C7"/>
    <w:rsid w:val="00F47360"/>
    <w:rsid w:val="00F602C4"/>
    <w:rsid w:val="00F824EE"/>
    <w:rsid w:val="00F92E98"/>
    <w:rsid w:val="00F974D1"/>
    <w:rsid w:val="00FA53FD"/>
    <w:rsid w:val="00FB278E"/>
    <w:rsid w:val="00FC63A8"/>
    <w:rsid w:val="00FD0C58"/>
    <w:rsid w:val="00FE26D0"/>
    <w:rsid w:val="00FE3AF2"/>
    <w:rsid w:val="00FE574D"/>
    <w:rsid w:val="00FE58F5"/>
    <w:rsid w:val="00FE7ED9"/>
    <w:rsid w:val="00FF3A70"/>
    <w:rsid w:val="00FF473C"/>
    <w:rsid w:val="00FF77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1E12B7"/>
  <w15:chartTrackingRefBased/>
  <w15:docId w15:val="{28641DE1-392C-4247-899B-3417CBC7A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D23AC"/>
    <w:rPr>
      <w:rFonts w:ascii="ＭＳ Ｐゴシック" w:eastAsia="ＭＳ Ｐゴシック" w:hAnsi="ＭＳ Ｐゴシック" w:cs="ＭＳ Ｐゴシック"/>
      <w:kern w:val="0"/>
      <w:sz w:val="24"/>
    </w:rPr>
  </w:style>
  <w:style w:type="paragraph" w:styleId="2">
    <w:name w:val="heading 2"/>
    <w:basedOn w:val="a"/>
    <w:next w:val="a"/>
    <w:link w:val="20"/>
    <w:qFormat/>
    <w:rsid w:val="00052900"/>
    <w:pPr>
      <w:jc w:val="center"/>
      <w:outlineLvl w:val="1"/>
    </w:pPr>
    <w:rPr>
      <w:rFonts w:ascii="Times New Roman" w:eastAsiaTheme="minorEastAsia" w:hAnsi="Times New Roman" w:cs="Times New Roman"/>
      <w:b/>
      <w:bCs/>
      <w:color w:val="000000"/>
      <w:kern w:val="28"/>
      <w:lang w:val="en-CA" w:eastAsia="en-CA"/>
    </w:rPr>
  </w:style>
  <w:style w:type="paragraph" w:styleId="3">
    <w:name w:val="heading 3"/>
    <w:basedOn w:val="a"/>
    <w:next w:val="a"/>
    <w:link w:val="30"/>
    <w:uiPriority w:val="9"/>
    <w:semiHidden/>
    <w:unhideWhenUsed/>
    <w:qFormat/>
    <w:rsid w:val="00032D09"/>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032D09"/>
    <w:pPr>
      <w:keepNext/>
      <w:ind w:leftChars="400" w:left="400"/>
      <w:outlineLvl w:val="3"/>
    </w:pPr>
    <w:rPr>
      <w:b/>
      <w:bCs/>
    </w:rPr>
  </w:style>
  <w:style w:type="paragraph" w:styleId="5">
    <w:name w:val="heading 5"/>
    <w:basedOn w:val="a"/>
    <w:next w:val="a"/>
    <w:link w:val="50"/>
    <w:uiPriority w:val="9"/>
    <w:semiHidden/>
    <w:unhideWhenUsed/>
    <w:qFormat/>
    <w:rsid w:val="00032D09"/>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rsid w:val="00052900"/>
    <w:rPr>
      <w:rFonts w:ascii="Times New Roman" w:hAnsi="Times New Roman" w:cs="Times New Roman"/>
      <w:b/>
      <w:bCs/>
      <w:color w:val="000000"/>
      <w:kern w:val="28"/>
      <w:sz w:val="24"/>
      <w:lang w:val="en-CA" w:eastAsia="en-CA"/>
    </w:rPr>
  </w:style>
  <w:style w:type="paragraph" w:styleId="a3">
    <w:name w:val="header"/>
    <w:basedOn w:val="a"/>
    <w:link w:val="a4"/>
    <w:rsid w:val="00052900"/>
    <w:pPr>
      <w:tabs>
        <w:tab w:val="center" w:pos="4320"/>
        <w:tab w:val="right" w:pos="8640"/>
      </w:tabs>
    </w:pPr>
    <w:rPr>
      <w:rFonts w:ascii="Garamond" w:eastAsiaTheme="minorEastAsia" w:hAnsi="Garamond" w:cs="Times New Roman"/>
      <w:color w:val="008000"/>
      <w:w w:val="120"/>
      <w:lang w:val="en-CA" w:eastAsia="en-US"/>
    </w:rPr>
  </w:style>
  <w:style w:type="character" w:customStyle="1" w:styleId="a4">
    <w:name w:val="ヘッダー (文字)"/>
    <w:basedOn w:val="a0"/>
    <w:link w:val="a3"/>
    <w:rsid w:val="00052900"/>
    <w:rPr>
      <w:rFonts w:ascii="Garamond" w:hAnsi="Garamond" w:cs="Times New Roman"/>
      <w:color w:val="008000"/>
      <w:w w:val="120"/>
      <w:kern w:val="0"/>
      <w:sz w:val="24"/>
      <w:lang w:val="en-CA" w:eastAsia="en-US"/>
    </w:rPr>
  </w:style>
  <w:style w:type="table" w:styleId="a5">
    <w:name w:val="Table Grid"/>
    <w:basedOn w:val="a1"/>
    <w:uiPriority w:val="39"/>
    <w:rsid w:val="00AB56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C61F2F"/>
    <w:rPr>
      <w:sz w:val="18"/>
      <w:szCs w:val="18"/>
    </w:rPr>
  </w:style>
  <w:style w:type="paragraph" w:styleId="a7">
    <w:name w:val="annotation text"/>
    <w:basedOn w:val="a"/>
    <w:link w:val="a8"/>
    <w:uiPriority w:val="99"/>
    <w:semiHidden/>
    <w:unhideWhenUsed/>
    <w:rsid w:val="00C61F2F"/>
    <w:pPr>
      <w:widowControl w:val="0"/>
    </w:pPr>
    <w:rPr>
      <w:rFonts w:asciiTheme="minorHAnsi" w:eastAsiaTheme="minorEastAsia" w:hAnsiTheme="minorHAnsi" w:cstheme="minorBidi"/>
      <w:kern w:val="2"/>
      <w:sz w:val="21"/>
    </w:rPr>
  </w:style>
  <w:style w:type="character" w:customStyle="1" w:styleId="a8">
    <w:name w:val="コメント文字列 (文字)"/>
    <w:basedOn w:val="a0"/>
    <w:link w:val="a7"/>
    <w:uiPriority w:val="99"/>
    <w:semiHidden/>
    <w:rsid w:val="00C61F2F"/>
  </w:style>
  <w:style w:type="paragraph" w:styleId="a9">
    <w:name w:val="annotation subject"/>
    <w:basedOn w:val="a7"/>
    <w:next w:val="a7"/>
    <w:link w:val="aa"/>
    <w:uiPriority w:val="99"/>
    <w:semiHidden/>
    <w:unhideWhenUsed/>
    <w:rsid w:val="00C61F2F"/>
    <w:rPr>
      <w:b/>
      <w:bCs/>
    </w:rPr>
  </w:style>
  <w:style w:type="character" w:customStyle="1" w:styleId="aa">
    <w:name w:val="コメント内容 (文字)"/>
    <w:basedOn w:val="a8"/>
    <w:link w:val="a9"/>
    <w:uiPriority w:val="99"/>
    <w:semiHidden/>
    <w:rsid w:val="00C61F2F"/>
    <w:rPr>
      <w:b/>
      <w:bCs/>
    </w:rPr>
  </w:style>
  <w:style w:type="paragraph" w:styleId="ab">
    <w:name w:val="Balloon Text"/>
    <w:basedOn w:val="a"/>
    <w:link w:val="ac"/>
    <w:uiPriority w:val="99"/>
    <w:semiHidden/>
    <w:unhideWhenUsed/>
    <w:rsid w:val="00C61F2F"/>
    <w:pPr>
      <w:widowControl w:val="0"/>
      <w:jc w:val="both"/>
    </w:pPr>
    <w:rPr>
      <w:rFonts w:ascii="ＭＳ 明朝" w:eastAsia="ＭＳ 明朝" w:hAnsiTheme="minorHAnsi" w:cstheme="minorBidi"/>
      <w:kern w:val="2"/>
      <w:sz w:val="18"/>
      <w:szCs w:val="18"/>
    </w:rPr>
  </w:style>
  <w:style w:type="character" w:customStyle="1" w:styleId="ac">
    <w:name w:val="吹き出し (文字)"/>
    <w:basedOn w:val="a0"/>
    <w:link w:val="ab"/>
    <w:uiPriority w:val="99"/>
    <w:semiHidden/>
    <w:rsid w:val="00C61F2F"/>
    <w:rPr>
      <w:rFonts w:ascii="ＭＳ 明朝" w:eastAsia="ＭＳ 明朝"/>
      <w:sz w:val="18"/>
      <w:szCs w:val="18"/>
    </w:rPr>
  </w:style>
  <w:style w:type="character" w:styleId="ad">
    <w:name w:val="Hyperlink"/>
    <w:basedOn w:val="a0"/>
    <w:uiPriority w:val="99"/>
    <w:unhideWhenUsed/>
    <w:rsid w:val="00AB4242"/>
    <w:rPr>
      <w:color w:val="0563C1" w:themeColor="hyperlink"/>
      <w:u w:val="single"/>
    </w:rPr>
  </w:style>
  <w:style w:type="character" w:styleId="ae">
    <w:name w:val="Unresolved Mention"/>
    <w:basedOn w:val="a0"/>
    <w:uiPriority w:val="99"/>
    <w:semiHidden/>
    <w:unhideWhenUsed/>
    <w:rsid w:val="00AB4242"/>
    <w:rPr>
      <w:color w:val="605E5C"/>
      <w:shd w:val="clear" w:color="auto" w:fill="E1DFDD"/>
    </w:rPr>
  </w:style>
  <w:style w:type="character" w:styleId="af">
    <w:name w:val="Placeholder Text"/>
    <w:basedOn w:val="a0"/>
    <w:uiPriority w:val="99"/>
    <w:semiHidden/>
    <w:rsid w:val="00240CB7"/>
    <w:rPr>
      <w:color w:val="808080"/>
    </w:rPr>
  </w:style>
  <w:style w:type="paragraph" w:customStyle="1" w:styleId="csl-entry">
    <w:name w:val="csl-entry"/>
    <w:basedOn w:val="a"/>
    <w:rsid w:val="00240CB7"/>
    <w:pPr>
      <w:spacing w:before="100" w:beforeAutospacing="1" w:after="100" w:afterAutospacing="1"/>
    </w:pPr>
  </w:style>
  <w:style w:type="character" w:customStyle="1" w:styleId="30">
    <w:name w:val="見出し 3 (文字)"/>
    <w:basedOn w:val="a0"/>
    <w:link w:val="3"/>
    <w:uiPriority w:val="9"/>
    <w:semiHidden/>
    <w:rsid w:val="00032D09"/>
    <w:rPr>
      <w:rFonts w:asciiTheme="majorHAnsi" w:eastAsiaTheme="majorEastAsia" w:hAnsiTheme="majorHAnsi" w:cstheme="majorBidi"/>
      <w:kern w:val="0"/>
      <w:sz w:val="24"/>
    </w:rPr>
  </w:style>
  <w:style w:type="character" w:customStyle="1" w:styleId="40">
    <w:name w:val="見出し 4 (文字)"/>
    <w:basedOn w:val="a0"/>
    <w:link w:val="4"/>
    <w:uiPriority w:val="9"/>
    <w:semiHidden/>
    <w:rsid w:val="00032D09"/>
    <w:rPr>
      <w:rFonts w:ascii="ＭＳ Ｐゴシック" w:eastAsia="ＭＳ Ｐゴシック" w:hAnsi="ＭＳ Ｐゴシック" w:cs="ＭＳ Ｐゴシック"/>
      <w:b/>
      <w:bCs/>
      <w:kern w:val="0"/>
      <w:sz w:val="24"/>
    </w:rPr>
  </w:style>
  <w:style w:type="character" w:customStyle="1" w:styleId="50">
    <w:name w:val="見出し 5 (文字)"/>
    <w:basedOn w:val="a0"/>
    <w:link w:val="5"/>
    <w:uiPriority w:val="9"/>
    <w:semiHidden/>
    <w:rsid w:val="00032D09"/>
    <w:rPr>
      <w:rFonts w:asciiTheme="majorHAnsi" w:eastAsiaTheme="majorEastAsia" w:hAnsiTheme="majorHAnsi" w:cstheme="majorBidi"/>
      <w:kern w:val="0"/>
      <w:sz w:val="24"/>
    </w:rPr>
  </w:style>
  <w:style w:type="paragraph" w:styleId="Web">
    <w:name w:val="Normal (Web)"/>
    <w:basedOn w:val="a"/>
    <w:uiPriority w:val="99"/>
    <w:semiHidden/>
    <w:unhideWhenUsed/>
    <w:rsid w:val="00032D09"/>
    <w:pPr>
      <w:spacing w:before="100" w:beforeAutospacing="1" w:after="100" w:afterAutospacing="1"/>
    </w:pPr>
  </w:style>
  <w:style w:type="character" w:styleId="af0">
    <w:name w:val="Emphasis"/>
    <w:basedOn w:val="a0"/>
    <w:uiPriority w:val="20"/>
    <w:qFormat/>
    <w:rsid w:val="00032D09"/>
    <w:rPr>
      <w:i/>
      <w:iCs/>
    </w:rPr>
  </w:style>
  <w:style w:type="paragraph" w:styleId="af1">
    <w:name w:val="List Paragraph"/>
    <w:basedOn w:val="a"/>
    <w:uiPriority w:val="34"/>
    <w:qFormat/>
    <w:rsid w:val="00B443AF"/>
    <w:pPr>
      <w:ind w:leftChars="400" w:left="840"/>
    </w:pPr>
  </w:style>
  <w:style w:type="paragraph" w:styleId="af2">
    <w:name w:val="Revision"/>
    <w:hidden/>
    <w:uiPriority w:val="99"/>
    <w:semiHidden/>
    <w:rsid w:val="00CD6AAA"/>
    <w:rPr>
      <w:rFonts w:ascii="ＭＳ Ｐゴシック" w:eastAsia="ＭＳ Ｐゴシック" w:hAnsi="ＭＳ Ｐゴシック" w:cs="ＭＳ Ｐゴシック"/>
      <w:kern w:val="0"/>
      <w:sz w:val="24"/>
    </w:rPr>
  </w:style>
  <w:style w:type="paragraph" w:styleId="af3">
    <w:name w:val="footer"/>
    <w:basedOn w:val="a"/>
    <w:link w:val="af4"/>
    <w:uiPriority w:val="99"/>
    <w:unhideWhenUsed/>
    <w:rsid w:val="001C0ED0"/>
    <w:pPr>
      <w:tabs>
        <w:tab w:val="center" w:pos="4252"/>
        <w:tab w:val="right" w:pos="8504"/>
      </w:tabs>
      <w:snapToGrid w:val="0"/>
    </w:pPr>
  </w:style>
  <w:style w:type="character" w:customStyle="1" w:styleId="af4">
    <w:name w:val="フッター (文字)"/>
    <w:basedOn w:val="a0"/>
    <w:link w:val="af3"/>
    <w:uiPriority w:val="99"/>
    <w:rsid w:val="001C0ED0"/>
    <w:rPr>
      <w:rFonts w:ascii="ＭＳ Ｐゴシック" w:eastAsia="ＭＳ Ｐゴシック" w:hAnsi="ＭＳ Ｐゴシック" w:cs="ＭＳ Ｐゴシック"/>
      <w:kern w:val="0"/>
      <w:sz w:val="24"/>
    </w:rPr>
  </w:style>
  <w:style w:type="character" w:styleId="af5">
    <w:name w:val="page number"/>
    <w:basedOn w:val="a0"/>
    <w:uiPriority w:val="99"/>
    <w:semiHidden/>
    <w:unhideWhenUsed/>
    <w:rsid w:val="001C0ED0"/>
  </w:style>
  <w:style w:type="table" w:styleId="6">
    <w:name w:val="Grid Table 6 Colorful"/>
    <w:basedOn w:val="a1"/>
    <w:uiPriority w:val="51"/>
    <w:rsid w:val="00736A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er">
    <w:name w:val="TableHeader"/>
    <w:basedOn w:val="a"/>
    <w:rsid w:val="00047122"/>
    <w:pPr>
      <w:spacing w:before="120"/>
    </w:pPr>
    <w:rPr>
      <w:rFonts w:ascii="Times New Roman" w:eastAsia="Times New Roman" w:hAnsi="Times New Roman" w:cs="Times New Roman"/>
      <w:b/>
      <w:szCs w:val="20"/>
      <w:lang w:val="en-GB" w:eastAsia="en-US"/>
    </w:rPr>
  </w:style>
  <w:style w:type="paragraph" w:customStyle="1" w:styleId="TableSubHead">
    <w:name w:val="TableSubHead"/>
    <w:basedOn w:val="TableHeader"/>
    <w:rsid w:val="00047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6440">
      <w:bodyDiv w:val="1"/>
      <w:marLeft w:val="0"/>
      <w:marRight w:val="0"/>
      <w:marTop w:val="0"/>
      <w:marBottom w:val="0"/>
      <w:divBdr>
        <w:top w:val="none" w:sz="0" w:space="0" w:color="auto"/>
        <w:left w:val="none" w:sz="0" w:space="0" w:color="auto"/>
        <w:bottom w:val="none" w:sz="0" w:space="0" w:color="auto"/>
        <w:right w:val="none" w:sz="0" w:space="0" w:color="auto"/>
      </w:divBdr>
    </w:div>
    <w:div w:id="15161487">
      <w:bodyDiv w:val="1"/>
      <w:marLeft w:val="0"/>
      <w:marRight w:val="0"/>
      <w:marTop w:val="0"/>
      <w:marBottom w:val="0"/>
      <w:divBdr>
        <w:top w:val="none" w:sz="0" w:space="0" w:color="auto"/>
        <w:left w:val="none" w:sz="0" w:space="0" w:color="auto"/>
        <w:bottom w:val="none" w:sz="0" w:space="0" w:color="auto"/>
        <w:right w:val="none" w:sz="0" w:space="0" w:color="auto"/>
      </w:divBdr>
    </w:div>
    <w:div w:id="15468962">
      <w:bodyDiv w:val="1"/>
      <w:marLeft w:val="0"/>
      <w:marRight w:val="0"/>
      <w:marTop w:val="0"/>
      <w:marBottom w:val="0"/>
      <w:divBdr>
        <w:top w:val="none" w:sz="0" w:space="0" w:color="auto"/>
        <w:left w:val="none" w:sz="0" w:space="0" w:color="auto"/>
        <w:bottom w:val="none" w:sz="0" w:space="0" w:color="auto"/>
        <w:right w:val="none" w:sz="0" w:space="0" w:color="auto"/>
      </w:divBdr>
    </w:div>
    <w:div w:id="16006955">
      <w:bodyDiv w:val="1"/>
      <w:marLeft w:val="0"/>
      <w:marRight w:val="0"/>
      <w:marTop w:val="0"/>
      <w:marBottom w:val="0"/>
      <w:divBdr>
        <w:top w:val="none" w:sz="0" w:space="0" w:color="auto"/>
        <w:left w:val="none" w:sz="0" w:space="0" w:color="auto"/>
        <w:bottom w:val="none" w:sz="0" w:space="0" w:color="auto"/>
        <w:right w:val="none" w:sz="0" w:space="0" w:color="auto"/>
      </w:divBdr>
    </w:div>
    <w:div w:id="16740081">
      <w:bodyDiv w:val="1"/>
      <w:marLeft w:val="0"/>
      <w:marRight w:val="0"/>
      <w:marTop w:val="0"/>
      <w:marBottom w:val="0"/>
      <w:divBdr>
        <w:top w:val="none" w:sz="0" w:space="0" w:color="auto"/>
        <w:left w:val="none" w:sz="0" w:space="0" w:color="auto"/>
        <w:bottom w:val="none" w:sz="0" w:space="0" w:color="auto"/>
        <w:right w:val="none" w:sz="0" w:space="0" w:color="auto"/>
      </w:divBdr>
    </w:div>
    <w:div w:id="17659228">
      <w:bodyDiv w:val="1"/>
      <w:marLeft w:val="0"/>
      <w:marRight w:val="0"/>
      <w:marTop w:val="0"/>
      <w:marBottom w:val="0"/>
      <w:divBdr>
        <w:top w:val="none" w:sz="0" w:space="0" w:color="auto"/>
        <w:left w:val="none" w:sz="0" w:space="0" w:color="auto"/>
        <w:bottom w:val="none" w:sz="0" w:space="0" w:color="auto"/>
        <w:right w:val="none" w:sz="0" w:space="0" w:color="auto"/>
      </w:divBdr>
    </w:div>
    <w:div w:id="19358460">
      <w:bodyDiv w:val="1"/>
      <w:marLeft w:val="0"/>
      <w:marRight w:val="0"/>
      <w:marTop w:val="0"/>
      <w:marBottom w:val="0"/>
      <w:divBdr>
        <w:top w:val="none" w:sz="0" w:space="0" w:color="auto"/>
        <w:left w:val="none" w:sz="0" w:space="0" w:color="auto"/>
        <w:bottom w:val="none" w:sz="0" w:space="0" w:color="auto"/>
        <w:right w:val="none" w:sz="0" w:space="0" w:color="auto"/>
      </w:divBdr>
    </w:div>
    <w:div w:id="22558772">
      <w:bodyDiv w:val="1"/>
      <w:marLeft w:val="0"/>
      <w:marRight w:val="0"/>
      <w:marTop w:val="0"/>
      <w:marBottom w:val="0"/>
      <w:divBdr>
        <w:top w:val="none" w:sz="0" w:space="0" w:color="auto"/>
        <w:left w:val="none" w:sz="0" w:space="0" w:color="auto"/>
        <w:bottom w:val="none" w:sz="0" w:space="0" w:color="auto"/>
        <w:right w:val="none" w:sz="0" w:space="0" w:color="auto"/>
      </w:divBdr>
    </w:div>
    <w:div w:id="25180605">
      <w:bodyDiv w:val="1"/>
      <w:marLeft w:val="0"/>
      <w:marRight w:val="0"/>
      <w:marTop w:val="0"/>
      <w:marBottom w:val="0"/>
      <w:divBdr>
        <w:top w:val="none" w:sz="0" w:space="0" w:color="auto"/>
        <w:left w:val="none" w:sz="0" w:space="0" w:color="auto"/>
        <w:bottom w:val="none" w:sz="0" w:space="0" w:color="auto"/>
        <w:right w:val="none" w:sz="0" w:space="0" w:color="auto"/>
      </w:divBdr>
    </w:div>
    <w:div w:id="29842777">
      <w:bodyDiv w:val="1"/>
      <w:marLeft w:val="0"/>
      <w:marRight w:val="0"/>
      <w:marTop w:val="0"/>
      <w:marBottom w:val="0"/>
      <w:divBdr>
        <w:top w:val="none" w:sz="0" w:space="0" w:color="auto"/>
        <w:left w:val="none" w:sz="0" w:space="0" w:color="auto"/>
        <w:bottom w:val="none" w:sz="0" w:space="0" w:color="auto"/>
        <w:right w:val="none" w:sz="0" w:space="0" w:color="auto"/>
      </w:divBdr>
    </w:div>
    <w:div w:id="34356901">
      <w:bodyDiv w:val="1"/>
      <w:marLeft w:val="0"/>
      <w:marRight w:val="0"/>
      <w:marTop w:val="0"/>
      <w:marBottom w:val="0"/>
      <w:divBdr>
        <w:top w:val="none" w:sz="0" w:space="0" w:color="auto"/>
        <w:left w:val="none" w:sz="0" w:space="0" w:color="auto"/>
        <w:bottom w:val="none" w:sz="0" w:space="0" w:color="auto"/>
        <w:right w:val="none" w:sz="0" w:space="0" w:color="auto"/>
      </w:divBdr>
    </w:div>
    <w:div w:id="41515737">
      <w:bodyDiv w:val="1"/>
      <w:marLeft w:val="0"/>
      <w:marRight w:val="0"/>
      <w:marTop w:val="0"/>
      <w:marBottom w:val="0"/>
      <w:divBdr>
        <w:top w:val="none" w:sz="0" w:space="0" w:color="auto"/>
        <w:left w:val="none" w:sz="0" w:space="0" w:color="auto"/>
        <w:bottom w:val="none" w:sz="0" w:space="0" w:color="auto"/>
        <w:right w:val="none" w:sz="0" w:space="0" w:color="auto"/>
      </w:divBdr>
    </w:div>
    <w:div w:id="43531335">
      <w:bodyDiv w:val="1"/>
      <w:marLeft w:val="0"/>
      <w:marRight w:val="0"/>
      <w:marTop w:val="0"/>
      <w:marBottom w:val="0"/>
      <w:divBdr>
        <w:top w:val="none" w:sz="0" w:space="0" w:color="auto"/>
        <w:left w:val="none" w:sz="0" w:space="0" w:color="auto"/>
        <w:bottom w:val="none" w:sz="0" w:space="0" w:color="auto"/>
        <w:right w:val="none" w:sz="0" w:space="0" w:color="auto"/>
      </w:divBdr>
    </w:div>
    <w:div w:id="46533524">
      <w:bodyDiv w:val="1"/>
      <w:marLeft w:val="0"/>
      <w:marRight w:val="0"/>
      <w:marTop w:val="0"/>
      <w:marBottom w:val="0"/>
      <w:divBdr>
        <w:top w:val="none" w:sz="0" w:space="0" w:color="auto"/>
        <w:left w:val="none" w:sz="0" w:space="0" w:color="auto"/>
        <w:bottom w:val="none" w:sz="0" w:space="0" w:color="auto"/>
        <w:right w:val="none" w:sz="0" w:space="0" w:color="auto"/>
      </w:divBdr>
    </w:div>
    <w:div w:id="52193433">
      <w:bodyDiv w:val="1"/>
      <w:marLeft w:val="0"/>
      <w:marRight w:val="0"/>
      <w:marTop w:val="0"/>
      <w:marBottom w:val="0"/>
      <w:divBdr>
        <w:top w:val="none" w:sz="0" w:space="0" w:color="auto"/>
        <w:left w:val="none" w:sz="0" w:space="0" w:color="auto"/>
        <w:bottom w:val="none" w:sz="0" w:space="0" w:color="auto"/>
        <w:right w:val="none" w:sz="0" w:space="0" w:color="auto"/>
      </w:divBdr>
    </w:div>
    <w:div w:id="52895635">
      <w:bodyDiv w:val="1"/>
      <w:marLeft w:val="0"/>
      <w:marRight w:val="0"/>
      <w:marTop w:val="0"/>
      <w:marBottom w:val="0"/>
      <w:divBdr>
        <w:top w:val="none" w:sz="0" w:space="0" w:color="auto"/>
        <w:left w:val="none" w:sz="0" w:space="0" w:color="auto"/>
        <w:bottom w:val="none" w:sz="0" w:space="0" w:color="auto"/>
        <w:right w:val="none" w:sz="0" w:space="0" w:color="auto"/>
      </w:divBdr>
    </w:div>
    <w:div w:id="63065520">
      <w:bodyDiv w:val="1"/>
      <w:marLeft w:val="0"/>
      <w:marRight w:val="0"/>
      <w:marTop w:val="0"/>
      <w:marBottom w:val="0"/>
      <w:divBdr>
        <w:top w:val="none" w:sz="0" w:space="0" w:color="auto"/>
        <w:left w:val="none" w:sz="0" w:space="0" w:color="auto"/>
        <w:bottom w:val="none" w:sz="0" w:space="0" w:color="auto"/>
        <w:right w:val="none" w:sz="0" w:space="0" w:color="auto"/>
      </w:divBdr>
    </w:div>
    <w:div w:id="64644909">
      <w:bodyDiv w:val="1"/>
      <w:marLeft w:val="0"/>
      <w:marRight w:val="0"/>
      <w:marTop w:val="0"/>
      <w:marBottom w:val="0"/>
      <w:divBdr>
        <w:top w:val="none" w:sz="0" w:space="0" w:color="auto"/>
        <w:left w:val="none" w:sz="0" w:space="0" w:color="auto"/>
        <w:bottom w:val="none" w:sz="0" w:space="0" w:color="auto"/>
        <w:right w:val="none" w:sz="0" w:space="0" w:color="auto"/>
      </w:divBdr>
    </w:div>
    <w:div w:id="69546019">
      <w:bodyDiv w:val="1"/>
      <w:marLeft w:val="0"/>
      <w:marRight w:val="0"/>
      <w:marTop w:val="0"/>
      <w:marBottom w:val="0"/>
      <w:divBdr>
        <w:top w:val="none" w:sz="0" w:space="0" w:color="auto"/>
        <w:left w:val="none" w:sz="0" w:space="0" w:color="auto"/>
        <w:bottom w:val="none" w:sz="0" w:space="0" w:color="auto"/>
        <w:right w:val="none" w:sz="0" w:space="0" w:color="auto"/>
      </w:divBdr>
    </w:div>
    <w:div w:id="74472459">
      <w:bodyDiv w:val="1"/>
      <w:marLeft w:val="0"/>
      <w:marRight w:val="0"/>
      <w:marTop w:val="0"/>
      <w:marBottom w:val="0"/>
      <w:divBdr>
        <w:top w:val="none" w:sz="0" w:space="0" w:color="auto"/>
        <w:left w:val="none" w:sz="0" w:space="0" w:color="auto"/>
        <w:bottom w:val="none" w:sz="0" w:space="0" w:color="auto"/>
        <w:right w:val="none" w:sz="0" w:space="0" w:color="auto"/>
      </w:divBdr>
    </w:div>
    <w:div w:id="76290459">
      <w:bodyDiv w:val="1"/>
      <w:marLeft w:val="0"/>
      <w:marRight w:val="0"/>
      <w:marTop w:val="0"/>
      <w:marBottom w:val="0"/>
      <w:divBdr>
        <w:top w:val="none" w:sz="0" w:space="0" w:color="auto"/>
        <w:left w:val="none" w:sz="0" w:space="0" w:color="auto"/>
        <w:bottom w:val="none" w:sz="0" w:space="0" w:color="auto"/>
        <w:right w:val="none" w:sz="0" w:space="0" w:color="auto"/>
      </w:divBdr>
    </w:div>
    <w:div w:id="78723744">
      <w:bodyDiv w:val="1"/>
      <w:marLeft w:val="0"/>
      <w:marRight w:val="0"/>
      <w:marTop w:val="0"/>
      <w:marBottom w:val="0"/>
      <w:divBdr>
        <w:top w:val="none" w:sz="0" w:space="0" w:color="auto"/>
        <w:left w:val="none" w:sz="0" w:space="0" w:color="auto"/>
        <w:bottom w:val="none" w:sz="0" w:space="0" w:color="auto"/>
        <w:right w:val="none" w:sz="0" w:space="0" w:color="auto"/>
      </w:divBdr>
    </w:div>
    <w:div w:id="80883014">
      <w:bodyDiv w:val="1"/>
      <w:marLeft w:val="0"/>
      <w:marRight w:val="0"/>
      <w:marTop w:val="0"/>
      <w:marBottom w:val="0"/>
      <w:divBdr>
        <w:top w:val="none" w:sz="0" w:space="0" w:color="auto"/>
        <w:left w:val="none" w:sz="0" w:space="0" w:color="auto"/>
        <w:bottom w:val="none" w:sz="0" w:space="0" w:color="auto"/>
        <w:right w:val="none" w:sz="0" w:space="0" w:color="auto"/>
      </w:divBdr>
    </w:div>
    <w:div w:id="81879860">
      <w:bodyDiv w:val="1"/>
      <w:marLeft w:val="0"/>
      <w:marRight w:val="0"/>
      <w:marTop w:val="0"/>
      <w:marBottom w:val="0"/>
      <w:divBdr>
        <w:top w:val="none" w:sz="0" w:space="0" w:color="auto"/>
        <w:left w:val="none" w:sz="0" w:space="0" w:color="auto"/>
        <w:bottom w:val="none" w:sz="0" w:space="0" w:color="auto"/>
        <w:right w:val="none" w:sz="0" w:space="0" w:color="auto"/>
      </w:divBdr>
    </w:div>
    <w:div w:id="84309475">
      <w:bodyDiv w:val="1"/>
      <w:marLeft w:val="0"/>
      <w:marRight w:val="0"/>
      <w:marTop w:val="0"/>
      <w:marBottom w:val="0"/>
      <w:divBdr>
        <w:top w:val="none" w:sz="0" w:space="0" w:color="auto"/>
        <w:left w:val="none" w:sz="0" w:space="0" w:color="auto"/>
        <w:bottom w:val="none" w:sz="0" w:space="0" w:color="auto"/>
        <w:right w:val="none" w:sz="0" w:space="0" w:color="auto"/>
      </w:divBdr>
    </w:div>
    <w:div w:id="87504774">
      <w:bodyDiv w:val="1"/>
      <w:marLeft w:val="0"/>
      <w:marRight w:val="0"/>
      <w:marTop w:val="0"/>
      <w:marBottom w:val="0"/>
      <w:divBdr>
        <w:top w:val="none" w:sz="0" w:space="0" w:color="auto"/>
        <w:left w:val="none" w:sz="0" w:space="0" w:color="auto"/>
        <w:bottom w:val="none" w:sz="0" w:space="0" w:color="auto"/>
        <w:right w:val="none" w:sz="0" w:space="0" w:color="auto"/>
      </w:divBdr>
    </w:div>
    <w:div w:id="90709049">
      <w:bodyDiv w:val="1"/>
      <w:marLeft w:val="0"/>
      <w:marRight w:val="0"/>
      <w:marTop w:val="0"/>
      <w:marBottom w:val="0"/>
      <w:divBdr>
        <w:top w:val="none" w:sz="0" w:space="0" w:color="auto"/>
        <w:left w:val="none" w:sz="0" w:space="0" w:color="auto"/>
        <w:bottom w:val="none" w:sz="0" w:space="0" w:color="auto"/>
        <w:right w:val="none" w:sz="0" w:space="0" w:color="auto"/>
      </w:divBdr>
    </w:div>
    <w:div w:id="91509681">
      <w:bodyDiv w:val="1"/>
      <w:marLeft w:val="0"/>
      <w:marRight w:val="0"/>
      <w:marTop w:val="0"/>
      <w:marBottom w:val="0"/>
      <w:divBdr>
        <w:top w:val="none" w:sz="0" w:space="0" w:color="auto"/>
        <w:left w:val="none" w:sz="0" w:space="0" w:color="auto"/>
        <w:bottom w:val="none" w:sz="0" w:space="0" w:color="auto"/>
        <w:right w:val="none" w:sz="0" w:space="0" w:color="auto"/>
      </w:divBdr>
    </w:div>
    <w:div w:id="95247828">
      <w:bodyDiv w:val="1"/>
      <w:marLeft w:val="0"/>
      <w:marRight w:val="0"/>
      <w:marTop w:val="0"/>
      <w:marBottom w:val="0"/>
      <w:divBdr>
        <w:top w:val="none" w:sz="0" w:space="0" w:color="auto"/>
        <w:left w:val="none" w:sz="0" w:space="0" w:color="auto"/>
        <w:bottom w:val="none" w:sz="0" w:space="0" w:color="auto"/>
        <w:right w:val="none" w:sz="0" w:space="0" w:color="auto"/>
      </w:divBdr>
    </w:div>
    <w:div w:id="96219219">
      <w:bodyDiv w:val="1"/>
      <w:marLeft w:val="0"/>
      <w:marRight w:val="0"/>
      <w:marTop w:val="0"/>
      <w:marBottom w:val="0"/>
      <w:divBdr>
        <w:top w:val="none" w:sz="0" w:space="0" w:color="auto"/>
        <w:left w:val="none" w:sz="0" w:space="0" w:color="auto"/>
        <w:bottom w:val="none" w:sz="0" w:space="0" w:color="auto"/>
        <w:right w:val="none" w:sz="0" w:space="0" w:color="auto"/>
      </w:divBdr>
    </w:div>
    <w:div w:id="97218795">
      <w:bodyDiv w:val="1"/>
      <w:marLeft w:val="0"/>
      <w:marRight w:val="0"/>
      <w:marTop w:val="0"/>
      <w:marBottom w:val="0"/>
      <w:divBdr>
        <w:top w:val="none" w:sz="0" w:space="0" w:color="auto"/>
        <w:left w:val="none" w:sz="0" w:space="0" w:color="auto"/>
        <w:bottom w:val="none" w:sz="0" w:space="0" w:color="auto"/>
        <w:right w:val="none" w:sz="0" w:space="0" w:color="auto"/>
      </w:divBdr>
    </w:div>
    <w:div w:id="97726708">
      <w:bodyDiv w:val="1"/>
      <w:marLeft w:val="0"/>
      <w:marRight w:val="0"/>
      <w:marTop w:val="0"/>
      <w:marBottom w:val="0"/>
      <w:divBdr>
        <w:top w:val="none" w:sz="0" w:space="0" w:color="auto"/>
        <w:left w:val="none" w:sz="0" w:space="0" w:color="auto"/>
        <w:bottom w:val="none" w:sz="0" w:space="0" w:color="auto"/>
        <w:right w:val="none" w:sz="0" w:space="0" w:color="auto"/>
      </w:divBdr>
    </w:div>
    <w:div w:id="98334786">
      <w:bodyDiv w:val="1"/>
      <w:marLeft w:val="0"/>
      <w:marRight w:val="0"/>
      <w:marTop w:val="0"/>
      <w:marBottom w:val="0"/>
      <w:divBdr>
        <w:top w:val="none" w:sz="0" w:space="0" w:color="auto"/>
        <w:left w:val="none" w:sz="0" w:space="0" w:color="auto"/>
        <w:bottom w:val="none" w:sz="0" w:space="0" w:color="auto"/>
        <w:right w:val="none" w:sz="0" w:space="0" w:color="auto"/>
      </w:divBdr>
    </w:div>
    <w:div w:id="99423092">
      <w:bodyDiv w:val="1"/>
      <w:marLeft w:val="0"/>
      <w:marRight w:val="0"/>
      <w:marTop w:val="0"/>
      <w:marBottom w:val="0"/>
      <w:divBdr>
        <w:top w:val="none" w:sz="0" w:space="0" w:color="auto"/>
        <w:left w:val="none" w:sz="0" w:space="0" w:color="auto"/>
        <w:bottom w:val="none" w:sz="0" w:space="0" w:color="auto"/>
        <w:right w:val="none" w:sz="0" w:space="0" w:color="auto"/>
      </w:divBdr>
      <w:divsChild>
        <w:div w:id="20404853">
          <w:marLeft w:val="0"/>
          <w:marRight w:val="0"/>
          <w:marTop w:val="0"/>
          <w:marBottom w:val="0"/>
          <w:divBdr>
            <w:top w:val="none" w:sz="0" w:space="0" w:color="auto"/>
            <w:left w:val="none" w:sz="0" w:space="0" w:color="auto"/>
            <w:bottom w:val="none" w:sz="0" w:space="0" w:color="auto"/>
            <w:right w:val="none" w:sz="0" w:space="0" w:color="auto"/>
          </w:divBdr>
          <w:divsChild>
            <w:div w:id="75134876">
              <w:marLeft w:val="0"/>
              <w:marRight w:val="0"/>
              <w:marTop w:val="0"/>
              <w:marBottom w:val="0"/>
              <w:divBdr>
                <w:top w:val="none" w:sz="0" w:space="0" w:color="auto"/>
                <w:left w:val="none" w:sz="0" w:space="0" w:color="auto"/>
                <w:bottom w:val="none" w:sz="0" w:space="0" w:color="auto"/>
                <w:right w:val="none" w:sz="0" w:space="0" w:color="auto"/>
              </w:divBdr>
            </w:div>
            <w:div w:id="484319237">
              <w:marLeft w:val="0"/>
              <w:marRight w:val="0"/>
              <w:marTop w:val="0"/>
              <w:marBottom w:val="0"/>
              <w:divBdr>
                <w:top w:val="none" w:sz="0" w:space="0" w:color="auto"/>
                <w:left w:val="none" w:sz="0" w:space="0" w:color="auto"/>
                <w:bottom w:val="none" w:sz="0" w:space="0" w:color="auto"/>
                <w:right w:val="none" w:sz="0" w:space="0" w:color="auto"/>
              </w:divBdr>
              <w:divsChild>
                <w:div w:id="1146774312">
                  <w:marLeft w:val="0"/>
                  <w:marRight w:val="0"/>
                  <w:marTop w:val="0"/>
                  <w:marBottom w:val="0"/>
                  <w:divBdr>
                    <w:top w:val="none" w:sz="0" w:space="0" w:color="auto"/>
                    <w:left w:val="none" w:sz="0" w:space="0" w:color="auto"/>
                    <w:bottom w:val="none" w:sz="0" w:space="0" w:color="auto"/>
                    <w:right w:val="none" w:sz="0" w:space="0" w:color="auto"/>
                  </w:divBdr>
                </w:div>
                <w:div w:id="559367891">
                  <w:marLeft w:val="0"/>
                  <w:marRight w:val="0"/>
                  <w:marTop w:val="0"/>
                  <w:marBottom w:val="0"/>
                  <w:divBdr>
                    <w:top w:val="none" w:sz="0" w:space="0" w:color="auto"/>
                    <w:left w:val="none" w:sz="0" w:space="0" w:color="auto"/>
                    <w:bottom w:val="none" w:sz="0" w:space="0" w:color="auto"/>
                    <w:right w:val="none" w:sz="0" w:space="0" w:color="auto"/>
                  </w:divBdr>
                </w:div>
                <w:div w:id="6955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0047">
          <w:marLeft w:val="0"/>
          <w:marRight w:val="0"/>
          <w:marTop w:val="0"/>
          <w:marBottom w:val="0"/>
          <w:divBdr>
            <w:top w:val="none" w:sz="0" w:space="0" w:color="auto"/>
            <w:left w:val="none" w:sz="0" w:space="0" w:color="auto"/>
            <w:bottom w:val="none" w:sz="0" w:space="0" w:color="auto"/>
            <w:right w:val="none" w:sz="0" w:space="0" w:color="auto"/>
          </w:divBdr>
          <w:divsChild>
            <w:div w:id="1503936009">
              <w:marLeft w:val="0"/>
              <w:marRight w:val="0"/>
              <w:marTop w:val="0"/>
              <w:marBottom w:val="0"/>
              <w:divBdr>
                <w:top w:val="none" w:sz="0" w:space="0" w:color="auto"/>
                <w:left w:val="none" w:sz="0" w:space="0" w:color="auto"/>
                <w:bottom w:val="none" w:sz="0" w:space="0" w:color="auto"/>
                <w:right w:val="none" w:sz="0" w:space="0" w:color="auto"/>
              </w:divBdr>
            </w:div>
            <w:div w:id="12777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2112">
      <w:bodyDiv w:val="1"/>
      <w:marLeft w:val="0"/>
      <w:marRight w:val="0"/>
      <w:marTop w:val="0"/>
      <w:marBottom w:val="0"/>
      <w:divBdr>
        <w:top w:val="none" w:sz="0" w:space="0" w:color="auto"/>
        <w:left w:val="none" w:sz="0" w:space="0" w:color="auto"/>
        <w:bottom w:val="none" w:sz="0" w:space="0" w:color="auto"/>
        <w:right w:val="none" w:sz="0" w:space="0" w:color="auto"/>
      </w:divBdr>
    </w:div>
    <w:div w:id="114762797">
      <w:bodyDiv w:val="1"/>
      <w:marLeft w:val="0"/>
      <w:marRight w:val="0"/>
      <w:marTop w:val="0"/>
      <w:marBottom w:val="0"/>
      <w:divBdr>
        <w:top w:val="none" w:sz="0" w:space="0" w:color="auto"/>
        <w:left w:val="none" w:sz="0" w:space="0" w:color="auto"/>
        <w:bottom w:val="none" w:sz="0" w:space="0" w:color="auto"/>
        <w:right w:val="none" w:sz="0" w:space="0" w:color="auto"/>
      </w:divBdr>
    </w:div>
    <w:div w:id="116682716">
      <w:bodyDiv w:val="1"/>
      <w:marLeft w:val="0"/>
      <w:marRight w:val="0"/>
      <w:marTop w:val="0"/>
      <w:marBottom w:val="0"/>
      <w:divBdr>
        <w:top w:val="none" w:sz="0" w:space="0" w:color="auto"/>
        <w:left w:val="none" w:sz="0" w:space="0" w:color="auto"/>
        <w:bottom w:val="none" w:sz="0" w:space="0" w:color="auto"/>
        <w:right w:val="none" w:sz="0" w:space="0" w:color="auto"/>
      </w:divBdr>
    </w:div>
    <w:div w:id="118494430">
      <w:bodyDiv w:val="1"/>
      <w:marLeft w:val="0"/>
      <w:marRight w:val="0"/>
      <w:marTop w:val="0"/>
      <w:marBottom w:val="0"/>
      <w:divBdr>
        <w:top w:val="none" w:sz="0" w:space="0" w:color="auto"/>
        <w:left w:val="none" w:sz="0" w:space="0" w:color="auto"/>
        <w:bottom w:val="none" w:sz="0" w:space="0" w:color="auto"/>
        <w:right w:val="none" w:sz="0" w:space="0" w:color="auto"/>
      </w:divBdr>
    </w:div>
    <w:div w:id="129712452">
      <w:bodyDiv w:val="1"/>
      <w:marLeft w:val="0"/>
      <w:marRight w:val="0"/>
      <w:marTop w:val="0"/>
      <w:marBottom w:val="0"/>
      <w:divBdr>
        <w:top w:val="none" w:sz="0" w:space="0" w:color="auto"/>
        <w:left w:val="none" w:sz="0" w:space="0" w:color="auto"/>
        <w:bottom w:val="none" w:sz="0" w:space="0" w:color="auto"/>
        <w:right w:val="none" w:sz="0" w:space="0" w:color="auto"/>
      </w:divBdr>
    </w:div>
    <w:div w:id="129904072">
      <w:bodyDiv w:val="1"/>
      <w:marLeft w:val="0"/>
      <w:marRight w:val="0"/>
      <w:marTop w:val="0"/>
      <w:marBottom w:val="0"/>
      <w:divBdr>
        <w:top w:val="none" w:sz="0" w:space="0" w:color="auto"/>
        <w:left w:val="none" w:sz="0" w:space="0" w:color="auto"/>
        <w:bottom w:val="none" w:sz="0" w:space="0" w:color="auto"/>
        <w:right w:val="none" w:sz="0" w:space="0" w:color="auto"/>
      </w:divBdr>
    </w:div>
    <w:div w:id="130514635">
      <w:bodyDiv w:val="1"/>
      <w:marLeft w:val="0"/>
      <w:marRight w:val="0"/>
      <w:marTop w:val="0"/>
      <w:marBottom w:val="0"/>
      <w:divBdr>
        <w:top w:val="none" w:sz="0" w:space="0" w:color="auto"/>
        <w:left w:val="none" w:sz="0" w:space="0" w:color="auto"/>
        <w:bottom w:val="none" w:sz="0" w:space="0" w:color="auto"/>
        <w:right w:val="none" w:sz="0" w:space="0" w:color="auto"/>
      </w:divBdr>
    </w:div>
    <w:div w:id="136458453">
      <w:bodyDiv w:val="1"/>
      <w:marLeft w:val="0"/>
      <w:marRight w:val="0"/>
      <w:marTop w:val="0"/>
      <w:marBottom w:val="0"/>
      <w:divBdr>
        <w:top w:val="none" w:sz="0" w:space="0" w:color="auto"/>
        <w:left w:val="none" w:sz="0" w:space="0" w:color="auto"/>
        <w:bottom w:val="none" w:sz="0" w:space="0" w:color="auto"/>
        <w:right w:val="none" w:sz="0" w:space="0" w:color="auto"/>
      </w:divBdr>
    </w:div>
    <w:div w:id="139007035">
      <w:bodyDiv w:val="1"/>
      <w:marLeft w:val="0"/>
      <w:marRight w:val="0"/>
      <w:marTop w:val="0"/>
      <w:marBottom w:val="0"/>
      <w:divBdr>
        <w:top w:val="none" w:sz="0" w:space="0" w:color="auto"/>
        <w:left w:val="none" w:sz="0" w:space="0" w:color="auto"/>
        <w:bottom w:val="none" w:sz="0" w:space="0" w:color="auto"/>
        <w:right w:val="none" w:sz="0" w:space="0" w:color="auto"/>
      </w:divBdr>
    </w:div>
    <w:div w:id="139616446">
      <w:bodyDiv w:val="1"/>
      <w:marLeft w:val="0"/>
      <w:marRight w:val="0"/>
      <w:marTop w:val="0"/>
      <w:marBottom w:val="0"/>
      <w:divBdr>
        <w:top w:val="none" w:sz="0" w:space="0" w:color="auto"/>
        <w:left w:val="none" w:sz="0" w:space="0" w:color="auto"/>
        <w:bottom w:val="none" w:sz="0" w:space="0" w:color="auto"/>
        <w:right w:val="none" w:sz="0" w:space="0" w:color="auto"/>
      </w:divBdr>
    </w:div>
    <w:div w:id="146365365">
      <w:bodyDiv w:val="1"/>
      <w:marLeft w:val="0"/>
      <w:marRight w:val="0"/>
      <w:marTop w:val="0"/>
      <w:marBottom w:val="0"/>
      <w:divBdr>
        <w:top w:val="none" w:sz="0" w:space="0" w:color="auto"/>
        <w:left w:val="none" w:sz="0" w:space="0" w:color="auto"/>
        <w:bottom w:val="none" w:sz="0" w:space="0" w:color="auto"/>
        <w:right w:val="none" w:sz="0" w:space="0" w:color="auto"/>
      </w:divBdr>
    </w:div>
    <w:div w:id="150683211">
      <w:bodyDiv w:val="1"/>
      <w:marLeft w:val="0"/>
      <w:marRight w:val="0"/>
      <w:marTop w:val="0"/>
      <w:marBottom w:val="0"/>
      <w:divBdr>
        <w:top w:val="none" w:sz="0" w:space="0" w:color="auto"/>
        <w:left w:val="none" w:sz="0" w:space="0" w:color="auto"/>
        <w:bottom w:val="none" w:sz="0" w:space="0" w:color="auto"/>
        <w:right w:val="none" w:sz="0" w:space="0" w:color="auto"/>
      </w:divBdr>
    </w:div>
    <w:div w:id="153642598">
      <w:bodyDiv w:val="1"/>
      <w:marLeft w:val="0"/>
      <w:marRight w:val="0"/>
      <w:marTop w:val="0"/>
      <w:marBottom w:val="0"/>
      <w:divBdr>
        <w:top w:val="none" w:sz="0" w:space="0" w:color="auto"/>
        <w:left w:val="none" w:sz="0" w:space="0" w:color="auto"/>
        <w:bottom w:val="none" w:sz="0" w:space="0" w:color="auto"/>
        <w:right w:val="none" w:sz="0" w:space="0" w:color="auto"/>
      </w:divBdr>
    </w:div>
    <w:div w:id="155004238">
      <w:bodyDiv w:val="1"/>
      <w:marLeft w:val="0"/>
      <w:marRight w:val="0"/>
      <w:marTop w:val="0"/>
      <w:marBottom w:val="0"/>
      <w:divBdr>
        <w:top w:val="none" w:sz="0" w:space="0" w:color="auto"/>
        <w:left w:val="none" w:sz="0" w:space="0" w:color="auto"/>
        <w:bottom w:val="none" w:sz="0" w:space="0" w:color="auto"/>
        <w:right w:val="none" w:sz="0" w:space="0" w:color="auto"/>
      </w:divBdr>
    </w:div>
    <w:div w:id="156767234">
      <w:bodyDiv w:val="1"/>
      <w:marLeft w:val="0"/>
      <w:marRight w:val="0"/>
      <w:marTop w:val="0"/>
      <w:marBottom w:val="0"/>
      <w:divBdr>
        <w:top w:val="none" w:sz="0" w:space="0" w:color="auto"/>
        <w:left w:val="none" w:sz="0" w:space="0" w:color="auto"/>
        <w:bottom w:val="none" w:sz="0" w:space="0" w:color="auto"/>
        <w:right w:val="none" w:sz="0" w:space="0" w:color="auto"/>
      </w:divBdr>
    </w:div>
    <w:div w:id="159586968">
      <w:bodyDiv w:val="1"/>
      <w:marLeft w:val="0"/>
      <w:marRight w:val="0"/>
      <w:marTop w:val="0"/>
      <w:marBottom w:val="0"/>
      <w:divBdr>
        <w:top w:val="none" w:sz="0" w:space="0" w:color="auto"/>
        <w:left w:val="none" w:sz="0" w:space="0" w:color="auto"/>
        <w:bottom w:val="none" w:sz="0" w:space="0" w:color="auto"/>
        <w:right w:val="none" w:sz="0" w:space="0" w:color="auto"/>
      </w:divBdr>
    </w:div>
    <w:div w:id="161820281">
      <w:bodyDiv w:val="1"/>
      <w:marLeft w:val="0"/>
      <w:marRight w:val="0"/>
      <w:marTop w:val="0"/>
      <w:marBottom w:val="0"/>
      <w:divBdr>
        <w:top w:val="none" w:sz="0" w:space="0" w:color="auto"/>
        <w:left w:val="none" w:sz="0" w:space="0" w:color="auto"/>
        <w:bottom w:val="none" w:sz="0" w:space="0" w:color="auto"/>
        <w:right w:val="none" w:sz="0" w:space="0" w:color="auto"/>
      </w:divBdr>
    </w:div>
    <w:div w:id="164637684">
      <w:bodyDiv w:val="1"/>
      <w:marLeft w:val="0"/>
      <w:marRight w:val="0"/>
      <w:marTop w:val="0"/>
      <w:marBottom w:val="0"/>
      <w:divBdr>
        <w:top w:val="none" w:sz="0" w:space="0" w:color="auto"/>
        <w:left w:val="none" w:sz="0" w:space="0" w:color="auto"/>
        <w:bottom w:val="none" w:sz="0" w:space="0" w:color="auto"/>
        <w:right w:val="none" w:sz="0" w:space="0" w:color="auto"/>
      </w:divBdr>
    </w:div>
    <w:div w:id="166214173">
      <w:bodyDiv w:val="1"/>
      <w:marLeft w:val="0"/>
      <w:marRight w:val="0"/>
      <w:marTop w:val="0"/>
      <w:marBottom w:val="0"/>
      <w:divBdr>
        <w:top w:val="none" w:sz="0" w:space="0" w:color="auto"/>
        <w:left w:val="none" w:sz="0" w:space="0" w:color="auto"/>
        <w:bottom w:val="none" w:sz="0" w:space="0" w:color="auto"/>
        <w:right w:val="none" w:sz="0" w:space="0" w:color="auto"/>
      </w:divBdr>
    </w:div>
    <w:div w:id="167063725">
      <w:bodyDiv w:val="1"/>
      <w:marLeft w:val="0"/>
      <w:marRight w:val="0"/>
      <w:marTop w:val="0"/>
      <w:marBottom w:val="0"/>
      <w:divBdr>
        <w:top w:val="none" w:sz="0" w:space="0" w:color="auto"/>
        <w:left w:val="none" w:sz="0" w:space="0" w:color="auto"/>
        <w:bottom w:val="none" w:sz="0" w:space="0" w:color="auto"/>
        <w:right w:val="none" w:sz="0" w:space="0" w:color="auto"/>
      </w:divBdr>
    </w:div>
    <w:div w:id="168301497">
      <w:bodyDiv w:val="1"/>
      <w:marLeft w:val="0"/>
      <w:marRight w:val="0"/>
      <w:marTop w:val="0"/>
      <w:marBottom w:val="0"/>
      <w:divBdr>
        <w:top w:val="none" w:sz="0" w:space="0" w:color="auto"/>
        <w:left w:val="none" w:sz="0" w:space="0" w:color="auto"/>
        <w:bottom w:val="none" w:sz="0" w:space="0" w:color="auto"/>
        <w:right w:val="none" w:sz="0" w:space="0" w:color="auto"/>
      </w:divBdr>
    </w:div>
    <w:div w:id="174418707">
      <w:bodyDiv w:val="1"/>
      <w:marLeft w:val="0"/>
      <w:marRight w:val="0"/>
      <w:marTop w:val="0"/>
      <w:marBottom w:val="0"/>
      <w:divBdr>
        <w:top w:val="none" w:sz="0" w:space="0" w:color="auto"/>
        <w:left w:val="none" w:sz="0" w:space="0" w:color="auto"/>
        <w:bottom w:val="none" w:sz="0" w:space="0" w:color="auto"/>
        <w:right w:val="none" w:sz="0" w:space="0" w:color="auto"/>
      </w:divBdr>
    </w:div>
    <w:div w:id="178275772">
      <w:bodyDiv w:val="1"/>
      <w:marLeft w:val="0"/>
      <w:marRight w:val="0"/>
      <w:marTop w:val="0"/>
      <w:marBottom w:val="0"/>
      <w:divBdr>
        <w:top w:val="none" w:sz="0" w:space="0" w:color="auto"/>
        <w:left w:val="none" w:sz="0" w:space="0" w:color="auto"/>
        <w:bottom w:val="none" w:sz="0" w:space="0" w:color="auto"/>
        <w:right w:val="none" w:sz="0" w:space="0" w:color="auto"/>
      </w:divBdr>
    </w:div>
    <w:div w:id="182935436">
      <w:bodyDiv w:val="1"/>
      <w:marLeft w:val="0"/>
      <w:marRight w:val="0"/>
      <w:marTop w:val="0"/>
      <w:marBottom w:val="0"/>
      <w:divBdr>
        <w:top w:val="none" w:sz="0" w:space="0" w:color="auto"/>
        <w:left w:val="none" w:sz="0" w:space="0" w:color="auto"/>
        <w:bottom w:val="none" w:sz="0" w:space="0" w:color="auto"/>
        <w:right w:val="none" w:sz="0" w:space="0" w:color="auto"/>
      </w:divBdr>
    </w:div>
    <w:div w:id="184557578">
      <w:bodyDiv w:val="1"/>
      <w:marLeft w:val="0"/>
      <w:marRight w:val="0"/>
      <w:marTop w:val="0"/>
      <w:marBottom w:val="0"/>
      <w:divBdr>
        <w:top w:val="none" w:sz="0" w:space="0" w:color="auto"/>
        <w:left w:val="none" w:sz="0" w:space="0" w:color="auto"/>
        <w:bottom w:val="none" w:sz="0" w:space="0" w:color="auto"/>
        <w:right w:val="none" w:sz="0" w:space="0" w:color="auto"/>
      </w:divBdr>
    </w:div>
    <w:div w:id="185366324">
      <w:bodyDiv w:val="1"/>
      <w:marLeft w:val="0"/>
      <w:marRight w:val="0"/>
      <w:marTop w:val="0"/>
      <w:marBottom w:val="0"/>
      <w:divBdr>
        <w:top w:val="none" w:sz="0" w:space="0" w:color="auto"/>
        <w:left w:val="none" w:sz="0" w:space="0" w:color="auto"/>
        <w:bottom w:val="none" w:sz="0" w:space="0" w:color="auto"/>
        <w:right w:val="none" w:sz="0" w:space="0" w:color="auto"/>
      </w:divBdr>
    </w:div>
    <w:div w:id="189689754">
      <w:bodyDiv w:val="1"/>
      <w:marLeft w:val="0"/>
      <w:marRight w:val="0"/>
      <w:marTop w:val="0"/>
      <w:marBottom w:val="0"/>
      <w:divBdr>
        <w:top w:val="none" w:sz="0" w:space="0" w:color="auto"/>
        <w:left w:val="none" w:sz="0" w:space="0" w:color="auto"/>
        <w:bottom w:val="none" w:sz="0" w:space="0" w:color="auto"/>
        <w:right w:val="none" w:sz="0" w:space="0" w:color="auto"/>
      </w:divBdr>
    </w:div>
    <w:div w:id="195773128">
      <w:bodyDiv w:val="1"/>
      <w:marLeft w:val="0"/>
      <w:marRight w:val="0"/>
      <w:marTop w:val="0"/>
      <w:marBottom w:val="0"/>
      <w:divBdr>
        <w:top w:val="none" w:sz="0" w:space="0" w:color="auto"/>
        <w:left w:val="none" w:sz="0" w:space="0" w:color="auto"/>
        <w:bottom w:val="none" w:sz="0" w:space="0" w:color="auto"/>
        <w:right w:val="none" w:sz="0" w:space="0" w:color="auto"/>
      </w:divBdr>
    </w:div>
    <w:div w:id="203176548">
      <w:bodyDiv w:val="1"/>
      <w:marLeft w:val="0"/>
      <w:marRight w:val="0"/>
      <w:marTop w:val="0"/>
      <w:marBottom w:val="0"/>
      <w:divBdr>
        <w:top w:val="none" w:sz="0" w:space="0" w:color="auto"/>
        <w:left w:val="none" w:sz="0" w:space="0" w:color="auto"/>
        <w:bottom w:val="none" w:sz="0" w:space="0" w:color="auto"/>
        <w:right w:val="none" w:sz="0" w:space="0" w:color="auto"/>
      </w:divBdr>
    </w:div>
    <w:div w:id="204611357">
      <w:bodyDiv w:val="1"/>
      <w:marLeft w:val="0"/>
      <w:marRight w:val="0"/>
      <w:marTop w:val="0"/>
      <w:marBottom w:val="0"/>
      <w:divBdr>
        <w:top w:val="none" w:sz="0" w:space="0" w:color="auto"/>
        <w:left w:val="none" w:sz="0" w:space="0" w:color="auto"/>
        <w:bottom w:val="none" w:sz="0" w:space="0" w:color="auto"/>
        <w:right w:val="none" w:sz="0" w:space="0" w:color="auto"/>
      </w:divBdr>
    </w:div>
    <w:div w:id="205916548">
      <w:bodyDiv w:val="1"/>
      <w:marLeft w:val="0"/>
      <w:marRight w:val="0"/>
      <w:marTop w:val="0"/>
      <w:marBottom w:val="0"/>
      <w:divBdr>
        <w:top w:val="none" w:sz="0" w:space="0" w:color="auto"/>
        <w:left w:val="none" w:sz="0" w:space="0" w:color="auto"/>
        <w:bottom w:val="none" w:sz="0" w:space="0" w:color="auto"/>
        <w:right w:val="none" w:sz="0" w:space="0" w:color="auto"/>
      </w:divBdr>
    </w:div>
    <w:div w:id="208346745">
      <w:bodyDiv w:val="1"/>
      <w:marLeft w:val="0"/>
      <w:marRight w:val="0"/>
      <w:marTop w:val="0"/>
      <w:marBottom w:val="0"/>
      <w:divBdr>
        <w:top w:val="none" w:sz="0" w:space="0" w:color="auto"/>
        <w:left w:val="none" w:sz="0" w:space="0" w:color="auto"/>
        <w:bottom w:val="none" w:sz="0" w:space="0" w:color="auto"/>
        <w:right w:val="none" w:sz="0" w:space="0" w:color="auto"/>
      </w:divBdr>
    </w:div>
    <w:div w:id="213854748">
      <w:bodyDiv w:val="1"/>
      <w:marLeft w:val="0"/>
      <w:marRight w:val="0"/>
      <w:marTop w:val="0"/>
      <w:marBottom w:val="0"/>
      <w:divBdr>
        <w:top w:val="none" w:sz="0" w:space="0" w:color="auto"/>
        <w:left w:val="none" w:sz="0" w:space="0" w:color="auto"/>
        <w:bottom w:val="none" w:sz="0" w:space="0" w:color="auto"/>
        <w:right w:val="none" w:sz="0" w:space="0" w:color="auto"/>
      </w:divBdr>
    </w:div>
    <w:div w:id="215236890">
      <w:bodyDiv w:val="1"/>
      <w:marLeft w:val="0"/>
      <w:marRight w:val="0"/>
      <w:marTop w:val="0"/>
      <w:marBottom w:val="0"/>
      <w:divBdr>
        <w:top w:val="none" w:sz="0" w:space="0" w:color="auto"/>
        <w:left w:val="none" w:sz="0" w:space="0" w:color="auto"/>
        <w:bottom w:val="none" w:sz="0" w:space="0" w:color="auto"/>
        <w:right w:val="none" w:sz="0" w:space="0" w:color="auto"/>
      </w:divBdr>
    </w:div>
    <w:div w:id="219025410">
      <w:bodyDiv w:val="1"/>
      <w:marLeft w:val="0"/>
      <w:marRight w:val="0"/>
      <w:marTop w:val="0"/>
      <w:marBottom w:val="0"/>
      <w:divBdr>
        <w:top w:val="none" w:sz="0" w:space="0" w:color="auto"/>
        <w:left w:val="none" w:sz="0" w:space="0" w:color="auto"/>
        <w:bottom w:val="none" w:sz="0" w:space="0" w:color="auto"/>
        <w:right w:val="none" w:sz="0" w:space="0" w:color="auto"/>
      </w:divBdr>
    </w:div>
    <w:div w:id="222062277">
      <w:bodyDiv w:val="1"/>
      <w:marLeft w:val="0"/>
      <w:marRight w:val="0"/>
      <w:marTop w:val="0"/>
      <w:marBottom w:val="0"/>
      <w:divBdr>
        <w:top w:val="none" w:sz="0" w:space="0" w:color="auto"/>
        <w:left w:val="none" w:sz="0" w:space="0" w:color="auto"/>
        <w:bottom w:val="none" w:sz="0" w:space="0" w:color="auto"/>
        <w:right w:val="none" w:sz="0" w:space="0" w:color="auto"/>
      </w:divBdr>
    </w:div>
    <w:div w:id="228152624">
      <w:bodyDiv w:val="1"/>
      <w:marLeft w:val="0"/>
      <w:marRight w:val="0"/>
      <w:marTop w:val="0"/>
      <w:marBottom w:val="0"/>
      <w:divBdr>
        <w:top w:val="none" w:sz="0" w:space="0" w:color="auto"/>
        <w:left w:val="none" w:sz="0" w:space="0" w:color="auto"/>
        <w:bottom w:val="none" w:sz="0" w:space="0" w:color="auto"/>
        <w:right w:val="none" w:sz="0" w:space="0" w:color="auto"/>
      </w:divBdr>
    </w:div>
    <w:div w:id="235478322">
      <w:bodyDiv w:val="1"/>
      <w:marLeft w:val="0"/>
      <w:marRight w:val="0"/>
      <w:marTop w:val="0"/>
      <w:marBottom w:val="0"/>
      <w:divBdr>
        <w:top w:val="none" w:sz="0" w:space="0" w:color="auto"/>
        <w:left w:val="none" w:sz="0" w:space="0" w:color="auto"/>
        <w:bottom w:val="none" w:sz="0" w:space="0" w:color="auto"/>
        <w:right w:val="none" w:sz="0" w:space="0" w:color="auto"/>
      </w:divBdr>
    </w:div>
    <w:div w:id="235634045">
      <w:bodyDiv w:val="1"/>
      <w:marLeft w:val="0"/>
      <w:marRight w:val="0"/>
      <w:marTop w:val="0"/>
      <w:marBottom w:val="0"/>
      <w:divBdr>
        <w:top w:val="none" w:sz="0" w:space="0" w:color="auto"/>
        <w:left w:val="none" w:sz="0" w:space="0" w:color="auto"/>
        <w:bottom w:val="none" w:sz="0" w:space="0" w:color="auto"/>
        <w:right w:val="none" w:sz="0" w:space="0" w:color="auto"/>
      </w:divBdr>
    </w:div>
    <w:div w:id="236401916">
      <w:bodyDiv w:val="1"/>
      <w:marLeft w:val="0"/>
      <w:marRight w:val="0"/>
      <w:marTop w:val="0"/>
      <w:marBottom w:val="0"/>
      <w:divBdr>
        <w:top w:val="none" w:sz="0" w:space="0" w:color="auto"/>
        <w:left w:val="none" w:sz="0" w:space="0" w:color="auto"/>
        <w:bottom w:val="none" w:sz="0" w:space="0" w:color="auto"/>
        <w:right w:val="none" w:sz="0" w:space="0" w:color="auto"/>
      </w:divBdr>
    </w:div>
    <w:div w:id="244800968">
      <w:bodyDiv w:val="1"/>
      <w:marLeft w:val="0"/>
      <w:marRight w:val="0"/>
      <w:marTop w:val="0"/>
      <w:marBottom w:val="0"/>
      <w:divBdr>
        <w:top w:val="none" w:sz="0" w:space="0" w:color="auto"/>
        <w:left w:val="none" w:sz="0" w:space="0" w:color="auto"/>
        <w:bottom w:val="none" w:sz="0" w:space="0" w:color="auto"/>
        <w:right w:val="none" w:sz="0" w:space="0" w:color="auto"/>
      </w:divBdr>
    </w:div>
    <w:div w:id="246039054">
      <w:bodyDiv w:val="1"/>
      <w:marLeft w:val="0"/>
      <w:marRight w:val="0"/>
      <w:marTop w:val="0"/>
      <w:marBottom w:val="0"/>
      <w:divBdr>
        <w:top w:val="none" w:sz="0" w:space="0" w:color="auto"/>
        <w:left w:val="none" w:sz="0" w:space="0" w:color="auto"/>
        <w:bottom w:val="none" w:sz="0" w:space="0" w:color="auto"/>
        <w:right w:val="none" w:sz="0" w:space="0" w:color="auto"/>
      </w:divBdr>
      <w:divsChild>
        <w:div w:id="1697729959">
          <w:marLeft w:val="0"/>
          <w:marRight w:val="0"/>
          <w:marTop w:val="0"/>
          <w:marBottom w:val="0"/>
          <w:divBdr>
            <w:top w:val="none" w:sz="0" w:space="0" w:color="auto"/>
            <w:left w:val="none" w:sz="0" w:space="0" w:color="auto"/>
            <w:bottom w:val="none" w:sz="0" w:space="0" w:color="auto"/>
            <w:right w:val="none" w:sz="0" w:space="0" w:color="auto"/>
          </w:divBdr>
        </w:div>
        <w:div w:id="434525100">
          <w:marLeft w:val="0"/>
          <w:marRight w:val="0"/>
          <w:marTop w:val="0"/>
          <w:marBottom w:val="0"/>
          <w:divBdr>
            <w:top w:val="none" w:sz="0" w:space="0" w:color="auto"/>
            <w:left w:val="none" w:sz="0" w:space="0" w:color="auto"/>
            <w:bottom w:val="none" w:sz="0" w:space="0" w:color="auto"/>
            <w:right w:val="none" w:sz="0" w:space="0" w:color="auto"/>
          </w:divBdr>
        </w:div>
        <w:div w:id="522402360">
          <w:marLeft w:val="0"/>
          <w:marRight w:val="0"/>
          <w:marTop w:val="0"/>
          <w:marBottom w:val="0"/>
          <w:divBdr>
            <w:top w:val="none" w:sz="0" w:space="0" w:color="auto"/>
            <w:left w:val="none" w:sz="0" w:space="0" w:color="auto"/>
            <w:bottom w:val="none" w:sz="0" w:space="0" w:color="auto"/>
            <w:right w:val="none" w:sz="0" w:space="0" w:color="auto"/>
          </w:divBdr>
        </w:div>
      </w:divsChild>
    </w:div>
    <w:div w:id="251473888">
      <w:bodyDiv w:val="1"/>
      <w:marLeft w:val="0"/>
      <w:marRight w:val="0"/>
      <w:marTop w:val="0"/>
      <w:marBottom w:val="0"/>
      <w:divBdr>
        <w:top w:val="none" w:sz="0" w:space="0" w:color="auto"/>
        <w:left w:val="none" w:sz="0" w:space="0" w:color="auto"/>
        <w:bottom w:val="none" w:sz="0" w:space="0" w:color="auto"/>
        <w:right w:val="none" w:sz="0" w:space="0" w:color="auto"/>
      </w:divBdr>
    </w:div>
    <w:div w:id="254095549">
      <w:bodyDiv w:val="1"/>
      <w:marLeft w:val="0"/>
      <w:marRight w:val="0"/>
      <w:marTop w:val="0"/>
      <w:marBottom w:val="0"/>
      <w:divBdr>
        <w:top w:val="none" w:sz="0" w:space="0" w:color="auto"/>
        <w:left w:val="none" w:sz="0" w:space="0" w:color="auto"/>
        <w:bottom w:val="none" w:sz="0" w:space="0" w:color="auto"/>
        <w:right w:val="none" w:sz="0" w:space="0" w:color="auto"/>
      </w:divBdr>
    </w:div>
    <w:div w:id="255984266">
      <w:bodyDiv w:val="1"/>
      <w:marLeft w:val="0"/>
      <w:marRight w:val="0"/>
      <w:marTop w:val="0"/>
      <w:marBottom w:val="0"/>
      <w:divBdr>
        <w:top w:val="none" w:sz="0" w:space="0" w:color="auto"/>
        <w:left w:val="none" w:sz="0" w:space="0" w:color="auto"/>
        <w:bottom w:val="none" w:sz="0" w:space="0" w:color="auto"/>
        <w:right w:val="none" w:sz="0" w:space="0" w:color="auto"/>
      </w:divBdr>
    </w:div>
    <w:div w:id="257756056">
      <w:bodyDiv w:val="1"/>
      <w:marLeft w:val="0"/>
      <w:marRight w:val="0"/>
      <w:marTop w:val="0"/>
      <w:marBottom w:val="0"/>
      <w:divBdr>
        <w:top w:val="none" w:sz="0" w:space="0" w:color="auto"/>
        <w:left w:val="none" w:sz="0" w:space="0" w:color="auto"/>
        <w:bottom w:val="none" w:sz="0" w:space="0" w:color="auto"/>
        <w:right w:val="none" w:sz="0" w:space="0" w:color="auto"/>
      </w:divBdr>
    </w:div>
    <w:div w:id="258609276">
      <w:bodyDiv w:val="1"/>
      <w:marLeft w:val="0"/>
      <w:marRight w:val="0"/>
      <w:marTop w:val="0"/>
      <w:marBottom w:val="0"/>
      <w:divBdr>
        <w:top w:val="none" w:sz="0" w:space="0" w:color="auto"/>
        <w:left w:val="none" w:sz="0" w:space="0" w:color="auto"/>
        <w:bottom w:val="none" w:sz="0" w:space="0" w:color="auto"/>
        <w:right w:val="none" w:sz="0" w:space="0" w:color="auto"/>
      </w:divBdr>
    </w:div>
    <w:div w:id="260528594">
      <w:bodyDiv w:val="1"/>
      <w:marLeft w:val="0"/>
      <w:marRight w:val="0"/>
      <w:marTop w:val="0"/>
      <w:marBottom w:val="0"/>
      <w:divBdr>
        <w:top w:val="none" w:sz="0" w:space="0" w:color="auto"/>
        <w:left w:val="none" w:sz="0" w:space="0" w:color="auto"/>
        <w:bottom w:val="none" w:sz="0" w:space="0" w:color="auto"/>
        <w:right w:val="none" w:sz="0" w:space="0" w:color="auto"/>
      </w:divBdr>
    </w:div>
    <w:div w:id="263807950">
      <w:bodyDiv w:val="1"/>
      <w:marLeft w:val="0"/>
      <w:marRight w:val="0"/>
      <w:marTop w:val="0"/>
      <w:marBottom w:val="0"/>
      <w:divBdr>
        <w:top w:val="none" w:sz="0" w:space="0" w:color="auto"/>
        <w:left w:val="none" w:sz="0" w:space="0" w:color="auto"/>
        <w:bottom w:val="none" w:sz="0" w:space="0" w:color="auto"/>
        <w:right w:val="none" w:sz="0" w:space="0" w:color="auto"/>
      </w:divBdr>
    </w:div>
    <w:div w:id="264581984">
      <w:bodyDiv w:val="1"/>
      <w:marLeft w:val="0"/>
      <w:marRight w:val="0"/>
      <w:marTop w:val="0"/>
      <w:marBottom w:val="0"/>
      <w:divBdr>
        <w:top w:val="none" w:sz="0" w:space="0" w:color="auto"/>
        <w:left w:val="none" w:sz="0" w:space="0" w:color="auto"/>
        <w:bottom w:val="none" w:sz="0" w:space="0" w:color="auto"/>
        <w:right w:val="none" w:sz="0" w:space="0" w:color="auto"/>
      </w:divBdr>
    </w:div>
    <w:div w:id="273446456">
      <w:bodyDiv w:val="1"/>
      <w:marLeft w:val="0"/>
      <w:marRight w:val="0"/>
      <w:marTop w:val="0"/>
      <w:marBottom w:val="0"/>
      <w:divBdr>
        <w:top w:val="none" w:sz="0" w:space="0" w:color="auto"/>
        <w:left w:val="none" w:sz="0" w:space="0" w:color="auto"/>
        <w:bottom w:val="none" w:sz="0" w:space="0" w:color="auto"/>
        <w:right w:val="none" w:sz="0" w:space="0" w:color="auto"/>
      </w:divBdr>
    </w:div>
    <w:div w:id="275673347">
      <w:bodyDiv w:val="1"/>
      <w:marLeft w:val="0"/>
      <w:marRight w:val="0"/>
      <w:marTop w:val="0"/>
      <w:marBottom w:val="0"/>
      <w:divBdr>
        <w:top w:val="none" w:sz="0" w:space="0" w:color="auto"/>
        <w:left w:val="none" w:sz="0" w:space="0" w:color="auto"/>
        <w:bottom w:val="none" w:sz="0" w:space="0" w:color="auto"/>
        <w:right w:val="none" w:sz="0" w:space="0" w:color="auto"/>
      </w:divBdr>
    </w:div>
    <w:div w:id="276105818">
      <w:bodyDiv w:val="1"/>
      <w:marLeft w:val="0"/>
      <w:marRight w:val="0"/>
      <w:marTop w:val="0"/>
      <w:marBottom w:val="0"/>
      <w:divBdr>
        <w:top w:val="none" w:sz="0" w:space="0" w:color="auto"/>
        <w:left w:val="none" w:sz="0" w:space="0" w:color="auto"/>
        <w:bottom w:val="none" w:sz="0" w:space="0" w:color="auto"/>
        <w:right w:val="none" w:sz="0" w:space="0" w:color="auto"/>
      </w:divBdr>
    </w:div>
    <w:div w:id="292516819">
      <w:bodyDiv w:val="1"/>
      <w:marLeft w:val="0"/>
      <w:marRight w:val="0"/>
      <w:marTop w:val="0"/>
      <w:marBottom w:val="0"/>
      <w:divBdr>
        <w:top w:val="none" w:sz="0" w:space="0" w:color="auto"/>
        <w:left w:val="none" w:sz="0" w:space="0" w:color="auto"/>
        <w:bottom w:val="none" w:sz="0" w:space="0" w:color="auto"/>
        <w:right w:val="none" w:sz="0" w:space="0" w:color="auto"/>
      </w:divBdr>
    </w:div>
    <w:div w:id="297345690">
      <w:bodyDiv w:val="1"/>
      <w:marLeft w:val="0"/>
      <w:marRight w:val="0"/>
      <w:marTop w:val="0"/>
      <w:marBottom w:val="0"/>
      <w:divBdr>
        <w:top w:val="none" w:sz="0" w:space="0" w:color="auto"/>
        <w:left w:val="none" w:sz="0" w:space="0" w:color="auto"/>
        <w:bottom w:val="none" w:sz="0" w:space="0" w:color="auto"/>
        <w:right w:val="none" w:sz="0" w:space="0" w:color="auto"/>
      </w:divBdr>
    </w:div>
    <w:div w:id="297347081">
      <w:bodyDiv w:val="1"/>
      <w:marLeft w:val="0"/>
      <w:marRight w:val="0"/>
      <w:marTop w:val="0"/>
      <w:marBottom w:val="0"/>
      <w:divBdr>
        <w:top w:val="none" w:sz="0" w:space="0" w:color="auto"/>
        <w:left w:val="none" w:sz="0" w:space="0" w:color="auto"/>
        <w:bottom w:val="none" w:sz="0" w:space="0" w:color="auto"/>
        <w:right w:val="none" w:sz="0" w:space="0" w:color="auto"/>
      </w:divBdr>
    </w:div>
    <w:div w:id="297537986">
      <w:bodyDiv w:val="1"/>
      <w:marLeft w:val="0"/>
      <w:marRight w:val="0"/>
      <w:marTop w:val="0"/>
      <w:marBottom w:val="0"/>
      <w:divBdr>
        <w:top w:val="none" w:sz="0" w:space="0" w:color="auto"/>
        <w:left w:val="none" w:sz="0" w:space="0" w:color="auto"/>
        <w:bottom w:val="none" w:sz="0" w:space="0" w:color="auto"/>
        <w:right w:val="none" w:sz="0" w:space="0" w:color="auto"/>
      </w:divBdr>
    </w:div>
    <w:div w:id="303236719">
      <w:bodyDiv w:val="1"/>
      <w:marLeft w:val="0"/>
      <w:marRight w:val="0"/>
      <w:marTop w:val="0"/>
      <w:marBottom w:val="0"/>
      <w:divBdr>
        <w:top w:val="none" w:sz="0" w:space="0" w:color="auto"/>
        <w:left w:val="none" w:sz="0" w:space="0" w:color="auto"/>
        <w:bottom w:val="none" w:sz="0" w:space="0" w:color="auto"/>
        <w:right w:val="none" w:sz="0" w:space="0" w:color="auto"/>
      </w:divBdr>
    </w:div>
    <w:div w:id="306786704">
      <w:bodyDiv w:val="1"/>
      <w:marLeft w:val="0"/>
      <w:marRight w:val="0"/>
      <w:marTop w:val="0"/>
      <w:marBottom w:val="0"/>
      <w:divBdr>
        <w:top w:val="none" w:sz="0" w:space="0" w:color="auto"/>
        <w:left w:val="none" w:sz="0" w:space="0" w:color="auto"/>
        <w:bottom w:val="none" w:sz="0" w:space="0" w:color="auto"/>
        <w:right w:val="none" w:sz="0" w:space="0" w:color="auto"/>
      </w:divBdr>
    </w:div>
    <w:div w:id="318534765">
      <w:bodyDiv w:val="1"/>
      <w:marLeft w:val="0"/>
      <w:marRight w:val="0"/>
      <w:marTop w:val="0"/>
      <w:marBottom w:val="0"/>
      <w:divBdr>
        <w:top w:val="none" w:sz="0" w:space="0" w:color="auto"/>
        <w:left w:val="none" w:sz="0" w:space="0" w:color="auto"/>
        <w:bottom w:val="none" w:sz="0" w:space="0" w:color="auto"/>
        <w:right w:val="none" w:sz="0" w:space="0" w:color="auto"/>
      </w:divBdr>
    </w:div>
    <w:div w:id="319963177">
      <w:bodyDiv w:val="1"/>
      <w:marLeft w:val="0"/>
      <w:marRight w:val="0"/>
      <w:marTop w:val="0"/>
      <w:marBottom w:val="0"/>
      <w:divBdr>
        <w:top w:val="none" w:sz="0" w:space="0" w:color="auto"/>
        <w:left w:val="none" w:sz="0" w:space="0" w:color="auto"/>
        <w:bottom w:val="none" w:sz="0" w:space="0" w:color="auto"/>
        <w:right w:val="none" w:sz="0" w:space="0" w:color="auto"/>
      </w:divBdr>
    </w:div>
    <w:div w:id="320236481">
      <w:bodyDiv w:val="1"/>
      <w:marLeft w:val="0"/>
      <w:marRight w:val="0"/>
      <w:marTop w:val="0"/>
      <w:marBottom w:val="0"/>
      <w:divBdr>
        <w:top w:val="none" w:sz="0" w:space="0" w:color="auto"/>
        <w:left w:val="none" w:sz="0" w:space="0" w:color="auto"/>
        <w:bottom w:val="none" w:sz="0" w:space="0" w:color="auto"/>
        <w:right w:val="none" w:sz="0" w:space="0" w:color="auto"/>
      </w:divBdr>
    </w:div>
    <w:div w:id="320502770">
      <w:bodyDiv w:val="1"/>
      <w:marLeft w:val="0"/>
      <w:marRight w:val="0"/>
      <w:marTop w:val="0"/>
      <w:marBottom w:val="0"/>
      <w:divBdr>
        <w:top w:val="none" w:sz="0" w:space="0" w:color="auto"/>
        <w:left w:val="none" w:sz="0" w:space="0" w:color="auto"/>
        <w:bottom w:val="none" w:sz="0" w:space="0" w:color="auto"/>
        <w:right w:val="none" w:sz="0" w:space="0" w:color="auto"/>
      </w:divBdr>
    </w:div>
    <w:div w:id="321667567">
      <w:bodyDiv w:val="1"/>
      <w:marLeft w:val="0"/>
      <w:marRight w:val="0"/>
      <w:marTop w:val="0"/>
      <w:marBottom w:val="0"/>
      <w:divBdr>
        <w:top w:val="none" w:sz="0" w:space="0" w:color="auto"/>
        <w:left w:val="none" w:sz="0" w:space="0" w:color="auto"/>
        <w:bottom w:val="none" w:sz="0" w:space="0" w:color="auto"/>
        <w:right w:val="none" w:sz="0" w:space="0" w:color="auto"/>
      </w:divBdr>
    </w:div>
    <w:div w:id="326516826">
      <w:bodyDiv w:val="1"/>
      <w:marLeft w:val="0"/>
      <w:marRight w:val="0"/>
      <w:marTop w:val="0"/>
      <w:marBottom w:val="0"/>
      <w:divBdr>
        <w:top w:val="none" w:sz="0" w:space="0" w:color="auto"/>
        <w:left w:val="none" w:sz="0" w:space="0" w:color="auto"/>
        <w:bottom w:val="none" w:sz="0" w:space="0" w:color="auto"/>
        <w:right w:val="none" w:sz="0" w:space="0" w:color="auto"/>
      </w:divBdr>
    </w:div>
    <w:div w:id="330185517">
      <w:bodyDiv w:val="1"/>
      <w:marLeft w:val="0"/>
      <w:marRight w:val="0"/>
      <w:marTop w:val="0"/>
      <w:marBottom w:val="0"/>
      <w:divBdr>
        <w:top w:val="none" w:sz="0" w:space="0" w:color="auto"/>
        <w:left w:val="none" w:sz="0" w:space="0" w:color="auto"/>
        <w:bottom w:val="none" w:sz="0" w:space="0" w:color="auto"/>
        <w:right w:val="none" w:sz="0" w:space="0" w:color="auto"/>
      </w:divBdr>
    </w:div>
    <w:div w:id="333267574">
      <w:bodyDiv w:val="1"/>
      <w:marLeft w:val="0"/>
      <w:marRight w:val="0"/>
      <w:marTop w:val="0"/>
      <w:marBottom w:val="0"/>
      <w:divBdr>
        <w:top w:val="none" w:sz="0" w:space="0" w:color="auto"/>
        <w:left w:val="none" w:sz="0" w:space="0" w:color="auto"/>
        <w:bottom w:val="none" w:sz="0" w:space="0" w:color="auto"/>
        <w:right w:val="none" w:sz="0" w:space="0" w:color="auto"/>
      </w:divBdr>
    </w:div>
    <w:div w:id="336882895">
      <w:bodyDiv w:val="1"/>
      <w:marLeft w:val="0"/>
      <w:marRight w:val="0"/>
      <w:marTop w:val="0"/>
      <w:marBottom w:val="0"/>
      <w:divBdr>
        <w:top w:val="none" w:sz="0" w:space="0" w:color="auto"/>
        <w:left w:val="none" w:sz="0" w:space="0" w:color="auto"/>
        <w:bottom w:val="none" w:sz="0" w:space="0" w:color="auto"/>
        <w:right w:val="none" w:sz="0" w:space="0" w:color="auto"/>
      </w:divBdr>
    </w:div>
    <w:div w:id="337731936">
      <w:bodyDiv w:val="1"/>
      <w:marLeft w:val="0"/>
      <w:marRight w:val="0"/>
      <w:marTop w:val="0"/>
      <w:marBottom w:val="0"/>
      <w:divBdr>
        <w:top w:val="none" w:sz="0" w:space="0" w:color="auto"/>
        <w:left w:val="none" w:sz="0" w:space="0" w:color="auto"/>
        <w:bottom w:val="none" w:sz="0" w:space="0" w:color="auto"/>
        <w:right w:val="none" w:sz="0" w:space="0" w:color="auto"/>
      </w:divBdr>
    </w:div>
    <w:div w:id="343439622">
      <w:bodyDiv w:val="1"/>
      <w:marLeft w:val="0"/>
      <w:marRight w:val="0"/>
      <w:marTop w:val="0"/>
      <w:marBottom w:val="0"/>
      <w:divBdr>
        <w:top w:val="none" w:sz="0" w:space="0" w:color="auto"/>
        <w:left w:val="none" w:sz="0" w:space="0" w:color="auto"/>
        <w:bottom w:val="none" w:sz="0" w:space="0" w:color="auto"/>
        <w:right w:val="none" w:sz="0" w:space="0" w:color="auto"/>
      </w:divBdr>
    </w:div>
    <w:div w:id="350766758">
      <w:bodyDiv w:val="1"/>
      <w:marLeft w:val="0"/>
      <w:marRight w:val="0"/>
      <w:marTop w:val="0"/>
      <w:marBottom w:val="0"/>
      <w:divBdr>
        <w:top w:val="none" w:sz="0" w:space="0" w:color="auto"/>
        <w:left w:val="none" w:sz="0" w:space="0" w:color="auto"/>
        <w:bottom w:val="none" w:sz="0" w:space="0" w:color="auto"/>
        <w:right w:val="none" w:sz="0" w:space="0" w:color="auto"/>
      </w:divBdr>
    </w:div>
    <w:div w:id="351421990">
      <w:bodyDiv w:val="1"/>
      <w:marLeft w:val="0"/>
      <w:marRight w:val="0"/>
      <w:marTop w:val="0"/>
      <w:marBottom w:val="0"/>
      <w:divBdr>
        <w:top w:val="none" w:sz="0" w:space="0" w:color="auto"/>
        <w:left w:val="none" w:sz="0" w:space="0" w:color="auto"/>
        <w:bottom w:val="none" w:sz="0" w:space="0" w:color="auto"/>
        <w:right w:val="none" w:sz="0" w:space="0" w:color="auto"/>
      </w:divBdr>
    </w:div>
    <w:div w:id="357464611">
      <w:bodyDiv w:val="1"/>
      <w:marLeft w:val="0"/>
      <w:marRight w:val="0"/>
      <w:marTop w:val="0"/>
      <w:marBottom w:val="0"/>
      <w:divBdr>
        <w:top w:val="none" w:sz="0" w:space="0" w:color="auto"/>
        <w:left w:val="none" w:sz="0" w:space="0" w:color="auto"/>
        <w:bottom w:val="none" w:sz="0" w:space="0" w:color="auto"/>
        <w:right w:val="none" w:sz="0" w:space="0" w:color="auto"/>
      </w:divBdr>
    </w:div>
    <w:div w:id="361367218">
      <w:bodyDiv w:val="1"/>
      <w:marLeft w:val="0"/>
      <w:marRight w:val="0"/>
      <w:marTop w:val="0"/>
      <w:marBottom w:val="0"/>
      <w:divBdr>
        <w:top w:val="none" w:sz="0" w:space="0" w:color="auto"/>
        <w:left w:val="none" w:sz="0" w:space="0" w:color="auto"/>
        <w:bottom w:val="none" w:sz="0" w:space="0" w:color="auto"/>
        <w:right w:val="none" w:sz="0" w:space="0" w:color="auto"/>
      </w:divBdr>
    </w:div>
    <w:div w:id="369305982">
      <w:bodyDiv w:val="1"/>
      <w:marLeft w:val="0"/>
      <w:marRight w:val="0"/>
      <w:marTop w:val="0"/>
      <w:marBottom w:val="0"/>
      <w:divBdr>
        <w:top w:val="none" w:sz="0" w:space="0" w:color="auto"/>
        <w:left w:val="none" w:sz="0" w:space="0" w:color="auto"/>
        <w:bottom w:val="none" w:sz="0" w:space="0" w:color="auto"/>
        <w:right w:val="none" w:sz="0" w:space="0" w:color="auto"/>
      </w:divBdr>
    </w:div>
    <w:div w:id="371000646">
      <w:bodyDiv w:val="1"/>
      <w:marLeft w:val="0"/>
      <w:marRight w:val="0"/>
      <w:marTop w:val="0"/>
      <w:marBottom w:val="0"/>
      <w:divBdr>
        <w:top w:val="none" w:sz="0" w:space="0" w:color="auto"/>
        <w:left w:val="none" w:sz="0" w:space="0" w:color="auto"/>
        <w:bottom w:val="none" w:sz="0" w:space="0" w:color="auto"/>
        <w:right w:val="none" w:sz="0" w:space="0" w:color="auto"/>
      </w:divBdr>
    </w:div>
    <w:div w:id="371659212">
      <w:bodyDiv w:val="1"/>
      <w:marLeft w:val="0"/>
      <w:marRight w:val="0"/>
      <w:marTop w:val="0"/>
      <w:marBottom w:val="0"/>
      <w:divBdr>
        <w:top w:val="none" w:sz="0" w:space="0" w:color="auto"/>
        <w:left w:val="none" w:sz="0" w:space="0" w:color="auto"/>
        <w:bottom w:val="none" w:sz="0" w:space="0" w:color="auto"/>
        <w:right w:val="none" w:sz="0" w:space="0" w:color="auto"/>
      </w:divBdr>
    </w:div>
    <w:div w:id="376708772">
      <w:bodyDiv w:val="1"/>
      <w:marLeft w:val="0"/>
      <w:marRight w:val="0"/>
      <w:marTop w:val="0"/>
      <w:marBottom w:val="0"/>
      <w:divBdr>
        <w:top w:val="none" w:sz="0" w:space="0" w:color="auto"/>
        <w:left w:val="none" w:sz="0" w:space="0" w:color="auto"/>
        <w:bottom w:val="none" w:sz="0" w:space="0" w:color="auto"/>
        <w:right w:val="none" w:sz="0" w:space="0" w:color="auto"/>
      </w:divBdr>
    </w:div>
    <w:div w:id="381828626">
      <w:bodyDiv w:val="1"/>
      <w:marLeft w:val="0"/>
      <w:marRight w:val="0"/>
      <w:marTop w:val="0"/>
      <w:marBottom w:val="0"/>
      <w:divBdr>
        <w:top w:val="none" w:sz="0" w:space="0" w:color="auto"/>
        <w:left w:val="none" w:sz="0" w:space="0" w:color="auto"/>
        <w:bottom w:val="none" w:sz="0" w:space="0" w:color="auto"/>
        <w:right w:val="none" w:sz="0" w:space="0" w:color="auto"/>
      </w:divBdr>
    </w:div>
    <w:div w:id="384767123">
      <w:bodyDiv w:val="1"/>
      <w:marLeft w:val="0"/>
      <w:marRight w:val="0"/>
      <w:marTop w:val="0"/>
      <w:marBottom w:val="0"/>
      <w:divBdr>
        <w:top w:val="none" w:sz="0" w:space="0" w:color="auto"/>
        <w:left w:val="none" w:sz="0" w:space="0" w:color="auto"/>
        <w:bottom w:val="none" w:sz="0" w:space="0" w:color="auto"/>
        <w:right w:val="none" w:sz="0" w:space="0" w:color="auto"/>
      </w:divBdr>
    </w:div>
    <w:div w:id="386956061">
      <w:bodyDiv w:val="1"/>
      <w:marLeft w:val="0"/>
      <w:marRight w:val="0"/>
      <w:marTop w:val="0"/>
      <w:marBottom w:val="0"/>
      <w:divBdr>
        <w:top w:val="none" w:sz="0" w:space="0" w:color="auto"/>
        <w:left w:val="none" w:sz="0" w:space="0" w:color="auto"/>
        <w:bottom w:val="none" w:sz="0" w:space="0" w:color="auto"/>
        <w:right w:val="none" w:sz="0" w:space="0" w:color="auto"/>
      </w:divBdr>
    </w:div>
    <w:div w:id="387799506">
      <w:bodyDiv w:val="1"/>
      <w:marLeft w:val="0"/>
      <w:marRight w:val="0"/>
      <w:marTop w:val="0"/>
      <w:marBottom w:val="0"/>
      <w:divBdr>
        <w:top w:val="none" w:sz="0" w:space="0" w:color="auto"/>
        <w:left w:val="none" w:sz="0" w:space="0" w:color="auto"/>
        <w:bottom w:val="none" w:sz="0" w:space="0" w:color="auto"/>
        <w:right w:val="none" w:sz="0" w:space="0" w:color="auto"/>
      </w:divBdr>
    </w:div>
    <w:div w:id="388768749">
      <w:bodyDiv w:val="1"/>
      <w:marLeft w:val="0"/>
      <w:marRight w:val="0"/>
      <w:marTop w:val="0"/>
      <w:marBottom w:val="0"/>
      <w:divBdr>
        <w:top w:val="none" w:sz="0" w:space="0" w:color="auto"/>
        <w:left w:val="none" w:sz="0" w:space="0" w:color="auto"/>
        <w:bottom w:val="none" w:sz="0" w:space="0" w:color="auto"/>
        <w:right w:val="none" w:sz="0" w:space="0" w:color="auto"/>
      </w:divBdr>
    </w:div>
    <w:div w:id="393436523">
      <w:bodyDiv w:val="1"/>
      <w:marLeft w:val="0"/>
      <w:marRight w:val="0"/>
      <w:marTop w:val="0"/>
      <w:marBottom w:val="0"/>
      <w:divBdr>
        <w:top w:val="none" w:sz="0" w:space="0" w:color="auto"/>
        <w:left w:val="none" w:sz="0" w:space="0" w:color="auto"/>
        <w:bottom w:val="none" w:sz="0" w:space="0" w:color="auto"/>
        <w:right w:val="none" w:sz="0" w:space="0" w:color="auto"/>
      </w:divBdr>
    </w:div>
    <w:div w:id="402068468">
      <w:bodyDiv w:val="1"/>
      <w:marLeft w:val="0"/>
      <w:marRight w:val="0"/>
      <w:marTop w:val="0"/>
      <w:marBottom w:val="0"/>
      <w:divBdr>
        <w:top w:val="none" w:sz="0" w:space="0" w:color="auto"/>
        <w:left w:val="none" w:sz="0" w:space="0" w:color="auto"/>
        <w:bottom w:val="none" w:sz="0" w:space="0" w:color="auto"/>
        <w:right w:val="none" w:sz="0" w:space="0" w:color="auto"/>
      </w:divBdr>
    </w:div>
    <w:div w:id="402486652">
      <w:bodyDiv w:val="1"/>
      <w:marLeft w:val="0"/>
      <w:marRight w:val="0"/>
      <w:marTop w:val="0"/>
      <w:marBottom w:val="0"/>
      <w:divBdr>
        <w:top w:val="none" w:sz="0" w:space="0" w:color="auto"/>
        <w:left w:val="none" w:sz="0" w:space="0" w:color="auto"/>
        <w:bottom w:val="none" w:sz="0" w:space="0" w:color="auto"/>
        <w:right w:val="none" w:sz="0" w:space="0" w:color="auto"/>
      </w:divBdr>
    </w:div>
    <w:div w:id="403184666">
      <w:bodyDiv w:val="1"/>
      <w:marLeft w:val="0"/>
      <w:marRight w:val="0"/>
      <w:marTop w:val="0"/>
      <w:marBottom w:val="0"/>
      <w:divBdr>
        <w:top w:val="none" w:sz="0" w:space="0" w:color="auto"/>
        <w:left w:val="none" w:sz="0" w:space="0" w:color="auto"/>
        <w:bottom w:val="none" w:sz="0" w:space="0" w:color="auto"/>
        <w:right w:val="none" w:sz="0" w:space="0" w:color="auto"/>
      </w:divBdr>
    </w:div>
    <w:div w:id="405104204">
      <w:bodyDiv w:val="1"/>
      <w:marLeft w:val="0"/>
      <w:marRight w:val="0"/>
      <w:marTop w:val="0"/>
      <w:marBottom w:val="0"/>
      <w:divBdr>
        <w:top w:val="none" w:sz="0" w:space="0" w:color="auto"/>
        <w:left w:val="none" w:sz="0" w:space="0" w:color="auto"/>
        <w:bottom w:val="none" w:sz="0" w:space="0" w:color="auto"/>
        <w:right w:val="none" w:sz="0" w:space="0" w:color="auto"/>
      </w:divBdr>
    </w:div>
    <w:div w:id="410195746">
      <w:bodyDiv w:val="1"/>
      <w:marLeft w:val="0"/>
      <w:marRight w:val="0"/>
      <w:marTop w:val="0"/>
      <w:marBottom w:val="0"/>
      <w:divBdr>
        <w:top w:val="none" w:sz="0" w:space="0" w:color="auto"/>
        <w:left w:val="none" w:sz="0" w:space="0" w:color="auto"/>
        <w:bottom w:val="none" w:sz="0" w:space="0" w:color="auto"/>
        <w:right w:val="none" w:sz="0" w:space="0" w:color="auto"/>
      </w:divBdr>
    </w:div>
    <w:div w:id="412623597">
      <w:bodyDiv w:val="1"/>
      <w:marLeft w:val="0"/>
      <w:marRight w:val="0"/>
      <w:marTop w:val="0"/>
      <w:marBottom w:val="0"/>
      <w:divBdr>
        <w:top w:val="none" w:sz="0" w:space="0" w:color="auto"/>
        <w:left w:val="none" w:sz="0" w:space="0" w:color="auto"/>
        <w:bottom w:val="none" w:sz="0" w:space="0" w:color="auto"/>
        <w:right w:val="none" w:sz="0" w:space="0" w:color="auto"/>
      </w:divBdr>
    </w:div>
    <w:div w:id="414866025">
      <w:bodyDiv w:val="1"/>
      <w:marLeft w:val="0"/>
      <w:marRight w:val="0"/>
      <w:marTop w:val="0"/>
      <w:marBottom w:val="0"/>
      <w:divBdr>
        <w:top w:val="none" w:sz="0" w:space="0" w:color="auto"/>
        <w:left w:val="none" w:sz="0" w:space="0" w:color="auto"/>
        <w:bottom w:val="none" w:sz="0" w:space="0" w:color="auto"/>
        <w:right w:val="none" w:sz="0" w:space="0" w:color="auto"/>
      </w:divBdr>
    </w:div>
    <w:div w:id="420831516">
      <w:bodyDiv w:val="1"/>
      <w:marLeft w:val="0"/>
      <w:marRight w:val="0"/>
      <w:marTop w:val="0"/>
      <w:marBottom w:val="0"/>
      <w:divBdr>
        <w:top w:val="none" w:sz="0" w:space="0" w:color="auto"/>
        <w:left w:val="none" w:sz="0" w:space="0" w:color="auto"/>
        <w:bottom w:val="none" w:sz="0" w:space="0" w:color="auto"/>
        <w:right w:val="none" w:sz="0" w:space="0" w:color="auto"/>
      </w:divBdr>
    </w:div>
    <w:div w:id="423720558">
      <w:bodyDiv w:val="1"/>
      <w:marLeft w:val="0"/>
      <w:marRight w:val="0"/>
      <w:marTop w:val="0"/>
      <w:marBottom w:val="0"/>
      <w:divBdr>
        <w:top w:val="none" w:sz="0" w:space="0" w:color="auto"/>
        <w:left w:val="none" w:sz="0" w:space="0" w:color="auto"/>
        <w:bottom w:val="none" w:sz="0" w:space="0" w:color="auto"/>
        <w:right w:val="none" w:sz="0" w:space="0" w:color="auto"/>
      </w:divBdr>
    </w:div>
    <w:div w:id="423917418">
      <w:bodyDiv w:val="1"/>
      <w:marLeft w:val="0"/>
      <w:marRight w:val="0"/>
      <w:marTop w:val="0"/>
      <w:marBottom w:val="0"/>
      <w:divBdr>
        <w:top w:val="none" w:sz="0" w:space="0" w:color="auto"/>
        <w:left w:val="none" w:sz="0" w:space="0" w:color="auto"/>
        <w:bottom w:val="none" w:sz="0" w:space="0" w:color="auto"/>
        <w:right w:val="none" w:sz="0" w:space="0" w:color="auto"/>
      </w:divBdr>
    </w:div>
    <w:div w:id="427118448">
      <w:bodyDiv w:val="1"/>
      <w:marLeft w:val="0"/>
      <w:marRight w:val="0"/>
      <w:marTop w:val="0"/>
      <w:marBottom w:val="0"/>
      <w:divBdr>
        <w:top w:val="none" w:sz="0" w:space="0" w:color="auto"/>
        <w:left w:val="none" w:sz="0" w:space="0" w:color="auto"/>
        <w:bottom w:val="none" w:sz="0" w:space="0" w:color="auto"/>
        <w:right w:val="none" w:sz="0" w:space="0" w:color="auto"/>
      </w:divBdr>
    </w:div>
    <w:div w:id="428358963">
      <w:bodyDiv w:val="1"/>
      <w:marLeft w:val="0"/>
      <w:marRight w:val="0"/>
      <w:marTop w:val="0"/>
      <w:marBottom w:val="0"/>
      <w:divBdr>
        <w:top w:val="none" w:sz="0" w:space="0" w:color="auto"/>
        <w:left w:val="none" w:sz="0" w:space="0" w:color="auto"/>
        <w:bottom w:val="none" w:sz="0" w:space="0" w:color="auto"/>
        <w:right w:val="none" w:sz="0" w:space="0" w:color="auto"/>
      </w:divBdr>
    </w:div>
    <w:div w:id="433667364">
      <w:bodyDiv w:val="1"/>
      <w:marLeft w:val="0"/>
      <w:marRight w:val="0"/>
      <w:marTop w:val="0"/>
      <w:marBottom w:val="0"/>
      <w:divBdr>
        <w:top w:val="none" w:sz="0" w:space="0" w:color="auto"/>
        <w:left w:val="none" w:sz="0" w:space="0" w:color="auto"/>
        <w:bottom w:val="none" w:sz="0" w:space="0" w:color="auto"/>
        <w:right w:val="none" w:sz="0" w:space="0" w:color="auto"/>
      </w:divBdr>
    </w:div>
    <w:div w:id="438069475">
      <w:bodyDiv w:val="1"/>
      <w:marLeft w:val="0"/>
      <w:marRight w:val="0"/>
      <w:marTop w:val="0"/>
      <w:marBottom w:val="0"/>
      <w:divBdr>
        <w:top w:val="none" w:sz="0" w:space="0" w:color="auto"/>
        <w:left w:val="none" w:sz="0" w:space="0" w:color="auto"/>
        <w:bottom w:val="none" w:sz="0" w:space="0" w:color="auto"/>
        <w:right w:val="none" w:sz="0" w:space="0" w:color="auto"/>
      </w:divBdr>
    </w:div>
    <w:div w:id="438140600">
      <w:bodyDiv w:val="1"/>
      <w:marLeft w:val="0"/>
      <w:marRight w:val="0"/>
      <w:marTop w:val="0"/>
      <w:marBottom w:val="0"/>
      <w:divBdr>
        <w:top w:val="none" w:sz="0" w:space="0" w:color="auto"/>
        <w:left w:val="none" w:sz="0" w:space="0" w:color="auto"/>
        <w:bottom w:val="none" w:sz="0" w:space="0" w:color="auto"/>
        <w:right w:val="none" w:sz="0" w:space="0" w:color="auto"/>
      </w:divBdr>
    </w:div>
    <w:div w:id="441800705">
      <w:bodyDiv w:val="1"/>
      <w:marLeft w:val="0"/>
      <w:marRight w:val="0"/>
      <w:marTop w:val="0"/>
      <w:marBottom w:val="0"/>
      <w:divBdr>
        <w:top w:val="none" w:sz="0" w:space="0" w:color="auto"/>
        <w:left w:val="none" w:sz="0" w:space="0" w:color="auto"/>
        <w:bottom w:val="none" w:sz="0" w:space="0" w:color="auto"/>
        <w:right w:val="none" w:sz="0" w:space="0" w:color="auto"/>
      </w:divBdr>
    </w:div>
    <w:div w:id="442962677">
      <w:bodyDiv w:val="1"/>
      <w:marLeft w:val="0"/>
      <w:marRight w:val="0"/>
      <w:marTop w:val="0"/>
      <w:marBottom w:val="0"/>
      <w:divBdr>
        <w:top w:val="none" w:sz="0" w:space="0" w:color="auto"/>
        <w:left w:val="none" w:sz="0" w:space="0" w:color="auto"/>
        <w:bottom w:val="none" w:sz="0" w:space="0" w:color="auto"/>
        <w:right w:val="none" w:sz="0" w:space="0" w:color="auto"/>
      </w:divBdr>
    </w:div>
    <w:div w:id="444347722">
      <w:bodyDiv w:val="1"/>
      <w:marLeft w:val="0"/>
      <w:marRight w:val="0"/>
      <w:marTop w:val="0"/>
      <w:marBottom w:val="0"/>
      <w:divBdr>
        <w:top w:val="none" w:sz="0" w:space="0" w:color="auto"/>
        <w:left w:val="none" w:sz="0" w:space="0" w:color="auto"/>
        <w:bottom w:val="none" w:sz="0" w:space="0" w:color="auto"/>
        <w:right w:val="none" w:sz="0" w:space="0" w:color="auto"/>
      </w:divBdr>
    </w:div>
    <w:div w:id="450130640">
      <w:bodyDiv w:val="1"/>
      <w:marLeft w:val="0"/>
      <w:marRight w:val="0"/>
      <w:marTop w:val="0"/>
      <w:marBottom w:val="0"/>
      <w:divBdr>
        <w:top w:val="none" w:sz="0" w:space="0" w:color="auto"/>
        <w:left w:val="none" w:sz="0" w:space="0" w:color="auto"/>
        <w:bottom w:val="none" w:sz="0" w:space="0" w:color="auto"/>
        <w:right w:val="none" w:sz="0" w:space="0" w:color="auto"/>
      </w:divBdr>
    </w:div>
    <w:div w:id="458307036">
      <w:bodyDiv w:val="1"/>
      <w:marLeft w:val="0"/>
      <w:marRight w:val="0"/>
      <w:marTop w:val="0"/>
      <w:marBottom w:val="0"/>
      <w:divBdr>
        <w:top w:val="none" w:sz="0" w:space="0" w:color="auto"/>
        <w:left w:val="none" w:sz="0" w:space="0" w:color="auto"/>
        <w:bottom w:val="none" w:sz="0" w:space="0" w:color="auto"/>
        <w:right w:val="none" w:sz="0" w:space="0" w:color="auto"/>
      </w:divBdr>
    </w:div>
    <w:div w:id="458911794">
      <w:bodyDiv w:val="1"/>
      <w:marLeft w:val="0"/>
      <w:marRight w:val="0"/>
      <w:marTop w:val="0"/>
      <w:marBottom w:val="0"/>
      <w:divBdr>
        <w:top w:val="none" w:sz="0" w:space="0" w:color="auto"/>
        <w:left w:val="none" w:sz="0" w:space="0" w:color="auto"/>
        <w:bottom w:val="none" w:sz="0" w:space="0" w:color="auto"/>
        <w:right w:val="none" w:sz="0" w:space="0" w:color="auto"/>
      </w:divBdr>
    </w:div>
    <w:div w:id="462313909">
      <w:bodyDiv w:val="1"/>
      <w:marLeft w:val="0"/>
      <w:marRight w:val="0"/>
      <w:marTop w:val="0"/>
      <w:marBottom w:val="0"/>
      <w:divBdr>
        <w:top w:val="none" w:sz="0" w:space="0" w:color="auto"/>
        <w:left w:val="none" w:sz="0" w:space="0" w:color="auto"/>
        <w:bottom w:val="none" w:sz="0" w:space="0" w:color="auto"/>
        <w:right w:val="none" w:sz="0" w:space="0" w:color="auto"/>
      </w:divBdr>
    </w:div>
    <w:div w:id="474570149">
      <w:bodyDiv w:val="1"/>
      <w:marLeft w:val="0"/>
      <w:marRight w:val="0"/>
      <w:marTop w:val="0"/>
      <w:marBottom w:val="0"/>
      <w:divBdr>
        <w:top w:val="none" w:sz="0" w:space="0" w:color="auto"/>
        <w:left w:val="none" w:sz="0" w:space="0" w:color="auto"/>
        <w:bottom w:val="none" w:sz="0" w:space="0" w:color="auto"/>
        <w:right w:val="none" w:sz="0" w:space="0" w:color="auto"/>
      </w:divBdr>
    </w:div>
    <w:div w:id="475882433">
      <w:bodyDiv w:val="1"/>
      <w:marLeft w:val="0"/>
      <w:marRight w:val="0"/>
      <w:marTop w:val="0"/>
      <w:marBottom w:val="0"/>
      <w:divBdr>
        <w:top w:val="none" w:sz="0" w:space="0" w:color="auto"/>
        <w:left w:val="none" w:sz="0" w:space="0" w:color="auto"/>
        <w:bottom w:val="none" w:sz="0" w:space="0" w:color="auto"/>
        <w:right w:val="none" w:sz="0" w:space="0" w:color="auto"/>
      </w:divBdr>
    </w:div>
    <w:div w:id="476413042">
      <w:bodyDiv w:val="1"/>
      <w:marLeft w:val="0"/>
      <w:marRight w:val="0"/>
      <w:marTop w:val="0"/>
      <w:marBottom w:val="0"/>
      <w:divBdr>
        <w:top w:val="none" w:sz="0" w:space="0" w:color="auto"/>
        <w:left w:val="none" w:sz="0" w:space="0" w:color="auto"/>
        <w:bottom w:val="none" w:sz="0" w:space="0" w:color="auto"/>
        <w:right w:val="none" w:sz="0" w:space="0" w:color="auto"/>
      </w:divBdr>
    </w:div>
    <w:div w:id="480079785">
      <w:bodyDiv w:val="1"/>
      <w:marLeft w:val="0"/>
      <w:marRight w:val="0"/>
      <w:marTop w:val="0"/>
      <w:marBottom w:val="0"/>
      <w:divBdr>
        <w:top w:val="none" w:sz="0" w:space="0" w:color="auto"/>
        <w:left w:val="none" w:sz="0" w:space="0" w:color="auto"/>
        <w:bottom w:val="none" w:sz="0" w:space="0" w:color="auto"/>
        <w:right w:val="none" w:sz="0" w:space="0" w:color="auto"/>
      </w:divBdr>
    </w:div>
    <w:div w:id="481580120">
      <w:bodyDiv w:val="1"/>
      <w:marLeft w:val="0"/>
      <w:marRight w:val="0"/>
      <w:marTop w:val="0"/>
      <w:marBottom w:val="0"/>
      <w:divBdr>
        <w:top w:val="none" w:sz="0" w:space="0" w:color="auto"/>
        <w:left w:val="none" w:sz="0" w:space="0" w:color="auto"/>
        <w:bottom w:val="none" w:sz="0" w:space="0" w:color="auto"/>
        <w:right w:val="none" w:sz="0" w:space="0" w:color="auto"/>
      </w:divBdr>
    </w:div>
    <w:div w:id="483090055">
      <w:bodyDiv w:val="1"/>
      <w:marLeft w:val="0"/>
      <w:marRight w:val="0"/>
      <w:marTop w:val="0"/>
      <w:marBottom w:val="0"/>
      <w:divBdr>
        <w:top w:val="none" w:sz="0" w:space="0" w:color="auto"/>
        <w:left w:val="none" w:sz="0" w:space="0" w:color="auto"/>
        <w:bottom w:val="none" w:sz="0" w:space="0" w:color="auto"/>
        <w:right w:val="none" w:sz="0" w:space="0" w:color="auto"/>
      </w:divBdr>
    </w:div>
    <w:div w:id="491872579">
      <w:bodyDiv w:val="1"/>
      <w:marLeft w:val="0"/>
      <w:marRight w:val="0"/>
      <w:marTop w:val="0"/>
      <w:marBottom w:val="0"/>
      <w:divBdr>
        <w:top w:val="none" w:sz="0" w:space="0" w:color="auto"/>
        <w:left w:val="none" w:sz="0" w:space="0" w:color="auto"/>
        <w:bottom w:val="none" w:sz="0" w:space="0" w:color="auto"/>
        <w:right w:val="none" w:sz="0" w:space="0" w:color="auto"/>
      </w:divBdr>
    </w:div>
    <w:div w:id="496194683">
      <w:bodyDiv w:val="1"/>
      <w:marLeft w:val="0"/>
      <w:marRight w:val="0"/>
      <w:marTop w:val="0"/>
      <w:marBottom w:val="0"/>
      <w:divBdr>
        <w:top w:val="none" w:sz="0" w:space="0" w:color="auto"/>
        <w:left w:val="none" w:sz="0" w:space="0" w:color="auto"/>
        <w:bottom w:val="none" w:sz="0" w:space="0" w:color="auto"/>
        <w:right w:val="none" w:sz="0" w:space="0" w:color="auto"/>
      </w:divBdr>
    </w:div>
    <w:div w:id="503711533">
      <w:bodyDiv w:val="1"/>
      <w:marLeft w:val="0"/>
      <w:marRight w:val="0"/>
      <w:marTop w:val="0"/>
      <w:marBottom w:val="0"/>
      <w:divBdr>
        <w:top w:val="none" w:sz="0" w:space="0" w:color="auto"/>
        <w:left w:val="none" w:sz="0" w:space="0" w:color="auto"/>
        <w:bottom w:val="none" w:sz="0" w:space="0" w:color="auto"/>
        <w:right w:val="none" w:sz="0" w:space="0" w:color="auto"/>
      </w:divBdr>
    </w:div>
    <w:div w:id="506528942">
      <w:bodyDiv w:val="1"/>
      <w:marLeft w:val="0"/>
      <w:marRight w:val="0"/>
      <w:marTop w:val="0"/>
      <w:marBottom w:val="0"/>
      <w:divBdr>
        <w:top w:val="none" w:sz="0" w:space="0" w:color="auto"/>
        <w:left w:val="none" w:sz="0" w:space="0" w:color="auto"/>
        <w:bottom w:val="none" w:sz="0" w:space="0" w:color="auto"/>
        <w:right w:val="none" w:sz="0" w:space="0" w:color="auto"/>
      </w:divBdr>
    </w:div>
    <w:div w:id="507446479">
      <w:bodyDiv w:val="1"/>
      <w:marLeft w:val="0"/>
      <w:marRight w:val="0"/>
      <w:marTop w:val="0"/>
      <w:marBottom w:val="0"/>
      <w:divBdr>
        <w:top w:val="none" w:sz="0" w:space="0" w:color="auto"/>
        <w:left w:val="none" w:sz="0" w:space="0" w:color="auto"/>
        <w:bottom w:val="none" w:sz="0" w:space="0" w:color="auto"/>
        <w:right w:val="none" w:sz="0" w:space="0" w:color="auto"/>
      </w:divBdr>
    </w:div>
    <w:div w:id="509025218">
      <w:bodyDiv w:val="1"/>
      <w:marLeft w:val="0"/>
      <w:marRight w:val="0"/>
      <w:marTop w:val="0"/>
      <w:marBottom w:val="0"/>
      <w:divBdr>
        <w:top w:val="none" w:sz="0" w:space="0" w:color="auto"/>
        <w:left w:val="none" w:sz="0" w:space="0" w:color="auto"/>
        <w:bottom w:val="none" w:sz="0" w:space="0" w:color="auto"/>
        <w:right w:val="none" w:sz="0" w:space="0" w:color="auto"/>
      </w:divBdr>
    </w:div>
    <w:div w:id="509103977">
      <w:bodyDiv w:val="1"/>
      <w:marLeft w:val="0"/>
      <w:marRight w:val="0"/>
      <w:marTop w:val="0"/>
      <w:marBottom w:val="0"/>
      <w:divBdr>
        <w:top w:val="none" w:sz="0" w:space="0" w:color="auto"/>
        <w:left w:val="none" w:sz="0" w:space="0" w:color="auto"/>
        <w:bottom w:val="none" w:sz="0" w:space="0" w:color="auto"/>
        <w:right w:val="none" w:sz="0" w:space="0" w:color="auto"/>
      </w:divBdr>
    </w:div>
    <w:div w:id="512261659">
      <w:bodyDiv w:val="1"/>
      <w:marLeft w:val="0"/>
      <w:marRight w:val="0"/>
      <w:marTop w:val="0"/>
      <w:marBottom w:val="0"/>
      <w:divBdr>
        <w:top w:val="none" w:sz="0" w:space="0" w:color="auto"/>
        <w:left w:val="none" w:sz="0" w:space="0" w:color="auto"/>
        <w:bottom w:val="none" w:sz="0" w:space="0" w:color="auto"/>
        <w:right w:val="none" w:sz="0" w:space="0" w:color="auto"/>
      </w:divBdr>
    </w:div>
    <w:div w:id="513156016">
      <w:bodyDiv w:val="1"/>
      <w:marLeft w:val="0"/>
      <w:marRight w:val="0"/>
      <w:marTop w:val="0"/>
      <w:marBottom w:val="0"/>
      <w:divBdr>
        <w:top w:val="none" w:sz="0" w:space="0" w:color="auto"/>
        <w:left w:val="none" w:sz="0" w:space="0" w:color="auto"/>
        <w:bottom w:val="none" w:sz="0" w:space="0" w:color="auto"/>
        <w:right w:val="none" w:sz="0" w:space="0" w:color="auto"/>
      </w:divBdr>
    </w:div>
    <w:div w:id="513999297">
      <w:bodyDiv w:val="1"/>
      <w:marLeft w:val="0"/>
      <w:marRight w:val="0"/>
      <w:marTop w:val="0"/>
      <w:marBottom w:val="0"/>
      <w:divBdr>
        <w:top w:val="none" w:sz="0" w:space="0" w:color="auto"/>
        <w:left w:val="none" w:sz="0" w:space="0" w:color="auto"/>
        <w:bottom w:val="none" w:sz="0" w:space="0" w:color="auto"/>
        <w:right w:val="none" w:sz="0" w:space="0" w:color="auto"/>
      </w:divBdr>
    </w:div>
    <w:div w:id="516847943">
      <w:bodyDiv w:val="1"/>
      <w:marLeft w:val="0"/>
      <w:marRight w:val="0"/>
      <w:marTop w:val="0"/>
      <w:marBottom w:val="0"/>
      <w:divBdr>
        <w:top w:val="none" w:sz="0" w:space="0" w:color="auto"/>
        <w:left w:val="none" w:sz="0" w:space="0" w:color="auto"/>
        <w:bottom w:val="none" w:sz="0" w:space="0" w:color="auto"/>
        <w:right w:val="none" w:sz="0" w:space="0" w:color="auto"/>
      </w:divBdr>
    </w:div>
    <w:div w:id="516887480">
      <w:bodyDiv w:val="1"/>
      <w:marLeft w:val="0"/>
      <w:marRight w:val="0"/>
      <w:marTop w:val="0"/>
      <w:marBottom w:val="0"/>
      <w:divBdr>
        <w:top w:val="none" w:sz="0" w:space="0" w:color="auto"/>
        <w:left w:val="none" w:sz="0" w:space="0" w:color="auto"/>
        <w:bottom w:val="none" w:sz="0" w:space="0" w:color="auto"/>
        <w:right w:val="none" w:sz="0" w:space="0" w:color="auto"/>
      </w:divBdr>
    </w:div>
    <w:div w:id="522402645">
      <w:bodyDiv w:val="1"/>
      <w:marLeft w:val="0"/>
      <w:marRight w:val="0"/>
      <w:marTop w:val="0"/>
      <w:marBottom w:val="0"/>
      <w:divBdr>
        <w:top w:val="none" w:sz="0" w:space="0" w:color="auto"/>
        <w:left w:val="none" w:sz="0" w:space="0" w:color="auto"/>
        <w:bottom w:val="none" w:sz="0" w:space="0" w:color="auto"/>
        <w:right w:val="none" w:sz="0" w:space="0" w:color="auto"/>
      </w:divBdr>
    </w:div>
    <w:div w:id="527067117">
      <w:bodyDiv w:val="1"/>
      <w:marLeft w:val="0"/>
      <w:marRight w:val="0"/>
      <w:marTop w:val="0"/>
      <w:marBottom w:val="0"/>
      <w:divBdr>
        <w:top w:val="none" w:sz="0" w:space="0" w:color="auto"/>
        <w:left w:val="none" w:sz="0" w:space="0" w:color="auto"/>
        <w:bottom w:val="none" w:sz="0" w:space="0" w:color="auto"/>
        <w:right w:val="none" w:sz="0" w:space="0" w:color="auto"/>
      </w:divBdr>
    </w:div>
    <w:div w:id="527567791">
      <w:bodyDiv w:val="1"/>
      <w:marLeft w:val="0"/>
      <w:marRight w:val="0"/>
      <w:marTop w:val="0"/>
      <w:marBottom w:val="0"/>
      <w:divBdr>
        <w:top w:val="none" w:sz="0" w:space="0" w:color="auto"/>
        <w:left w:val="none" w:sz="0" w:space="0" w:color="auto"/>
        <w:bottom w:val="none" w:sz="0" w:space="0" w:color="auto"/>
        <w:right w:val="none" w:sz="0" w:space="0" w:color="auto"/>
      </w:divBdr>
    </w:div>
    <w:div w:id="528571276">
      <w:bodyDiv w:val="1"/>
      <w:marLeft w:val="0"/>
      <w:marRight w:val="0"/>
      <w:marTop w:val="0"/>
      <w:marBottom w:val="0"/>
      <w:divBdr>
        <w:top w:val="none" w:sz="0" w:space="0" w:color="auto"/>
        <w:left w:val="none" w:sz="0" w:space="0" w:color="auto"/>
        <w:bottom w:val="none" w:sz="0" w:space="0" w:color="auto"/>
        <w:right w:val="none" w:sz="0" w:space="0" w:color="auto"/>
      </w:divBdr>
    </w:div>
    <w:div w:id="543644117">
      <w:bodyDiv w:val="1"/>
      <w:marLeft w:val="0"/>
      <w:marRight w:val="0"/>
      <w:marTop w:val="0"/>
      <w:marBottom w:val="0"/>
      <w:divBdr>
        <w:top w:val="none" w:sz="0" w:space="0" w:color="auto"/>
        <w:left w:val="none" w:sz="0" w:space="0" w:color="auto"/>
        <w:bottom w:val="none" w:sz="0" w:space="0" w:color="auto"/>
        <w:right w:val="none" w:sz="0" w:space="0" w:color="auto"/>
      </w:divBdr>
    </w:div>
    <w:div w:id="546453050">
      <w:bodyDiv w:val="1"/>
      <w:marLeft w:val="0"/>
      <w:marRight w:val="0"/>
      <w:marTop w:val="0"/>
      <w:marBottom w:val="0"/>
      <w:divBdr>
        <w:top w:val="none" w:sz="0" w:space="0" w:color="auto"/>
        <w:left w:val="none" w:sz="0" w:space="0" w:color="auto"/>
        <w:bottom w:val="none" w:sz="0" w:space="0" w:color="auto"/>
        <w:right w:val="none" w:sz="0" w:space="0" w:color="auto"/>
      </w:divBdr>
    </w:div>
    <w:div w:id="557202305">
      <w:bodyDiv w:val="1"/>
      <w:marLeft w:val="0"/>
      <w:marRight w:val="0"/>
      <w:marTop w:val="0"/>
      <w:marBottom w:val="0"/>
      <w:divBdr>
        <w:top w:val="none" w:sz="0" w:space="0" w:color="auto"/>
        <w:left w:val="none" w:sz="0" w:space="0" w:color="auto"/>
        <w:bottom w:val="none" w:sz="0" w:space="0" w:color="auto"/>
        <w:right w:val="none" w:sz="0" w:space="0" w:color="auto"/>
      </w:divBdr>
    </w:div>
    <w:div w:id="557203342">
      <w:bodyDiv w:val="1"/>
      <w:marLeft w:val="0"/>
      <w:marRight w:val="0"/>
      <w:marTop w:val="0"/>
      <w:marBottom w:val="0"/>
      <w:divBdr>
        <w:top w:val="none" w:sz="0" w:space="0" w:color="auto"/>
        <w:left w:val="none" w:sz="0" w:space="0" w:color="auto"/>
        <w:bottom w:val="none" w:sz="0" w:space="0" w:color="auto"/>
        <w:right w:val="none" w:sz="0" w:space="0" w:color="auto"/>
      </w:divBdr>
    </w:div>
    <w:div w:id="557672639">
      <w:bodyDiv w:val="1"/>
      <w:marLeft w:val="0"/>
      <w:marRight w:val="0"/>
      <w:marTop w:val="0"/>
      <w:marBottom w:val="0"/>
      <w:divBdr>
        <w:top w:val="none" w:sz="0" w:space="0" w:color="auto"/>
        <w:left w:val="none" w:sz="0" w:space="0" w:color="auto"/>
        <w:bottom w:val="none" w:sz="0" w:space="0" w:color="auto"/>
        <w:right w:val="none" w:sz="0" w:space="0" w:color="auto"/>
      </w:divBdr>
    </w:div>
    <w:div w:id="558790180">
      <w:bodyDiv w:val="1"/>
      <w:marLeft w:val="0"/>
      <w:marRight w:val="0"/>
      <w:marTop w:val="0"/>
      <w:marBottom w:val="0"/>
      <w:divBdr>
        <w:top w:val="none" w:sz="0" w:space="0" w:color="auto"/>
        <w:left w:val="none" w:sz="0" w:space="0" w:color="auto"/>
        <w:bottom w:val="none" w:sz="0" w:space="0" w:color="auto"/>
        <w:right w:val="none" w:sz="0" w:space="0" w:color="auto"/>
      </w:divBdr>
    </w:div>
    <w:div w:id="561717794">
      <w:bodyDiv w:val="1"/>
      <w:marLeft w:val="0"/>
      <w:marRight w:val="0"/>
      <w:marTop w:val="0"/>
      <w:marBottom w:val="0"/>
      <w:divBdr>
        <w:top w:val="none" w:sz="0" w:space="0" w:color="auto"/>
        <w:left w:val="none" w:sz="0" w:space="0" w:color="auto"/>
        <w:bottom w:val="none" w:sz="0" w:space="0" w:color="auto"/>
        <w:right w:val="none" w:sz="0" w:space="0" w:color="auto"/>
      </w:divBdr>
    </w:div>
    <w:div w:id="563612142">
      <w:bodyDiv w:val="1"/>
      <w:marLeft w:val="0"/>
      <w:marRight w:val="0"/>
      <w:marTop w:val="0"/>
      <w:marBottom w:val="0"/>
      <w:divBdr>
        <w:top w:val="none" w:sz="0" w:space="0" w:color="auto"/>
        <w:left w:val="none" w:sz="0" w:space="0" w:color="auto"/>
        <w:bottom w:val="none" w:sz="0" w:space="0" w:color="auto"/>
        <w:right w:val="none" w:sz="0" w:space="0" w:color="auto"/>
      </w:divBdr>
    </w:div>
    <w:div w:id="566308164">
      <w:bodyDiv w:val="1"/>
      <w:marLeft w:val="0"/>
      <w:marRight w:val="0"/>
      <w:marTop w:val="0"/>
      <w:marBottom w:val="0"/>
      <w:divBdr>
        <w:top w:val="none" w:sz="0" w:space="0" w:color="auto"/>
        <w:left w:val="none" w:sz="0" w:space="0" w:color="auto"/>
        <w:bottom w:val="none" w:sz="0" w:space="0" w:color="auto"/>
        <w:right w:val="none" w:sz="0" w:space="0" w:color="auto"/>
      </w:divBdr>
    </w:div>
    <w:div w:id="567768689">
      <w:bodyDiv w:val="1"/>
      <w:marLeft w:val="0"/>
      <w:marRight w:val="0"/>
      <w:marTop w:val="0"/>
      <w:marBottom w:val="0"/>
      <w:divBdr>
        <w:top w:val="none" w:sz="0" w:space="0" w:color="auto"/>
        <w:left w:val="none" w:sz="0" w:space="0" w:color="auto"/>
        <w:bottom w:val="none" w:sz="0" w:space="0" w:color="auto"/>
        <w:right w:val="none" w:sz="0" w:space="0" w:color="auto"/>
      </w:divBdr>
    </w:div>
    <w:div w:id="574167449">
      <w:bodyDiv w:val="1"/>
      <w:marLeft w:val="0"/>
      <w:marRight w:val="0"/>
      <w:marTop w:val="0"/>
      <w:marBottom w:val="0"/>
      <w:divBdr>
        <w:top w:val="none" w:sz="0" w:space="0" w:color="auto"/>
        <w:left w:val="none" w:sz="0" w:space="0" w:color="auto"/>
        <w:bottom w:val="none" w:sz="0" w:space="0" w:color="auto"/>
        <w:right w:val="none" w:sz="0" w:space="0" w:color="auto"/>
      </w:divBdr>
    </w:div>
    <w:div w:id="577445425">
      <w:bodyDiv w:val="1"/>
      <w:marLeft w:val="0"/>
      <w:marRight w:val="0"/>
      <w:marTop w:val="0"/>
      <w:marBottom w:val="0"/>
      <w:divBdr>
        <w:top w:val="none" w:sz="0" w:space="0" w:color="auto"/>
        <w:left w:val="none" w:sz="0" w:space="0" w:color="auto"/>
        <w:bottom w:val="none" w:sz="0" w:space="0" w:color="auto"/>
        <w:right w:val="none" w:sz="0" w:space="0" w:color="auto"/>
      </w:divBdr>
    </w:div>
    <w:div w:id="577862367">
      <w:bodyDiv w:val="1"/>
      <w:marLeft w:val="0"/>
      <w:marRight w:val="0"/>
      <w:marTop w:val="0"/>
      <w:marBottom w:val="0"/>
      <w:divBdr>
        <w:top w:val="none" w:sz="0" w:space="0" w:color="auto"/>
        <w:left w:val="none" w:sz="0" w:space="0" w:color="auto"/>
        <w:bottom w:val="none" w:sz="0" w:space="0" w:color="auto"/>
        <w:right w:val="none" w:sz="0" w:space="0" w:color="auto"/>
      </w:divBdr>
    </w:div>
    <w:div w:id="578564795">
      <w:bodyDiv w:val="1"/>
      <w:marLeft w:val="0"/>
      <w:marRight w:val="0"/>
      <w:marTop w:val="0"/>
      <w:marBottom w:val="0"/>
      <w:divBdr>
        <w:top w:val="none" w:sz="0" w:space="0" w:color="auto"/>
        <w:left w:val="none" w:sz="0" w:space="0" w:color="auto"/>
        <w:bottom w:val="none" w:sz="0" w:space="0" w:color="auto"/>
        <w:right w:val="none" w:sz="0" w:space="0" w:color="auto"/>
      </w:divBdr>
    </w:div>
    <w:div w:id="580144131">
      <w:bodyDiv w:val="1"/>
      <w:marLeft w:val="0"/>
      <w:marRight w:val="0"/>
      <w:marTop w:val="0"/>
      <w:marBottom w:val="0"/>
      <w:divBdr>
        <w:top w:val="none" w:sz="0" w:space="0" w:color="auto"/>
        <w:left w:val="none" w:sz="0" w:space="0" w:color="auto"/>
        <w:bottom w:val="none" w:sz="0" w:space="0" w:color="auto"/>
        <w:right w:val="none" w:sz="0" w:space="0" w:color="auto"/>
      </w:divBdr>
    </w:div>
    <w:div w:id="592587928">
      <w:bodyDiv w:val="1"/>
      <w:marLeft w:val="0"/>
      <w:marRight w:val="0"/>
      <w:marTop w:val="0"/>
      <w:marBottom w:val="0"/>
      <w:divBdr>
        <w:top w:val="none" w:sz="0" w:space="0" w:color="auto"/>
        <w:left w:val="none" w:sz="0" w:space="0" w:color="auto"/>
        <w:bottom w:val="none" w:sz="0" w:space="0" w:color="auto"/>
        <w:right w:val="none" w:sz="0" w:space="0" w:color="auto"/>
      </w:divBdr>
    </w:div>
    <w:div w:id="595403375">
      <w:bodyDiv w:val="1"/>
      <w:marLeft w:val="0"/>
      <w:marRight w:val="0"/>
      <w:marTop w:val="0"/>
      <w:marBottom w:val="0"/>
      <w:divBdr>
        <w:top w:val="none" w:sz="0" w:space="0" w:color="auto"/>
        <w:left w:val="none" w:sz="0" w:space="0" w:color="auto"/>
        <w:bottom w:val="none" w:sz="0" w:space="0" w:color="auto"/>
        <w:right w:val="none" w:sz="0" w:space="0" w:color="auto"/>
      </w:divBdr>
    </w:div>
    <w:div w:id="595670859">
      <w:bodyDiv w:val="1"/>
      <w:marLeft w:val="0"/>
      <w:marRight w:val="0"/>
      <w:marTop w:val="0"/>
      <w:marBottom w:val="0"/>
      <w:divBdr>
        <w:top w:val="none" w:sz="0" w:space="0" w:color="auto"/>
        <w:left w:val="none" w:sz="0" w:space="0" w:color="auto"/>
        <w:bottom w:val="none" w:sz="0" w:space="0" w:color="auto"/>
        <w:right w:val="none" w:sz="0" w:space="0" w:color="auto"/>
      </w:divBdr>
    </w:div>
    <w:div w:id="596909551">
      <w:bodyDiv w:val="1"/>
      <w:marLeft w:val="0"/>
      <w:marRight w:val="0"/>
      <w:marTop w:val="0"/>
      <w:marBottom w:val="0"/>
      <w:divBdr>
        <w:top w:val="none" w:sz="0" w:space="0" w:color="auto"/>
        <w:left w:val="none" w:sz="0" w:space="0" w:color="auto"/>
        <w:bottom w:val="none" w:sz="0" w:space="0" w:color="auto"/>
        <w:right w:val="none" w:sz="0" w:space="0" w:color="auto"/>
      </w:divBdr>
    </w:div>
    <w:div w:id="598103645">
      <w:bodyDiv w:val="1"/>
      <w:marLeft w:val="0"/>
      <w:marRight w:val="0"/>
      <w:marTop w:val="0"/>
      <w:marBottom w:val="0"/>
      <w:divBdr>
        <w:top w:val="none" w:sz="0" w:space="0" w:color="auto"/>
        <w:left w:val="none" w:sz="0" w:space="0" w:color="auto"/>
        <w:bottom w:val="none" w:sz="0" w:space="0" w:color="auto"/>
        <w:right w:val="none" w:sz="0" w:space="0" w:color="auto"/>
      </w:divBdr>
    </w:div>
    <w:div w:id="599686166">
      <w:bodyDiv w:val="1"/>
      <w:marLeft w:val="0"/>
      <w:marRight w:val="0"/>
      <w:marTop w:val="0"/>
      <w:marBottom w:val="0"/>
      <w:divBdr>
        <w:top w:val="none" w:sz="0" w:space="0" w:color="auto"/>
        <w:left w:val="none" w:sz="0" w:space="0" w:color="auto"/>
        <w:bottom w:val="none" w:sz="0" w:space="0" w:color="auto"/>
        <w:right w:val="none" w:sz="0" w:space="0" w:color="auto"/>
      </w:divBdr>
    </w:div>
    <w:div w:id="601302630">
      <w:bodyDiv w:val="1"/>
      <w:marLeft w:val="0"/>
      <w:marRight w:val="0"/>
      <w:marTop w:val="0"/>
      <w:marBottom w:val="0"/>
      <w:divBdr>
        <w:top w:val="none" w:sz="0" w:space="0" w:color="auto"/>
        <w:left w:val="none" w:sz="0" w:space="0" w:color="auto"/>
        <w:bottom w:val="none" w:sz="0" w:space="0" w:color="auto"/>
        <w:right w:val="none" w:sz="0" w:space="0" w:color="auto"/>
      </w:divBdr>
    </w:div>
    <w:div w:id="606470659">
      <w:bodyDiv w:val="1"/>
      <w:marLeft w:val="0"/>
      <w:marRight w:val="0"/>
      <w:marTop w:val="0"/>
      <w:marBottom w:val="0"/>
      <w:divBdr>
        <w:top w:val="none" w:sz="0" w:space="0" w:color="auto"/>
        <w:left w:val="none" w:sz="0" w:space="0" w:color="auto"/>
        <w:bottom w:val="none" w:sz="0" w:space="0" w:color="auto"/>
        <w:right w:val="none" w:sz="0" w:space="0" w:color="auto"/>
      </w:divBdr>
    </w:div>
    <w:div w:id="614138704">
      <w:bodyDiv w:val="1"/>
      <w:marLeft w:val="0"/>
      <w:marRight w:val="0"/>
      <w:marTop w:val="0"/>
      <w:marBottom w:val="0"/>
      <w:divBdr>
        <w:top w:val="none" w:sz="0" w:space="0" w:color="auto"/>
        <w:left w:val="none" w:sz="0" w:space="0" w:color="auto"/>
        <w:bottom w:val="none" w:sz="0" w:space="0" w:color="auto"/>
        <w:right w:val="none" w:sz="0" w:space="0" w:color="auto"/>
      </w:divBdr>
    </w:div>
    <w:div w:id="614794221">
      <w:bodyDiv w:val="1"/>
      <w:marLeft w:val="0"/>
      <w:marRight w:val="0"/>
      <w:marTop w:val="0"/>
      <w:marBottom w:val="0"/>
      <w:divBdr>
        <w:top w:val="none" w:sz="0" w:space="0" w:color="auto"/>
        <w:left w:val="none" w:sz="0" w:space="0" w:color="auto"/>
        <w:bottom w:val="none" w:sz="0" w:space="0" w:color="auto"/>
        <w:right w:val="none" w:sz="0" w:space="0" w:color="auto"/>
      </w:divBdr>
    </w:div>
    <w:div w:id="615716646">
      <w:bodyDiv w:val="1"/>
      <w:marLeft w:val="0"/>
      <w:marRight w:val="0"/>
      <w:marTop w:val="0"/>
      <w:marBottom w:val="0"/>
      <w:divBdr>
        <w:top w:val="none" w:sz="0" w:space="0" w:color="auto"/>
        <w:left w:val="none" w:sz="0" w:space="0" w:color="auto"/>
        <w:bottom w:val="none" w:sz="0" w:space="0" w:color="auto"/>
        <w:right w:val="none" w:sz="0" w:space="0" w:color="auto"/>
      </w:divBdr>
    </w:div>
    <w:div w:id="618757645">
      <w:bodyDiv w:val="1"/>
      <w:marLeft w:val="0"/>
      <w:marRight w:val="0"/>
      <w:marTop w:val="0"/>
      <w:marBottom w:val="0"/>
      <w:divBdr>
        <w:top w:val="none" w:sz="0" w:space="0" w:color="auto"/>
        <w:left w:val="none" w:sz="0" w:space="0" w:color="auto"/>
        <w:bottom w:val="none" w:sz="0" w:space="0" w:color="auto"/>
        <w:right w:val="none" w:sz="0" w:space="0" w:color="auto"/>
      </w:divBdr>
    </w:div>
    <w:div w:id="621621099">
      <w:bodyDiv w:val="1"/>
      <w:marLeft w:val="0"/>
      <w:marRight w:val="0"/>
      <w:marTop w:val="0"/>
      <w:marBottom w:val="0"/>
      <w:divBdr>
        <w:top w:val="none" w:sz="0" w:space="0" w:color="auto"/>
        <w:left w:val="none" w:sz="0" w:space="0" w:color="auto"/>
        <w:bottom w:val="none" w:sz="0" w:space="0" w:color="auto"/>
        <w:right w:val="none" w:sz="0" w:space="0" w:color="auto"/>
      </w:divBdr>
    </w:div>
    <w:div w:id="627393790">
      <w:bodyDiv w:val="1"/>
      <w:marLeft w:val="0"/>
      <w:marRight w:val="0"/>
      <w:marTop w:val="0"/>
      <w:marBottom w:val="0"/>
      <w:divBdr>
        <w:top w:val="none" w:sz="0" w:space="0" w:color="auto"/>
        <w:left w:val="none" w:sz="0" w:space="0" w:color="auto"/>
        <w:bottom w:val="none" w:sz="0" w:space="0" w:color="auto"/>
        <w:right w:val="none" w:sz="0" w:space="0" w:color="auto"/>
      </w:divBdr>
    </w:div>
    <w:div w:id="630750972">
      <w:bodyDiv w:val="1"/>
      <w:marLeft w:val="0"/>
      <w:marRight w:val="0"/>
      <w:marTop w:val="0"/>
      <w:marBottom w:val="0"/>
      <w:divBdr>
        <w:top w:val="none" w:sz="0" w:space="0" w:color="auto"/>
        <w:left w:val="none" w:sz="0" w:space="0" w:color="auto"/>
        <w:bottom w:val="none" w:sz="0" w:space="0" w:color="auto"/>
        <w:right w:val="none" w:sz="0" w:space="0" w:color="auto"/>
      </w:divBdr>
    </w:div>
    <w:div w:id="632252757">
      <w:bodyDiv w:val="1"/>
      <w:marLeft w:val="0"/>
      <w:marRight w:val="0"/>
      <w:marTop w:val="0"/>
      <w:marBottom w:val="0"/>
      <w:divBdr>
        <w:top w:val="none" w:sz="0" w:space="0" w:color="auto"/>
        <w:left w:val="none" w:sz="0" w:space="0" w:color="auto"/>
        <w:bottom w:val="none" w:sz="0" w:space="0" w:color="auto"/>
        <w:right w:val="none" w:sz="0" w:space="0" w:color="auto"/>
      </w:divBdr>
    </w:div>
    <w:div w:id="633678468">
      <w:bodyDiv w:val="1"/>
      <w:marLeft w:val="0"/>
      <w:marRight w:val="0"/>
      <w:marTop w:val="0"/>
      <w:marBottom w:val="0"/>
      <w:divBdr>
        <w:top w:val="none" w:sz="0" w:space="0" w:color="auto"/>
        <w:left w:val="none" w:sz="0" w:space="0" w:color="auto"/>
        <w:bottom w:val="none" w:sz="0" w:space="0" w:color="auto"/>
        <w:right w:val="none" w:sz="0" w:space="0" w:color="auto"/>
      </w:divBdr>
    </w:div>
    <w:div w:id="633757385">
      <w:bodyDiv w:val="1"/>
      <w:marLeft w:val="0"/>
      <w:marRight w:val="0"/>
      <w:marTop w:val="0"/>
      <w:marBottom w:val="0"/>
      <w:divBdr>
        <w:top w:val="none" w:sz="0" w:space="0" w:color="auto"/>
        <w:left w:val="none" w:sz="0" w:space="0" w:color="auto"/>
        <w:bottom w:val="none" w:sz="0" w:space="0" w:color="auto"/>
        <w:right w:val="none" w:sz="0" w:space="0" w:color="auto"/>
      </w:divBdr>
    </w:div>
    <w:div w:id="634141725">
      <w:bodyDiv w:val="1"/>
      <w:marLeft w:val="0"/>
      <w:marRight w:val="0"/>
      <w:marTop w:val="0"/>
      <w:marBottom w:val="0"/>
      <w:divBdr>
        <w:top w:val="none" w:sz="0" w:space="0" w:color="auto"/>
        <w:left w:val="none" w:sz="0" w:space="0" w:color="auto"/>
        <w:bottom w:val="none" w:sz="0" w:space="0" w:color="auto"/>
        <w:right w:val="none" w:sz="0" w:space="0" w:color="auto"/>
      </w:divBdr>
    </w:div>
    <w:div w:id="637339876">
      <w:bodyDiv w:val="1"/>
      <w:marLeft w:val="0"/>
      <w:marRight w:val="0"/>
      <w:marTop w:val="0"/>
      <w:marBottom w:val="0"/>
      <w:divBdr>
        <w:top w:val="none" w:sz="0" w:space="0" w:color="auto"/>
        <w:left w:val="none" w:sz="0" w:space="0" w:color="auto"/>
        <w:bottom w:val="none" w:sz="0" w:space="0" w:color="auto"/>
        <w:right w:val="none" w:sz="0" w:space="0" w:color="auto"/>
      </w:divBdr>
    </w:div>
    <w:div w:id="637341720">
      <w:bodyDiv w:val="1"/>
      <w:marLeft w:val="0"/>
      <w:marRight w:val="0"/>
      <w:marTop w:val="0"/>
      <w:marBottom w:val="0"/>
      <w:divBdr>
        <w:top w:val="none" w:sz="0" w:space="0" w:color="auto"/>
        <w:left w:val="none" w:sz="0" w:space="0" w:color="auto"/>
        <w:bottom w:val="none" w:sz="0" w:space="0" w:color="auto"/>
        <w:right w:val="none" w:sz="0" w:space="0" w:color="auto"/>
      </w:divBdr>
    </w:div>
    <w:div w:id="638656823">
      <w:bodyDiv w:val="1"/>
      <w:marLeft w:val="0"/>
      <w:marRight w:val="0"/>
      <w:marTop w:val="0"/>
      <w:marBottom w:val="0"/>
      <w:divBdr>
        <w:top w:val="none" w:sz="0" w:space="0" w:color="auto"/>
        <w:left w:val="none" w:sz="0" w:space="0" w:color="auto"/>
        <w:bottom w:val="none" w:sz="0" w:space="0" w:color="auto"/>
        <w:right w:val="none" w:sz="0" w:space="0" w:color="auto"/>
      </w:divBdr>
    </w:div>
    <w:div w:id="640429156">
      <w:bodyDiv w:val="1"/>
      <w:marLeft w:val="0"/>
      <w:marRight w:val="0"/>
      <w:marTop w:val="0"/>
      <w:marBottom w:val="0"/>
      <w:divBdr>
        <w:top w:val="none" w:sz="0" w:space="0" w:color="auto"/>
        <w:left w:val="none" w:sz="0" w:space="0" w:color="auto"/>
        <w:bottom w:val="none" w:sz="0" w:space="0" w:color="auto"/>
        <w:right w:val="none" w:sz="0" w:space="0" w:color="auto"/>
      </w:divBdr>
    </w:div>
    <w:div w:id="643972318">
      <w:bodyDiv w:val="1"/>
      <w:marLeft w:val="0"/>
      <w:marRight w:val="0"/>
      <w:marTop w:val="0"/>
      <w:marBottom w:val="0"/>
      <w:divBdr>
        <w:top w:val="none" w:sz="0" w:space="0" w:color="auto"/>
        <w:left w:val="none" w:sz="0" w:space="0" w:color="auto"/>
        <w:bottom w:val="none" w:sz="0" w:space="0" w:color="auto"/>
        <w:right w:val="none" w:sz="0" w:space="0" w:color="auto"/>
      </w:divBdr>
    </w:div>
    <w:div w:id="645816279">
      <w:bodyDiv w:val="1"/>
      <w:marLeft w:val="0"/>
      <w:marRight w:val="0"/>
      <w:marTop w:val="0"/>
      <w:marBottom w:val="0"/>
      <w:divBdr>
        <w:top w:val="none" w:sz="0" w:space="0" w:color="auto"/>
        <w:left w:val="none" w:sz="0" w:space="0" w:color="auto"/>
        <w:bottom w:val="none" w:sz="0" w:space="0" w:color="auto"/>
        <w:right w:val="none" w:sz="0" w:space="0" w:color="auto"/>
      </w:divBdr>
    </w:div>
    <w:div w:id="645860894">
      <w:bodyDiv w:val="1"/>
      <w:marLeft w:val="0"/>
      <w:marRight w:val="0"/>
      <w:marTop w:val="0"/>
      <w:marBottom w:val="0"/>
      <w:divBdr>
        <w:top w:val="none" w:sz="0" w:space="0" w:color="auto"/>
        <w:left w:val="none" w:sz="0" w:space="0" w:color="auto"/>
        <w:bottom w:val="none" w:sz="0" w:space="0" w:color="auto"/>
        <w:right w:val="none" w:sz="0" w:space="0" w:color="auto"/>
      </w:divBdr>
    </w:div>
    <w:div w:id="664556197">
      <w:bodyDiv w:val="1"/>
      <w:marLeft w:val="0"/>
      <w:marRight w:val="0"/>
      <w:marTop w:val="0"/>
      <w:marBottom w:val="0"/>
      <w:divBdr>
        <w:top w:val="none" w:sz="0" w:space="0" w:color="auto"/>
        <w:left w:val="none" w:sz="0" w:space="0" w:color="auto"/>
        <w:bottom w:val="none" w:sz="0" w:space="0" w:color="auto"/>
        <w:right w:val="none" w:sz="0" w:space="0" w:color="auto"/>
      </w:divBdr>
    </w:div>
    <w:div w:id="671301019">
      <w:bodyDiv w:val="1"/>
      <w:marLeft w:val="0"/>
      <w:marRight w:val="0"/>
      <w:marTop w:val="0"/>
      <w:marBottom w:val="0"/>
      <w:divBdr>
        <w:top w:val="none" w:sz="0" w:space="0" w:color="auto"/>
        <w:left w:val="none" w:sz="0" w:space="0" w:color="auto"/>
        <w:bottom w:val="none" w:sz="0" w:space="0" w:color="auto"/>
        <w:right w:val="none" w:sz="0" w:space="0" w:color="auto"/>
      </w:divBdr>
    </w:div>
    <w:div w:id="673841844">
      <w:bodyDiv w:val="1"/>
      <w:marLeft w:val="0"/>
      <w:marRight w:val="0"/>
      <w:marTop w:val="0"/>
      <w:marBottom w:val="0"/>
      <w:divBdr>
        <w:top w:val="none" w:sz="0" w:space="0" w:color="auto"/>
        <w:left w:val="none" w:sz="0" w:space="0" w:color="auto"/>
        <w:bottom w:val="none" w:sz="0" w:space="0" w:color="auto"/>
        <w:right w:val="none" w:sz="0" w:space="0" w:color="auto"/>
      </w:divBdr>
    </w:div>
    <w:div w:id="685135444">
      <w:bodyDiv w:val="1"/>
      <w:marLeft w:val="0"/>
      <w:marRight w:val="0"/>
      <w:marTop w:val="0"/>
      <w:marBottom w:val="0"/>
      <w:divBdr>
        <w:top w:val="none" w:sz="0" w:space="0" w:color="auto"/>
        <w:left w:val="none" w:sz="0" w:space="0" w:color="auto"/>
        <w:bottom w:val="none" w:sz="0" w:space="0" w:color="auto"/>
        <w:right w:val="none" w:sz="0" w:space="0" w:color="auto"/>
      </w:divBdr>
    </w:div>
    <w:div w:id="687488897">
      <w:bodyDiv w:val="1"/>
      <w:marLeft w:val="0"/>
      <w:marRight w:val="0"/>
      <w:marTop w:val="0"/>
      <w:marBottom w:val="0"/>
      <w:divBdr>
        <w:top w:val="none" w:sz="0" w:space="0" w:color="auto"/>
        <w:left w:val="none" w:sz="0" w:space="0" w:color="auto"/>
        <w:bottom w:val="none" w:sz="0" w:space="0" w:color="auto"/>
        <w:right w:val="none" w:sz="0" w:space="0" w:color="auto"/>
      </w:divBdr>
    </w:div>
    <w:div w:id="690376627">
      <w:bodyDiv w:val="1"/>
      <w:marLeft w:val="0"/>
      <w:marRight w:val="0"/>
      <w:marTop w:val="0"/>
      <w:marBottom w:val="0"/>
      <w:divBdr>
        <w:top w:val="none" w:sz="0" w:space="0" w:color="auto"/>
        <w:left w:val="none" w:sz="0" w:space="0" w:color="auto"/>
        <w:bottom w:val="none" w:sz="0" w:space="0" w:color="auto"/>
        <w:right w:val="none" w:sz="0" w:space="0" w:color="auto"/>
      </w:divBdr>
    </w:div>
    <w:div w:id="693655392">
      <w:bodyDiv w:val="1"/>
      <w:marLeft w:val="0"/>
      <w:marRight w:val="0"/>
      <w:marTop w:val="0"/>
      <w:marBottom w:val="0"/>
      <w:divBdr>
        <w:top w:val="none" w:sz="0" w:space="0" w:color="auto"/>
        <w:left w:val="none" w:sz="0" w:space="0" w:color="auto"/>
        <w:bottom w:val="none" w:sz="0" w:space="0" w:color="auto"/>
        <w:right w:val="none" w:sz="0" w:space="0" w:color="auto"/>
      </w:divBdr>
    </w:div>
    <w:div w:id="700933963">
      <w:bodyDiv w:val="1"/>
      <w:marLeft w:val="0"/>
      <w:marRight w:val="0"/>
      <w:marTop w:val="0"/>
      <w:marBottom w:val="0"/>
      <w:divBdr>
        <w:top w:val="none" w:sz="0" w:space="0" w:color="auto"/>
        <w:left w:val="none" w:sz="0" w:space="0" w:color="auto"/>
        <w:bottom w:val="none" w:sz="0" w:space="0" w:color="auto"/>
        <w:right w:val="none" w:sz="0" w:space="0" w:color="auto"/>
      </w:divBdr>
    </w:div>
    <w:div w:id="702170702">
      <w:bodyDiv w:val="1"/>
      <w:marLeft w:val="0"/>
      <w:marRight w:val="0"/>
      <w:marTop w:val="0"/>
      <w:marBottom w:val="0"/>
      <w:divBdr>
        <w:top w:val="none" w:sz="0" w:space="0" w:color="auto"/>
        <w:left w:val="none" w:sz="0" w:space="0" w:color="auto"/>
        <w:bottom w:val="none" w:sz="0" w:space="0" w:color="auto"/>
        <w:right w:val="none" w:sz="0" w:space="0" w:color="auto"/>
      </w:divBdr>
    </w:div>
    <w:div w:id="702753748">
      <w:bodyDiv w:val="1"/>
      <w:marLeft w:val="0"/>
      <w:marRight w:val="0"/>
      <w:marTop w:val="0"/>
      <w:marBottom w:val="0"/>
      <w:divBdr>
        <w:top w:val="none" w:sz="0" w:space="0" w:color="auto"/>
        <w:left w:val="none" w:sz="0" w:space="0" w:color="auto"/>
        <w:bottom w:val="none" w:sz="0" w:space="0" w:color="auto"/>
        <w:right w:val="none" w:sz="0" w:space="0" w:color="auto"/>
      </w:divBdr>
    </w:div>
    <w:div w:id="711425587">
      <w:bodyDiv w:val="1"/>
      <w:marLeft w:val="0"/>
      <w:marRight w:val="0"/>
      <w:marTop w:val="0"/>
      <w:marBottom w:val="0"/>
      <w:divBdr>
        <w:top w:val="none" w:sz="0" w:space="0" w:color="auto"/>
        <w:left w:val="none" w:sz="0" w:space="0" w:color="auto"/>
        <w:bottom w:val="none" w:sz="0" w:space="0" w:color="auto"/>
        <w:right w:val="none" w:sz="0" w:space="0" w:color="auto"/>
      </w:divBdr>
    </w:div>
    <w:div w:id="716319890">
      <w:bodyDiv w:val="1"/>
      <w:marLeft w:val="0"/>
      <w:marRight w:val="0"/>
      <w:marTop w:val="0"/>
      <w:marBottom w:val="0"/>
      <w:divBdr>
        <w:top w:val="none" w:sz="0" w:space="0" w:color="auto"/>
        <w:left w:val="none" w:sz="0" w:space="0" w:color="auto"/>
        <w:bottom w:val="none" w:sz="0" w:space="0" w:color="auto"/>
        <w:right w:val="none" w:sz="0" w:space="0" w:color="auto"/>
      </w:divBdr>
    </w:div>
    <w:div w:id="716515645">
      <w:bodyDiv w:val="1"/>
      <w:marLeft w:val="0"/>
      <w:marRight w:val="0"/>
      <w:marTop w:val="0"/>
      <w:marBottom w:val="0"/>
      <w:divBdr>
        <w:top w:val="none" w:sz="0" w:space="0" w:color="auto"/>
        <w:left w:val="none" w:sz="0" w:space="0" w:color="auto"/>
        <w:bottom w:val="none" w:sz="0" w:space="0" w:color="auto"/>
        <w:right w:val="none" w:sz="0" w:space="0" w:color="auto"/>
      </w:divBdr>
    </w:div>
    <w:div w:id="719480486">
      <w:bodyDiv w:val="1"/>
      <w:marLeft w:val="0"/>
      <w:marRight w:val="0"/>
      <w:marTop w:val="0"/>
      <w:marBottom w:val="0"/>
      <w:divBdr>
        <w:top w:val="none" w:sz="0" w:space="0" w:color="auto"/>
        <w:left w:val="none" w:sz="0" w:space="0" w:color="auto"/>
        <w:bottom w:val="none" w:sz="0" w:space="0" w:color="auto"/>
        <w:right w:val="none" w:sz="0" w:space="0" w:color="auto"/>
      </w:divBdr>
    </w:div>
    <w:div w:id="720519208">
      <w:bodyDiv w:val="1"/>
      <w:marLeft w:val="0"/>
      <w:marRight w:val="0"/>
      <w:marTop w:val="0"/>
      <w:marBottom w:val="0"/>
      <w:divBdr>
        <w:top w:val="none" w:sz="0" w:space="0" w:color="auto"/>
        <w:left w:val="none" w:sz="0" w:space="0" w:color="auto"/>
        <w:bottom w:val="none" w:sz="0" w:space="0" w:color="auto"/>
        <w:right w:val="none" w:sz="0" w:space="0" w:color="auto"/>
      </w:divBdr>
    </w:div>
    <w:div w:id="720639567">
      <w:bodyDiv w:val="1"/>
      <w:marLeft w:val="0"/>
      <w:marRight w:val="0"/>
      <w:marTop w:val="0"/>
      <w:marBottom w:val="0"/>
      <w:divBdr>
        <w:top w:val="none" w:sz="0" w:space="0" w:color="auto"/>
        <w:left w:val="none" w:sz="0" w:space="0" w:color="auto"/>
        <w:bottom w:val="none" w:sz="0" w:space="0" w:color="auto"/>
        <w:right w:val="none" w:sz="0" w:space="0" w:color="auto"/>
      </w:divBdr>
    </w:div>
    <w:div w:id="722370442">
      <w:bodyDiv w:val="1"/>
      <w:marLeft w:val="0"/>
      <w:marRight w:val="0"/>
      <w:marTop w:val="0"/>
      <w:marBottom w:val="0"/>
      <w:divBdr>
        <w:top w:val="none" w:sz="0" w:space="0" w:color="auto"/>
        <w:left w:val="none" w:sz="0" w:space="0" w:color="auto"/>
        <w:bottom w:val="none" w:sz="0" w:space="0" w:color="auto"/>
        <w:right w:val="none" w:sz="0" w:space="0" w:color="auto"/>
      </w:divBdr>
    </w:div>
    <w:div w:id="723717883">
      <w:bodyDiv w:val="1"/>
      <w:marLeft w:val="0"/>
      <w:marRight w:val="0"/>
      <w:marTop w:val="0"/>
      <w:marBottom w:val="0"/>
      <w:divBdr>
        <w:top w:val="none" w:sz="0" w:space="0" w:color="auto"/>
        <w:left w:val="none" w:sz="0" w:space="0" w:color="auto"/>
        <w:bottom w:val="none" w:sz="0" w:space="0" w:color="auto"/>
        <w:right w:val="none" w:sz="0" w:space="0" w:color="auto"/>
      </w:divBdr>
    </w:div>
    <w:div w:id="723875950">
      <w:bodyDiv w:val="1"/>
      <w:marLeft w:val="0"/>
      <w:marRight w:val="0"/>
      <w:marTop w:val="0"/>
      <w:marBottom w:val="0"/>
      <w:divBdr>
        <w:top w:val="none" w:sz="0" w:space="0" w:color="auto"/>
        <w:left w:val="none" w:sz="0" w:space="0" w:color="auto"/>
        <w:bottom w:val="none" w:sz="0" w:space="0" w:color="auto"/>
        <w:right w:val="none" w:sz="0" w:space="0" w:color="auto"/>
      </w:divBdr>
    </w:div>
    <w:div w:id="728655387">
      <w:bodyDiv w:val="1"/>
      <w:marLeft w:val="0"/>
      <w:marRight w:val="0"/>
      <w:marTop w:val="0"/>
      <w:marBottom w:val="0"/>
      <w:divBdr>
        <w:top w:val="none" w:sz="0" w:space="0" w:color="auto"/>
        <w:left w:val="none" w:sz="0" w:space="0" w:color="auto"/>
        <w:bottom w:val="none" w:sz="0" w:space="0" w:color="auto"/>
        <w:right w:val="none" w:sz="0" w:space="0" w:color="auto"/>
      </w:divBdr>
    </w:div>
    <w:div w:id="734812838">
      <w:bodyDiv w:val="1"/>
      <w:marLeft w:val="0"/>
      <w:marRight w:val="0"/>
      <w:marTop w:val="0"/>
      <w:marBottom w:val="0"/>
      <w:divBdr>
        <w:top w:val="none" w:sz="0" w:space="0" w:color="auto"/>
        <w:left w:val="none" w:sz="0" w:space="0" w:color="auto"/>
        <w:bottom w:val="none" w:sz="0" w:space="0" w:color="auto"/>
        <w:right w:val="none" w:sz="0" w:space="0" w:color="auto"/>
      </w:divBdr>
    </w:div>
    <w:div w:id="738595008">
      <w:bodyDiv w:val="1"/>
      <w:marLeft w:val="0"/>
      <w:marRight w:val="0"/>
      <w:marTop w:val="0"/>
      <w:marBottom w:val="0"/>
      <w:divBdr>
        <w:top w:val="none" w:sz="0" w:space="0" w:color="auto"/>
        <w:left w:val="none" w:sz="0" w:space="0" w:color="auto"/>
        <w:bottom w:val="none" w:sz="0" w:space="0" w:color="auto"/>
        <w:right w:val="none" w:sz="0" w:space="0" w:color="auto"/>
      </w:divBdr>
    </w:div>
    <w:div w:id="738744973">
      <w:bodyDiv w:val="1"/>
      <w:marLeft w:val="0"/>
      <w:marRight w:val="0"/>
      <w:marTop w:val="0"/>
      <w:marBottom w:val="0"/>
      <w:divBdr>
        <w:top w:val="none" w:sz="0" w:space="0" w:color="auto"/>
        <w:left w:val="none" w:sz="0" w:space="0" w:color="auto"/>
        <w:bottom w:val="none" w:sz="0" w:space="0" w:color="auto"/>
        <w:right w:val="none" w:sz="0" w:space="0" w:color="auto"/>
      </w:divBdr>
    </w:div>
    <w:div w:id="740104188">
      <w:bodyDiv w:val="1"/>
      <w:marLeft w:val="0"/>
      <w:marRight w:val="0"/>
      <w:marTop w:val="0"/>
      <w:marBottom w:val="0"/>
      <w:divBdr>
        <w:top w:val="none" w:sz="0" w:space="0" w:color="auto"/>
        <w:left w:val="none" w:sz="0" w:space="0" w:color="auto"/>
        <w:bottom w:val="none" w:sz="0" w:space="0" w:color="auto"/>
        <w:right w:val="none" w:sz="0" w:space="0" w:color="auto"/>
      </w:divBdr>
    </w:div>
    <w:div w:id="743917557">
      <w:bodyDiv w:val="1"/>
      <w:marLeft w:val="0"/>
      <w:marRight w:val="0"/>
      <w:marTop w:val="0"/>
      <w:marBottom w:val="0"/>
      <w:divBdr>
        <w:top w:val="none" w:sz="0" w:space="0" w:color="auto"/>
        <w:left w:val="none" w:sz="0" w:space="0" w:color="auto"/>
        <w:bottom w:val="none" w:sz="0" w:space="0" w:color="auto"/>
        <w:right w:val="none" w:sz="0" w:space="0" w:color="auto"/>
      </w:divBdr>
    </w:div>
    <w:div w:id="745372450">
      <w:bodyDiv w:val="1"/>
      <w:marLeft w:val="0"/>
      <w:marRight w:val="0"/>
      <w:marTop w:val="0"/>
      <w:marBottom w:val="0"/>
      <w:divBdr>
        <w:top w:val="none" w:sz="0" w:space="0" w:color="auto"/>
        <w:left w:val="none" w:sz="0" w:space="0" w:color="auto"/>
        <w:bottom w:val="none" w:sz="0" w:space="0" w:color="auto"/>
        <w:right w:val="none" w:sz="0" w:space="0" w:color="auto"/>
      </w:divBdr>
    </w:div>
    <w:div w:id="748304842">
      <w:bodyDiv w:val="1"/>
      <w:marLeft w:val="0"/>
      <w:marRight w:val="0"/>
      <w:marTop w:val="0"/>
      <w:marBottom w:val="0"/>
      <w:divBdr>
        <w:top w:val="none" w:sz="0" w:space="0" w:color="auto"/>
        <w:left w:val="none" w:sz="0" w:space="0" w:color="auto"/>
        <w:bottom w:val="none" w:sz="0" w:space="0" w:color="auto"/>
        <w:right w:val="none" w:sz="0" w:space="0" w:color="auto"/>
      </w:divBdr>
    </w:div>
    <w:div w:id="751850928">
      <w:bodyDiv w:val="1"/>
      <w:marLeft w:val="0"/>
      <w:marRight w:val="0"/>
      <w:marTop w:val="0"/>
      <w:marBottom w:val="0"/>
      <w:divBdr>
        <w:top w:val="none" w:sz="0" w:space="0" w:color="auto"/>
        <w:left w:val="none" w:sz="0" w:space="0" w:color="auto"/>
        <w:bottom w:val="none" w:sz="0" w:space="0" w:color="auto"/>
        <w:right w:val="none" w:sz="0" w:space="0" w:color="auto"/>
      </w:divBdr>
    </w:div>
    <w:div w:id="754671872">
      <w:bodyDiv w:val="1"/>
      <w:marLeft w:val="0"/>
      <w:marRight w:val="0"/>
      <w:marTop w:val="0"/>
      <w:marBottom w:val="0"/>
      <w:divBdr>
        <w:top w:val="none" w:sz="0" w:space="0" w:color="auto"/>
        <w:left w:val="none" w:sz="0" w:space="0" w:color="auto"/>
        <w:bottom w:val="none" w:sz="0" w:space="0" w:color="auto"/>
        <w:right w:val="none" w:sz="0" w:space="0" w:color="auto"/>
      </w:divBdr>
    </w:div>
    <w:div w:id="755711330">
      <w:bodyDiv w:val="1"/>
      <w:marLeft w:val="0"/>
      <w:marRight w:val="0"/>
      <w:marTop w:val="0"/>
      <w:marBottom w:val="0"/>
      <w:divBdr>
        <w:top w:val="none" w:sz="0" w:space="0" w:color="auto"/>
        <w:left w:val="none" w:sz="0" w:space="0" w:color="auto"/>
        <w:bottom w:val="none" w:sz="0" w:space="0" w:color="auto"/>
        <w:right w:val="none" w:sz="0" w:space="0" w:color="auto"/>
      </w:divBdr>
    </w:div>
    <w:div w:id="756250015">
      <w:bodyDiv w:val="1"/>
      <w:marLeft w:val="0"/>
      <w:marRight w:val="0"/>
      <w:marTop w:val="0"/>
      <w:marBottom w:val="0"/>
      <w:divBdr>
        <w:top w:val="none" w:sz="0" w:space="0" w:color="auto"/>
        <w:left w:val="none" w:sz="0" w:space="0" w:color="auto"/>
        <w:bottom w:val="none" w:sz="0" w:space="0" w:color="auto"/>
        <w:right w:val="none" w:sz="0" w:space="0" w:color="auto"/>
      </w:divBdr>
    </w:div>
    <w:div w:id="758528735">
      <w:bodyDiv w:val="1"/>
      <w:marLeft w:val="0"/>
      <w:marRight w:val="0"/>
      <w:marTop w:val="0"/>
      <w:marBottom w:val="0"/>
      <w:divBdr>
        <w:top w:val="none" w:sz="0" w:space="0" w:color="auto"/>
        <w:left w:val="none" w:sz="0" w:space="0" w:color="auto"/>
        <w:bottom w:val="none" w:sz="0" w:space="0" w:color="auto"/>
        <w:right w:val="none" w:sz="0" w:space="0" w:color="auto"/>
      </w:divBdr>
    </w:div>
    <w:div w:id="770709498">
      <w:bodyDiv w:val="1"/>
      <w:marLeft w:val="0"/>
      <w:marRight w:val="0"/>
      <w:marTop w:val="0"/>
      <w:marBottom w:val="0"/>
      <w:divBdr>
        <w:top w:val="none" w:sz="0" w:space="0" w:color="auto"/>
        <w:left w:val="none" w:sz="0" w:space="0" w:color="auto"/>
        <w:bottom w:val="none" w:sz="0" w:space="0" w:color="auto"/>
        <w:right w:val="none" w:sz="0" w:space="0" w:color="auto"/>
      </w:divBdr>
    </w:div>
    <w:div w:id="776099774">
      <w:bodyDiv w:val="1"/>
      <w:marLeft w:val="0"/>
      <w:marRight w:val="0"/>
      <w:marTop w:val="0"/>
      <w:marBottom w:val="0"/>
      <w:divBdr>
        <w:top w:val="none" w:sz="0" w:space="0" w:color="auto"/>
        <w:left w:val="none" w:sz="0" w:space="0" w:color="auto"/>
        <w:bottom w:val="none" w:sz="0" w:space="0" w:color="auto"/>
        <w:right w:val="none" w:sz="0" w:space="0" w:color="auto"/>
      </w:divBdr>
    </w:div>
    <w:div w:id="776366718">
      <w:bodyDiv w:val="1"/>
      <w:marLeft w:val="0"/>
      <w:marRight w:val="0"/>
      <w:marTop w:val="0"/>
      <w:marBottom w:val="0"/>
      <w:divBdr>
        <w:top w:val="none" w:sz="0" w:space="0" w:color="auto"/>
        <w:left w:val="none" w:sz="0" w:space="0" w:color="auto"/>
        <w:bottom w:val="none" w:sz="0" w:space="0" w:color="auto"/>
        <w:right w:val="none" w:sz="0" w:space="0" w:color="auto"/>
      </w:divBdr>
    </w:div>
    <w:div w:id="781268617">
      <w:bodyDiv w:val="1"/>
      <w:marLeft w:val="0"/>
      <w:marRight w:val="0"/>
      <w:marTop w:val="0"/>
      <w:marBottom w:val="0"/>
      <w:divBdr>
        <w:top w:val="none" w:sz="0" w:space="0" w:color="auto"/>
        <w:left w:val="none" w:sz="0" w:space="0" w:color="auto"/>
        <w:bottom w:val="none" w:sz="0" w:space="0" w:color="auto"/>
        <w:right w:val="none" w:sz="0" w:space="0" w:color="auto"/>
      </w:divBdr>
    </w:div>
    <w:div w:id="781457121">
      <w:bodyDiv w:val="1"/>
      <w:marLeft w:val="0"/>
      <w:marRight w:val="0"/>
      <w:marTop w:val="0"/>
      <w:marBottom w:val="0"/>
      <w:divBdr>
        <w:top w:val="none" w:sz="0" w:space="0" w:color="auto"/>
        <w:left w:val="none" w:sz="0" w:space="0" w:color="auto"/>
        <w:bottom w:val="none" w:sz="0" w:space="0" w:color="auto"/>
        <w:right w:val="none" w:sz="0" w:space="0" w:color="auto"/>
      </w:divBdr>
    </w:div>
    <w:div w:id="790519481">
      <w:bodyDiv w:val="1"/>
      <w:marLeft w:val="0"/>
      <w:marRight w:val="0"/>
      <w:marTop w:val="0"/>
      <w:marBottom w:val="0"/>
      <w:divBdr>
        <w:top w:val="none" w:sz="0" w:space="0" w:color="auto"/>
        <w:left w:val="none" w:sz="0" w:space="0" w:color="auto"/>
        <w:bottom w:val="none" w:sz="0" w:space="0" w:color="auto"/>
        <w:right w:val="none" w:sz="0" w:space="0" w:color="auto"/>
      </w:divBdr>
    </w:div>
    <w:div w:id="794912874">
      <w:bodyDiv w:val="1"/>
      <w:marLeft w:val="0"/>
      <w:marRight w:val="0"/>
      <w:marTop w:val="0"/>
      <w:marBottom w:val="0"/>
      <w:divBdr>
        <w:top w:val="none" w:sz="0" w:space="0" w:color="auto"/>
        <w:left w:val="none" w:sz="0" w:space="0" w:color="auto"/>
        <w:bottom w:val="none" w:sz="0" w:space="0" w:color="auto"/>
        <w:right w:val="none" w:sz="0" w:space="0" w:color="auto"/>
      </w:divBdr>
    </w:div>
    <w:div w:id="800151831">
      <w:bodyDiv w:val="1"/>
      <w:marLeft w:val="0"/>
      <w:marRight w:val="0"/>
      <w:marTop w:val="0"/>
      <w:marBottom w:val="0"/>
      <w:divBdr>
        <w:top w:val="none" w:sz="0" w:space="0" w:color="auto"/>
        <w:left w:val="none" w:sz="0" w:space="0" w:color="auto"/>
        <w:bottom w:val="none" w:sz="0" w:space="0" w:color="auto"/>
        <w:right w:val="none" w:sz="0" w:space="0" w:color="auto"/>
      </w:divBdr>
    </w:div>
    <w:div w:id="801768657">
      <w:bodyDiv w:val="1"/>
      <w:marLeft w:val="0"/>
      <w:marRight w:val="0"/>
      <w:marTop w:val="0"/>
      <w:marBottom w:val="0"/>
      <w:divBdr>
        <w:top w:val="none" w:sz="0" w:space="0" w:color="auto"/>
        <w:left w:val="none" w:sz="0" w:space="0" w:color="auto"/>
        <w:bottom w:val="none" w:sz="0" w:space="0" w:color="auto"/>
        <w:right w:val="none" w:sz="0" w:space="0" w:color="auto"/>
      </w:divBdr>
    </w:div>
    <w:div w:id="803499468">
      <w:bodyDiv w:val="1"/>
      <w:marLeft w:val="0"/>
      <w:marRight w:val="0"/>
      <w:marTop w:val="0"/>
      <w:marBottom w:val="0"/>
      <w:divBdr>
        <w:top w:val="none" w:sz="0" w:space="0" w:color="auto"/>
        <w:left w:val="none" w:sz="0" w:space="0" w:color="auto"/>
        <w:bottom w:val="none" w:sz="0" w:space="0" w:color="auto"/>
        <w:right w:val="none" w:sz="0" w:space="0" w:color="auto"/>
      </w:divBdr>
    </w:div>
    <w:div w:id="806164313">
      <w:bodyDiv w:val="1"/>
      <w:marLeft w:val="0"/>
      <w:marRight w:val="0"/>
      <w:marTop w:val="0"/>
      <w:marBottom w:val="0"/>
      <w:divBdr>
        <w:top w:val="none" w:sz="0" w:space="0" w:color="auto"/>
        <w:left w:val="none" w:sz="0" w:space="0" w:color="auto"/>
        <w:bottom w:val="none" w:sz="0" w:space="0" w:color="auto"/>
        <w:right w:val="none" w:sz="0" w:space="0" w:color="auto"/>
      </w:divBdr>
    </w:div>
    <w:div w:id="814445920">
      <w:bodyDiv w:val="1"/>
      <w:marLeft w:val="0"/>
      <w:marRight w:val="0"/>
      <w:marTop w:val="0"/>
      <w:marBottom w:val="0"/>
      <w:divBdr>
        <w:top w:val="none" w:sz="0" w:space="0" w:color="auto"/>
        <w:left w:val="none" w:sz="0" w:space="0" w:color="auto"/>
        <w:bottom w:val="none" w:sz="0" w:space="0" w:color="auto"/>
        <w:right w:val="none" w:sz="0" w:space="0" w:color="auto"/>
      </w:divBdr>
    </w:div>
    <w:div w:id="824124680">
      <w:bodyDiv w:val="1"/>
      <w:marLeft w:val="0"/>
      <w:marRight w:val="0"/>
      <w:marTop w:val="0"/>
      <w:marBottom w:val="0"/>
      <w:divBdr>
        <w:top w:val="none" w:sz="0" w:space="0" w:color="auto"/>
        <w:left w:val="none" w:sz="0" w:space="0" w:color="auto"/>
        <w:bottom w:val="none" w:sz="0" w:space="0" w:color="auto"/>
        <w:right w:val="none" w:sz="0" w:space="0" w:color="auto"/>
      </w:divBdr>
    </w:div>
    <w:div w:id="829979408">
      <w:bodyDiv w:val="1"/>
      <w:marLeft w:val="0"/>
      <w:marRight w:val="0"/>
      <w:marTop w:val="0"/>
      <w:marBottom w:val="0"/>
      <w:divBdr>
        <w:top w:val="none" w:sz="0" w:space="0" w:color="auto"/>
        <w:left w:val="none" w:sz="0" w:space="0" w:color="auto"/>
        <w:bottom w:val="none" w:sz="0" w:space="0" w:color="auto"/>
        <w:right w:val="none" w:sz="0" w:space="0" w:color="auto"/>
      </w:divBdr>
    </w:div>
    <w:div w:id="833573112">
      <w:bodyDiv w:val="1"/>
      <w:marLeft w:val="0"/>
      <w:marRight w:val="0"/>
      <w:marTop w:val="0"/>
      <w:marBottom w:val="0"/>
      <w:divBdr>
        <w:top w:val="none" w:sz="0" w:space="0" w:color="auto"/>
        <w:left w:val="none" w:sz="0" w:space="0" w:color="auto"/>
        <w:bottom w:val="none" w:sz="0" w:space="0" w:color="auto"/>
        <w:right w:val="none" w:sz="0" w:space="0" w:color="auto"/>
      </w:divBdr>
    </w:div>
    <w:div w:id="833835667">
      <w:bodyDiv w:val="1"/>
      <w:marLeft w:val="0"/>
      <w:marRight w:val="0"/>
      <w:marTop w:val="0"/>
      <w:marBottom w:val="0"/>
      <w:divBdr>
        <w:top w:val="none" w:sz="0" w:space="0" w:color="auto"/>
        <w:left w:val="none" w:sz="0" w:space="0" w:color="auto"/>
        <w:bottom w:val="none" w:sz="0" w:space="0" w:color="auto"/>
        <w:right w:val="none" w:sz="0" w:space="0" w:color="auto"/>
      </w:divBdr>
    </w:div>
    <w:div w:id="846136066">
      <w:bodyDiv w:val="1"/>
      <w:marLeft w:val="0"/>
      <w:marRight w:val="0"/>
      <w:marTop w:val="0"/>
      <w:marBottom w:val="0"/>
      <w:divBdr>
        <w:top w:val="none" w:sz="0" w:space="0" w:color="auto"/>
        <w:left w:val="none" w:sz="0" w:space="0" w:color="auto"/>
        <w:bottom w:val="none" w:sz="0" w:space="0" w:color="auto"/>
        <w:right w:val="none" w:sz="0" w:space="0" w:color="auto"/>
      </w:divBdr>
    </w:div>
    <w:div w:id="846867154">
      <w:bodyDiv w:val="1"/>
      <w:marLeft w:val="0"/>
      <w:marRight w:val="0"/>
      <w:marTop w:val="0"/>
      <w:marBottom w:val="0"/>
      <w:divBdr>
        <w:top w:val="none" w:sz="0" w:space="0" w:color="auto"/>
        <w:left w:val="none" w:sz="0" w:space="0" w:color="auto"/>
        <w:bottom w:val="none" w:sz="0" w:space="0" w:color="auto"/>
        <w:right w:val="none" w:sz="0" w:space="0" w:color="auto"/>
      </w:divBdr>
    </w:div>
    <w:div w:id="855462351">
      <w:bodyDiv w:val="1"/>
      <w:marLeft w:val="0"/>
      <w:marRight w:val="0"/>
      <w:marTop w:val="0"/>
      <w:marBottom w:val="0"/>
      <w:divBdr>
        <w:top w:val="none" w:sz="0" w:space="0" w:color="auto"/>
        <w:left w:val="none" w:sz="0" w:space="0" w:color="auto"/>
        <w:bottom w:val="none" w:sz="0" w:space="0" w:color="auto"/>
        <w:right w:val="none" w:sz="0" w:space="0" w:color="auto"/>
      </w:divBdr>
    </w:div>
    <w:div w:id="862324513">
      <w:bodyDiv w:val="1"/>
      <w:marLeft w:val="0"/>
      <w:marRight w:val="0"/>
      <w:marTop w:val="0"/>
      <w:marBottom w:val="0"/>
      <w:divBdr>
        <w:top w:val="none" w:sz="0" w:space="0" w:color="auto"/>
        <w:left w:val="none" w:sz="0" w:space="0" w:color="auto"/>
        <w:bottom w:val="none" w:sz="0" w:space="0" w:color="auto"/>
        <w:right w:val="none" w:sz="0" w:space="0" w:color="auto"/>
      </w:divBdr>
    </w:div>
    <w:div w:id="867377346">
      <w:bodyDiv w:val="1"/>
      <w:marLeft w:val="0"/>
      <w:marRight w:val="0"/>
      <w:marTop w:val="0"/>
      <w:marBottom w:val="0"/>
      <w:divBdr>
        <w:top w:val="none" w:sz="0" w:space="0" w:color="auto"/>
        <w:left w:val="none" w:sz="0" w:space="0" w:color="auto"/>
        <w:bottom w:val="none" w:sz="0" w:space="0" w:color="auto"/>
        <w:right w:val="none" w:sz="0" w:space="0" w:color="auto"/>
      </w:divBdr>
    </w:div>
    <w:div w:id="868684829">
      <w:bodyDiv w:val="1"/>
      <w:marLeft w:val="0"/>
      <w:marRight w:val="0"/>
      <w:marTop w:val="0"/>
      <w:marBottom w:val="0"/>
      <w:divBdr>
        <w:top w:val="none" w:sz="0" w:space="0" w:color="auto"/>
        <w:left w:val="none" w:sz="0" w:space="0" w:color="auto"/>
        <w:bottom w:val="none" w:sz="0" w:space="0" w:color="auto"/>
        <w:right w:val="none" w:sz="0" w:space="0" w:color="auto"/>
      </w:divBdr>
    </w:div>
    <w:div w:id="870612079">
      <w:bodyDiv w:val="1"/>
      <w:marLeft w:val="0"/>
      <w:marRight w:val="0"/>
      <w:marTop w:val="0"/>
      <w:marBottom w:val="0"/>
      <w:divBdr>
        <w:top w:val="none" w:sz="0" w:space="0" w:color="auto"/>
        <w:left w:val="none" w:sz="0" w:space="0" w:color="auto"/>
        <w:bottom w:val="none" w:sz="0" w:space="0" w:color="auto"/>
        <w:right w:val="none" w:sz="0" w:space="0" w:color="auto"/>
      </w:divBdr>
    </w:div>
    <w:div w:id="873426101">
      <w:bodyDiv w:val="1"/>
      <w:marLeft w:val="0"/>
      <w:marRight w:val="0"/>
      <w:marTop w:val="0"/>
      <w:marBottom w:val="0"/>
      <w:divBdr>
        <w:top w:val="none" w:sz="0" w:space="0" w:color="auto"/>
        <w:left w:val="none" w:sz="0" w:space="0" w:color="auto"/>
        <w:bottom w:val="none" w:sz="0" w:space="0" w:color="auto"/>
        <w:right w:val="none" w:sz="0" w:space="0" w:color="auto"/>
      </w:divBdr>
    </w:div>
    <w:div w:id="876551524">
      <w:bodyDiv w:val="1"/>
      <w:marLeft w:val="0"/>
      <w:marRight w:val="0"/>
      <w:marTop w:val="0"/>
      <w:marBottom w:val="0"/>
      <w:divBdr>
        <w:top w:val="none" w:sz="0" w:space="0" w:color="auto"/>
        <w:left w:val="none" w:sz="0" w:space="0" w:color="auto"/>
        <w:bottom w:val="none" w:sz="0" w:space="0" w:color="auto"/>
        <w:right w:val="none" w:sz="0" w:space="0" w:color="auto"/>
      </w:divBdr>
    </w:div>
    <w:div w:id="878277801">
      <w:bodyDiv w:val="1"/>
      <w:marLeft w:val="0"/>
      <w:marRight w:val="0"/>
      <w:marTop w:val="0"/>
      <w:marBottom w:val="0"/>
      <w:divBdr>
        <w:top w:val="none" w:sz="0" w:space="0" w:color="auto"/>
        <w:left w:val="none" w:sz="0" w:space="0" w:color="auto"/>
        <w:bottom w:val="none" w:sz="0" w:space="0" w:color="auto"/>
        <w:right w:val="none" w:sz="0" w:space="0" w:color="auto"/>
      </w:divBdr>
    </w:div>
    <w:div w:id="886138337">
      <w:bodyDiv w:val="1"/>
      <w:marLeft w:val="0"/>
      <w:marRight w:val="0"/>
      <w:marTop w:val="0"/>
      <w:marBottom w:val="0"/>
      <w:divBdr>
        <w:top w:val="none" w:sz="0" w:space="0" w:color="auto"/>
        <w:left w:val="none" w:sz="0" w:space="0" w:color="auto"/>
        <w:bottom w:val="none" w:sz="0" w:space="0" w:color="auto"/>
        <w:right w:val="none" w:sz="0" w:space="0" w:color="auto"/>
      </w:divBdr>
    </w:div>
    <w:div w:id="887109512">
      <w:bodyDiv w:val="1"/>
      <w:marLeft w:val="0"/>
      <w:marRight w:val="0"/>
      <w:marTop w:val="0"/>
      <w:marBottom w:val="0"/>
      <w:divBdr>
        <w:top w:val="none" w:sz="0" w:space="0" w:color="auto"/>
        <w:left w:val="none" w:sz="0" w:space="0" w:color="auto"/>
        <w:bottom w:val="none" w:sz="0" w:space="0" w:color="auto"/>
        <w:right w:val="none" w:sz="0" w:space="0" w:color="auto"/>
      </w:divBdr>
    </w:div>
    <w:div w:id="891427026">
      <w:bodyDiv w:val="1"/>
      <w:marLeft w:val="0"/>
      <w:marRight w:val="0"/>
      <w:marTop w:val="0"/>
      <w:marBottom w:val="0"/>
      <w:divBdr>
        <w:top w:val="none" w:sz="0" w:space="0" w:color="auto"/>
        <w:left w:val="none" w:sz="0" w:space="0" w:color="auto"/>
        <w:bottom w:val="none" w:sz="0" w:space="0" w:color="auto"/>
        <w:right w:val="none" w:sz="0" w:space="0" w:color="auto"/>
      </w:divBdr>
    </w:div>
    <w:div w:id="893463492">
      <w:bodyDiv w:val="1"/>
      <w:marLeft w:val="0"/>
      <w:marRight w:val="0"/>
      <w:marTop w:val="0"/>
      <w:marBottom w:val="0"/>
      <w:divBdr>
        <w:top w:val="none" w:sz="0" w:space="0" w:color="auto"/>
        <w:left w:val="none" w:sz="0" w:space="0" w:color="auto"/>
        <w:bottom w:val="none" w:sz="0" w:space="0" w:color="auto"/>
        <w:right w:val="none" w:sz="0" w:space="0" w:color="auto"/>
      </w:divBdr>
    </w:div>
    <w:div w:id="897059013">
      <w:bodyDiv w:val="1"/>
      <w:marLeft w:val="0"/>
      <w:marRight w:val="0"/>
      <w:marTop w:val="0"/>
      <w:marBottom w:val="0"/>
      <w:divBdr>
        <w:top w:val="none" w:sz="0" w:space="0" w:color="auto"/>
        <w:left w:val="none" w:sz="0" w:space="0" w:color="auto"/>
        <w:bottom w:val="none" w:sz="0" w:space="0" w:color="auto"/>
        <w:right w:val="none" w:sz="0" w:space="0" w:color="auto"/>
      </w:divBdr>
    </w:div>
    <w:div w:id="898708915">
      <w:bodyDiv w:val="1"/>
      <w:marLeft w:val="0"/>
      <w:marRight w:val="0"/>
      <w:marTop w:val="0"/>
      <w:marBottom w:val="0"/>
      <w:divBdr>
        <w:top w:val="none" w:sz="0" w:space="0" w:color="auto"/>
        <w:left w:val="none" w:sz="0" w:space="0" w:color="auto"/>
        <w:bottom w:val="none" w:sz="0" w:space="0" w:color="auto"/>
        <w:right w:val="none" w:sz="0" w:space="0" w:color="auto"/>
      </w:divBdr>
    </w:div>
    <w:div w:id="900142568">
      <w:bodyDiv w:val="1"/>
      <w:marLeft w:val="0"/>
      <w:marRight w:val="0"/>
      <w:marTop w:val="0"/>
      <w:marBottom w:val="0"/>
      <w:divBdr>
        <w:top w:val="none" w:sz="0" w:space="0" w:color="auto"/>
        <w:left w:val="none" w:sz="0" w:space="0" w:color="auto"/>
        <w:bottom w:val="none" w:sz="0" w:space="0" w:color="auto"/>
        <w:right w:val="none" w:sz="0" w:space="0" w:color="auto"/>
      </w:divBdr>
    </w:div>
    <w:div w:id="901600975">
      <w:bodyDiv w:val="1"/>
      <w:marLeft w:val="0"/>
      <w:marRight w:val="0"/>
      <w:marTop w:val="0"/>
      <w:marBottom w:val="0"/>
      <w:divBdr>
        <w:top w:val="none" w:sz="0" w:space="0" w:color="auto"/>
        <w:left w:val="none" w:sz="0" w:space="0" w:color="auto"/>
        <w:bottom w:val="none" w:sz="0" w:space="0" w:color="auto"/>
        <w:right w:val="none" w:sz="0" w:space="0" w:color="auto"/>
      </w:divBdr>
    </w:div>
    <w:div w:id="908230587">
      <w:bodyDiv w:val="1"/>
      <w:marLeft w:val="0"/>
      <w:marRight w:val="0"/>
      <w:marTop w:val="0"/>
      <w:marBottom w:val="0"/>
      <w:divBdr>
        <w:top w:val="none" w:sz="0" w:space="0" w:color="auto"/>
        <w:left w:val="none" w:sz="0" w:space="0" w:color="auto"/>
        <w:bottom w:val="none" w:sz="0" w:space="0" w:color="auto"/>
        <w:right w:val="none" w:sz="0" w:space="0" w:color="auto"/>
      </w:divBdr>
    </w:div>
    <w:div w:id="908732015">
      <w:bodyDiv w:val="1"/>
      <w:marLeft w:val="0"/>
      <w:marRight w:val="0"/>
      <w:marTop w:val="0"/>
      <w:marBottom w:val="0"/>
      <w:divBdr>
        <w:top w:val="none" w:sz="0" w:space="0" w:color="auto"/>
        <w:left w:val="none" w:sz="0" w:space="0" w:color="auto"/>
        <w:bottom w:val="none" w:sz="0" w:space="0" w:color="auto"/>
        <w:right w:val="none" w:sz="0" w:space="0" w:color="auto"/>
      </w:divBdr>
    </w:div>
    <w:div w:id="909269533">
      <w:bodyDiv w:val="1"/>
      <w:marLeft w:val="0"/>
      <w:marRight w:val="0"/>
      <w:marTop w:val="0"/>
      <w:marBottom w:val="0"/>
      <w:divBdr>
        <w:top w:val="none" w:sz="0" w:space="0" w:color="auto"/>
        <w:left w:val="none" w:sz="0" w:space="0" w:color="auto"/>
        <w:bottom w:val="none" w:sz="0" w:space="0" w:color="auto"/>
        <w:right w:val="none" w:sz="0" w:space="0" w:color="auto"/>
      </w:divBdr>
    </w:div>
    <w:div w:id="909733510">
      <w:bodyDiv w:val="1"/>
      <w:marLeft w:val="0"/>
      <w:marRight w:val="0"/>
      <w:marTop w:val="0"/>
      <w:marBottom w:val="0"/>
      <w:divBdr>
        <w:top w:val="none" w:sz="0" w:space="0" w:color="auto"/>
        <w:left w:val="none" w:sz="0" w:space="0" w:color="auto"/>
        <w:bottom w:val="none" w:sz="0" w:space="0" w:color="auto"/>
        <w:right w:val="none" w:sz="0" w:space="0" w:color="auto"/>
      </w:divBdr>
    </w:div>
    <w:div w:id="919678376">
      <w:bodyDiv w:val="1"/>
      <w:marLeft w:val="0"/>
      <w:marRight w:val="0"/>
      <w:marTop w:val="0"/>
      <w:marBottom w:val="0"/>
      <w:divBdr>
        <w:top w:val="none" w:sz="0" w:space="0" w:color="auto"/>
        <w:left w:val="none" w:sz="0" w:space="0" w:color="auto"/>
        <w:bottom w:val="none" w:sz="0" w:space="0" w:color="auto"/>
        <w:right w:val="none" w:sz="0" w:space="0" w:color="auto"/>
      </w:divBdr>
    </w:div>
    <w:div w:id="921917361">
      <w:bodyDiv w:val="1"/>
      <w:marLeft w:val="0"/>
      <w:marRight w:val="0"/>
      <w:marTop w:val="0"/>
      <w:marBottom w:val="0"/>
      <w:divBdr>
        <w:top w:val="none" w:sz="0" w:space="0" w:color="auto"/>
        <w:left w:val="none" w:sz="0" w:space="0" w:color="auto"/>
        <w:bottom w:val="none" w:sz="0" w:space="0" w:color="auto"/>
        <w:right w:val="none" w:sz="0" w:space="0" w:color="auto"/>
      </w:divBdr>
    </w:div>
    <w:div w:id="924387501">
      <w:bodyDiv w:val="1"/>
      <w:marLeft w:val="0"/>
      <w:marRight w:val="0"/>
      <w:marTop w:val="0"/>
      <w:marBottom w:val="0"/>
      <w:divBdr>
        <w:top w:val="none" w:sz="0" w:space="0" w:color="auto"/>
        <w:left w:val="none" w:sz="0" w:space="0" w:color="auto"/>
        <w:bottom w:val="none" w:sz="0" w:space="0" w:color="auto"/>
        <w:right w:val="none" w:sz="0" w:space="0" w:color="auto"/>
      </w:divBdr>
    </w:div>
    <w:div w:id="930625116">
      <w:bodyDiv w:val="1"/>
      <w:marLeft w:val="0"/>
      <w:marRight w:val="0"/>
      <w:marTop w:val="0"/>
      <w:marBottom w:val="0"/>
      <w:divBdr>
        <w:top w:val="none" w:sz="0" w:space="0" w:color="auto"/>
        <w:left w:val="none" w:sz="0" w:space="0" w:color="auto"/>
        <w:bottom w:val="none" w:sz="0" w:space="0" w:color="auto"/>
        <w:right w:val="none" w:sz="0" w:space="0" w:color="auto"/>
      </w:divBdr>
    </w:div>
    <w:div w:id="934020468">
      <w:bodyDiv w:val="1"/>
      <w:marLeft w:val="0"/>
      <w:marRight w:val="0"/>
      <w:marTop w:val="0"/>
      <w:marBottom w:val="0"/>
      <w:divBdr>
        <w:top w:val="none" w:sz="0" w:space="0" w:color="auto"/>
        <w:left w:val="none" w:sz="0" w:space="0" w:color="auto"/>
        <w:bottom w:val="none" w:sz="0" w:space="0" w:color="auto"/>
        <w:right w:val="none" w:sz="0" w:space="0" w:color="auto"/>
      </w:divBdr>
    </w:div>
    <w:div w:id="935136815">
      <w:bodyDiv w:val="1"/>
      <w:marLeft w:val="0"/>
      <w:marRight w:val="0"/>
      <w:marTop w:val="0"/>
      <w:marBottom w:val="0"/>
      <w:divBdr>
        <w:top w:val="none" w:sz="0" w:space="0" w:color="auto"/>
        <w:left w:val="none" w:sz="0" w:space="0" w:color="auto"/>
        <w:bottom w:val="none" w:sz="0" w:space="0" w:color="auto"/>
        <w:right w:val="none" w:sz="0" w:space="0" w:color="auto"/>
      </w:divBdr>
    </w:div>
    <w:div w:id="936837981">
      <w:bodyDiv w:val="1"/>
      <w:marLeft w:val="0"/>
      <w:marRight w:val="0"/>
      <w:marTop w:val="0"/>
      <w:marBottom w:val="0"/>
      <w:divBdr>
        <w:top w:val="none" w:sz="0" w:space="0" w:color="auto"/>
        <w:left w:val="none" w:sz="0" w:space="0" w:color="auto"/>
        <w:bottom w:val="none" w:sz="0" w:space="0" w:color="auto"/>
        <w:right w:val="none" w:sz="0" w:space="0" w:color="auto"/>
      </w:divBdr>
      <w:divsChild>
        <w:div w:id="67584014">
          <w:marLeft w:val="0"/>
          <w:marRight w:val="0"/>
          <w:marTop w:val="0"/>
          <w:marBottom w:val="0"/>
          <w:divBdr>
            <w:top w:val="none" w:sz="0" w:space="0" w:color="auto"/>
            <w:left w:val="none" w:sz="0" w:space="0" w:color="auto"/>
            <w:bottom w:val="none" w:sz="0" w:space="0" w:color="auto"/>
            <w:right w:val="none" w:sz="0" w:space="0" w:color="auto"/>
          </w:divBdr>
        </w:div>
        <w:div w:id="1844970135">
          <w:marLeft w:val="0"/>
          <w:marRight w:val="0"/>
          <w:marTop w:val="0"/>
          <w:marBottom w:val="0"/>
          <w:divBdr>
            <w:top w:val="none" w:sz="0" w:space="0" w:color="auto"/>
            <w:left w:val="none" w:sz="0" w:space="0" w:color="auto"/>
            <w:bottom w:val="none" w:sz="0" w:space="0" w:color="auto"/>
            <w:right w:val="none" w:sz="0" w:space="0" w:color="auto"/>
          </w:divBdr>
        </w:div>
        <w:div w:id="1620797096">
          <w:marLeft w:val="0"/>
          <w:marRight w:val="0"/>
          <w:marTop w:val="0"/>
          <w:marBottom w:val="0"/>
          <w:divBdr>
            <w:top w:val="none" w:sz="0" w:space="0" w:color="auto"/>
            <w:left w:val="none" w:sz="0" w:space="0" w:color="auto"/>
            <w:bottom w:val="none" w:sz="0" w:space="0" w:color="auto"/>
            <w:right w:val="none" w:sz="0" w:space="0" w:color="auto"/>
          </w:divBdr>
        </w:div>
        <w:div w:id="1442529386">
          <w:marLeft w:val="0"/>
          <w:marRight w:val="0"/>
          <w:marTop w:val="0"/>
          <w:marBottom w:val="0"/>
          <w:divBdr>
            <w:top w:val="none" w:sz="0" w:space="0" w:color="auto"/>
            <w:left w:val="none" w:sz="0" w:space="0" w:color="auto"/>
            <w:bottom w:val="none" w:sz="0" w:space="0" w:color="auto"/>
            <w:right w:val="none" w:sz="0" w:space="0" w:color="auto"/>
          </w:divBdr>
        </w:div>
      </w:divsChild>
    </w:div>
    <w:div w:id="936868381">
      <w:bodyDiv w:val="1"/>
      <w:marLeft w:val="0"/>
      <w:marRight w:val="0"/>
      <w:marTop w:val="0"/>
      <w:marBottom w:val="0"/>
      <w:divBdr>
        <w:top w:val="none" w:sz="0" w:space="0" w:color="auto"/>
        <w:left w:val="none" w:sz="0" w:space="0" w:color="auto"/>
        <w:bottom w:val="none" w:sz="0" w:space="0" w:color="auto"/>
        <w:right w:val="none" w:sz="0" w:space="0" w:color="auto"/>
      </w:divBdr>
    </w:div>
    <w:div w:id="940839155">
      <w:bodyDiv w:val="1"/>
      <w:marLeft w:val="0"/>
      <w:marRight w:val="0"/>
      <w:marTop w:val="0"/>
      <w:marBottom w:val="0"/>
      <w:divBdr>
        <w:top w:val="none" w:sz="0" w:space="0" w:color="auto"/>
        <w:left w:val="none" w:sz="0" w:space="0" w:color="auto"/>
        <w:bottom w:val="none" w:sz="0" w:space="0" w:color="auto"/>
        <w:right w:val="none" w:sz="0" w:space="0" w:color="auto"/>
      </w:divBdr>
    </w:div>
    <w:div w:id="947127857">
      <w:bodyDiv w:val="1"/>
      <w:marLeft w:val="0"/>
      <w:marRight w:val="0"/>
      <w:marTop w:val="0"/>
      <w:marBottom w:val="0"/>
      <w:divBdr>
        <w:top w:val="none" w:sz="0" w:space="0" w:color="auto"/>
        <w:left w:val="none" w:sz="0" w:space="0" w:color="auto"/>
        <w:bottom w:val="none" w:sz="0" w:space="0" w:color="auto"/>
        <w:right w:val="none" w:sz="0" w:space="0" w:color="auto"/>
      </w:divBdr>
    </w:div>
    <w:div w:id="955600614">
      <w:bodyDiv w:val="1"/>
      <w:marLeft w:val="0"/>
      <w:marRight w:val="0"/>
      <w:marTop w:val="0"/>
      <w:marBottom w:val="0"/>
      <w:divBdr>
        <w:top w:val="none" w:sz="0" w:space="0" w:color="auto"/>
        <w:left w:val="none" w:sz="0" w:space="0" w:color="auto"/>
        <w:bottom w:val="none" w:sz="0" w:space="0" w:color="auto"/>
        <w:right w:val="none" w:sz="0" w:space="0" w:color="auto"/>
      </w:divBdr>
    </w:div>
    <w:div w:id="958922942">
      <w:bodyDiv w:val="1"/>
      <w:marLeft w:val="0"/>
      <w:marRight w:val="0"/>
      <w:marTop w:val="0"/>
      <w:marBottom w:val="0"/>
      <w:divBdr>
        <w:top w:val="none" w:sz="0" w:space="0" w:color="auto"/>
        <w:left w:val="none" w:sz="0" w:space="0" w:color="auto"/>
        <w:bottom w:val="none" w:sz="0" w:space="0" w:color="auto"/>
        <w:right w:val="none" w:sz="0" w:space="0" w:color="auto"/>
      </w:divBdr>
    </w:div>
    <w:div w:id="962273157">
      <w:bodyDiv w:val="1"/>
      <w:marLeft w:val="0"/>
      <w:marRight w:val="0"/>
      <w:marTop w:val="0"/>
      <w:marBottom w:val="0"/>
      <w:divBdr>
        <w:top w:val="none" w:sz="0" w:space="0" w:color="auto"/>
        <w:left w:val="none" w:sz="0" w:space="0" w:color="auto"/>
        <w:bottom w:val="none" w:sz="0" w:space="0" w:color="auto"/>
        <w:right w:val="none" w:sz="0" w:space="0" w:color="auto"/>
      </w:divBdr>
    </w:div>
    <w:div w:id="966862819">
      <w:bodyDiv w:val="1"/>
      <w:marLeft w:val="0"/>
      <w:marRight w:val="0"/>
      <w:marTop w:val="0"/>
      <w:marBottom w:val="0"/>
      <w:divBdr>
        <w:top w:val="none" w:sz="0" w:space="0" w:color="auto"/>
        <w:left w:val="none" w:sz="0" w:space="0" w:color="auto"/>
        <w:bottom w:val="none" w:sz="0" w:space="0" w:color="auto"/>
        <w:right w:val="none" w:sz="0" w:space="0" w:color="auto"/>
      </w:divBdr>
    </w:div>
    <w:div w:id="969362232">
      <w:bodyDiv w:val="1"/>
      <w:marLeft w:val="0"/>
      <w:marRight w:val="0"/>
      <w:marTop w:val="0"/>
      <w:marBottom w:val="0"/>
      <w:divBdr>
        <w:top w:val="none" w:sz="0" w:space="0" w:color="auto"/>
        <w:left w:val="none" w:sz="0" w:space="0" w:color="auto"/>
        <w:bottom w:val="none" w:sz="0" w:space="0" w:color="auto"/>
        <w:right w:val="none" w:sz="0" w:space="0" w:color="auto"/>
      </w:divBdr>
    </w:div>
    <w:div w:id="972177155">
      <w:bodyDiv w:val="1"/>
      <w:marLeft w:val="0"/>
      <w:marRight w:val="0"/>
      <w:marTop w:val="0"/>
      <w:marBottom w:val="0"/>
      <w:divBdr>
        <w:top w:val="none" w:sz="0" w:space="0" w:color="auto"/>
        <w:left w:val="none" w:sz="0" w:space="0" w:color="auto"/>
        <w:bottom w:val="none" w:sz="0" w:space="0" w:color="auto"/>
        <w:right w:val="none" w:sz="0" w:space="0" w:color="auto"/>
      </w:divBdr>
    </w:div>
    <w:div w:id="972444586">
      <w:bodyDiv w:val="1"/>
      <w:marLeft w:val="0"/>
      <w:marRight w:val="0"/>
      <w:marTop w:val="0"/>
      <w:marBottom w:val="0"/>
      <w:divBdr>
        <w:top w:val="none" w:sz="0" w:space="0" w:color="auto"/>
        <w:left w:val="none" w:sz="0" w:space="0" w:color="auto"/>
        <w:bottom w:val="none" w:sz="0" w:space="0" w:color="auto"/>
        <w:right w:val="none" w:sz="0" w:space="0" w:color="auto"/>
      </w:divBdr>
    </w:div>
    <w:div w:id="979964573">
      <w:bodyDiv w:val="1"/>
      <w:marLeft w:val="0"/>
      <w:marRight w:val="0"/>
      <w:marTop w:val="0"/>
      <w:marBottom w:val="0"/>
      <w:divBdr>
        <w:top w:val="none" w:sz="0" w:space="0" w:color="auto"/>
        <w:left w:val="none" w:sz="0" w:space="0" w:color="auto"/>
        <w:bottom w:val="none" w:sz="0" w:space="0" w:color="auto"/>
        <w:right w:val="none" w:sz="0" w:space="0" w:color="auto"/>
      </w:divBdr>
    </w:div>
    <w:div w:id="985552460">
      <w:bodyDiv w:val="1"/>
      <w:marLeft w:val="0"/>
      <w:marRight w:val="0"/>
      <w:marTop w:val="0"/>
      <w:marBottom w:val="0"/>
      <w:divBdr>
        <w:top w:val="none" w:sz="0" w:space="0" w:color="auto"/>
        <w:left w:val="none" w:sz="0" w:space="0" w:color="auto"/>
        <w:bottom w:val="none" w:sz="0" w:space="0" w:color="auto"/>
        <w:right w:val="none" w:sz="0" w:space="0" w:color="auto"/>
      </w:divBdr>
    </w:div>
    <w:div w:id="991055792">
      <w:bodyDiv w:val="1"/>
      <w:marLeft w:val="0"/>
      <w:marRight w:val="0"/>
      <w:marTop w:val="0"/>
      <w:marBottom w:val="0"/>
      <w:divBdr>
        <w:top w:val="none" w:sz="0" w:space="0" w:color="auto"/>
        <w:left w:val="none" w:sz="0" w:space="0" w:color="auto"/>
        <w:bottom w:val="none" w:sz="0" w:space="0" w:color="auto"/>
        <w:right w:val="none" w:sz="0" w:space="0" w:color="auto"/>
      </w:divBdr>
    </w:div>
    <w:div w:id="996568370">
      <w:bodyDiv w:val="1"/>
      <w:marLeft w:val="0"/>
      <w:marRight w:val="0"/>
      <w:marTop w:val="0"/>
      <w:marBottom w:val="0"/>
      <w:divBdr>
        <w:top w:val="none" w:sz="0" w:space="0" w:color="auto"/>
        <w:left w:val="none" w:sz="0" w:space="0" w:color="auto"/>
        <w:bottom w:val="none" w:sz="0" w:space="0" w:color="auto"/>
        <w:right w:val="none" w:sz="0" w:space="0" w:color="auto"/>
      </w:divBdr>
    </w:div>
    <w:div w:id="998844365">
      <w:bodyDiv w:val="1"/>
      <w:marLeft w:val="0"/>
      <w:marRight w:val="0"/>
      <w:marTop w:val="0"/>
      <w:marBottom w:val="0"/>
      <w:divBdr>
        <w:top w:val="none" w:sz="0" w:space="0" w:color="auto"/>
        <w:left w:val="none" w:sz="0" w:space="0" w:color="auto"/>
        <w:bottom w:val="none" w:sz="0" w:space="0" w:color="auto"/>
        <w:right w:val="none" w:sz="0" w:space="0" w:color="auto"/>
      </w:divBdr>
    </w:div>
    <w:div w:id="999961833">
      <w:bodyDiv w:val="1"/>
      <w:marLeft w:val="0"/>
      <w:marRight w:val="0"/>
      <w:marTop w:val="0"/>
      <w:marBottom w:val="0"/>
      <w:divBdr>
        <w:top w:val="none" w:sz="0" w:space="0" w:color="auto"/>
        <w:left w:val="none" w:sz="0" w:space="0" w:color="auto"/>
        <w:bottom w:val="none" w:sz="0" w:space="0" w:color="auto"/>
        <w:right w:val="none" w:sz="0" w:space="0" w:color="auto"/>
      </w:divBdr>
    </w:div>
    <w:div w:id="1000305265">
      <w:bodyDiv w:val="1"/>
      <w:marLeft w:val="0"/>
      <w:marRight w:val="0"/>
      <w:marTop w:val="0"/>
      <w:marBottom w:val="0"/>
      <w:divBdr>
        <w:top w:val="none" w:sz="0" w:space="0" w:color="auto"/>
        <w:left w:val="none" w:sz="0" w:space="0" w:color="auto"/>
        <w:bottom w:val="none" w:sz="0" w:space="0" w:color="auto"/>
        <w:right w:val="none" w:sz="0" w:space="0" w:color="auto"/>
      </w:divBdr>
    </w:div>
    <w:div w:id="1000885403">
      <w:bodyDiv w:val="1"/>
      <w:marLeft w:val="0"/>
      <w:marRight w:val="0"/>
      <w:marTop w:val="0"/>
      <w:marBottom w:val="0"/>
      <w:divBdr>
        <w:top w:val="none" w:sz="0" w:space="0" w:color="auto"/>
        <w:left w:val="none" w:sz="0" w:space="0" w:color="auto"/>
        <w:bottom w:val="none" w:sz="0" w:space="0" w:color="auto"/>
        <w:right w:val="none" w:sz="0" w:space="0" w:color="auto"/>
      </w:divBdr>
    </w:div>
    <w:div w:id="1003051849">
      <w:bodyDiv w:val="1"/>
      <w:marLeft w:val="0"/>
      <w:marRight w:val="0"/>
      <w:marTop w:val="0"/>
      <w:marBottom w:val="0"/>
      <w:divBdr>
        <w:top w:val="none" w:sz="0" w:space="0" w:color="auto"/>
        <w:left w:val="none" w:sz="0" w:space="0" w:color="auto"/>
        <w:bottom w:val="none" w:sz="0" w:space="0" w:color="auto"/>
        <w:right w:val="none" w:sz="0" w:space="0" w:color="auto"/>
      </w:divBdr>
    </w:div>
    <w:div w:id="1004088514">
      <w:bodyDiv w:val="1"/>
      <w:marLeft w:val="0"/>
      <w:marRight w:val="0"/>
      <w:marTop w:val="0"/>
      <w:marBottom w:val="0"/>
      <w:divBdr>
        <w:top w:val="none" w:sz="0" w:space="0" w:color="auto"/>
        <w:left w:val="none" w:sz="0" w:space="0" w:color="auto"/>
        <w:bottom w:val="none" w:sz="0" w:space="0" w:color="auto"/>
        <w:right w:val="none" w:sz="0" w:space="0" w:color="auto"/>
      </w:divBdr>
    </w:div>
    <w:div w:id="1018435217">
      <w:bodyDiv w:val="1"/>
      <w:marLeft w:val="0"/>
      <w:marRight w:val="0"/>
      <w:marTop w:val="0"/>
      <w:marBottom w:val="0"/>
      <w:divBdr>
        <w:top w:val="none" w:sz="0" w:space="0" w:color="auto"/>
        <w:left w:val="none" w:sz="0" w:space="0" w:color="auto"/>
        <w:bottom w:val="none" w:sz="0" w:space="0" w:color="auto"/>
        <w:right w:val="none" w:sz="0" w:space="0" w:color="auto"/>
      </w:divBdr>
    </w:div>
    <w:div w:id="1025473884">
      <w:bodyDiv w:val="1"/>
      <w:marLeft w:val="0"/>
      <w:marRight w:val="0"/>
      <w:marTop w:val="0"/>
      <w:marBottom w:val="0"/>
      <w:divBdr>
        <w:top w:val="none" w:sz="0" w:space="0" w:color="auto"/>
        <w:left w:val="none" w:sz="0" w:space="0" w:color="auto"/>
        <w:bottom w:val="none" w:sz="0" w:space="0" w:color="auto"/>
        <w:right w:val="none" w:sz="0" w:space="0" w:color="auto"/>
      </w:divBdr>
    </w:div>
    <w:div w:id="1025639968">
      <w:bodyDiv w:val="1"/>
      <w:marLeft w:val="0"/>
      <w:marRight w:val="0"/>
      <w:marTop w:val="0"/>
      <w:marBottom w:val="0"/>
      <w:divBdr>
        <w:top w:val="none" w:sz="0" w:space="0" w:color="auto"/>
        <w:left w:val="none" w:sz="0" w:space="0" w:color="auto"/>
        <w:bottom w:val="none" w:sz="0" w:space="0" w:color="auto"/>
        <w:right w:val="none" w:sz="0" w:space="0" w:color="auto"/>
      </w:divBdr>
    </w:div>
    <w:div w:id="1035082620">
      <w:bodyDiv w:val="1"/>
      <w:marLeft w:val="0"/>
      <w:marRight w:val="0"/>
      <w:marTop w:val="0"/>
      <w:marBottom w:val="0"/>
      <w:divBdr>
        <w:top w:val="none" w:sz="0" w:space="0" w:color="auto"/>
        <w:left w:val="none" w:sz="0" w:space="0" w:color="auto"/>
        <w:bottom w:val="none" w:sz="0" w:space="0" w:color="auto"/>
        <w:right w:val="none" w:sz="0" w:space="0" w:color="auto"/>
      </w:divBdr>
    </w:div>
    <w:div w:id="1046106249">
      <w:bodyDiv w:val="1"/>
      <w:marLeft w:val="0"/>
      <w:marRight w:val="0"/>
      <w:marTop w:val="0"/>
      <w:marBottom w:val="0"/>
      <w:divBdr>
        <w:top w:val="none" w:sz="0" w:space="0" w:color="auto"/>
        <w:left w:val="none" w:sz="0" w:space="0" w:color="auto"/>
        <w:bottom w:val="none" w:sz="0" w:space="0" w:color="auto"/>
        <w:right w:val="none" w:sz="0" w:space="0" w:color="auto"/>
      </w:divBdr>
    </w:div>
    <w:div w:id="1046217466">
      <w:bodyDiv w:val="1"/>
      <w:marLeft w:val="0"/>
      <w:marRight w:val="0"/>
      <w:marTop w:val="0"/>
      <w:marBottom w:val="0"/>
      <w:divBdr>
        <w:top w:val="none" w:sz="0" w:space="0" w:color="auto"/>
        <w:left w:val="none" w:sz="0" w:space="0" w:color="auto"/>
        <w:bottom w:val="none" w:sz="0" w:space="0" w:color="auto"/>
        <w:right w:val="none" w:sz="0" w:space="0" w:color="auto"/>
      </w:divBdr>
    </w:div>
    <w:div w:id="1052271157">
      <w:bodyDiv w:val="1"/>
      <w:marLeft w:val="0"/>
      <w:marRight w:val="0"/>
      <w:marTop w:val="0"/>
      <w:marBottom w:val="0"/>
      <w:divBdr>
        <w:top w:val="none" w:sz="0" w:space="0" w:color="auto"/>
        <w:left w:val="none" w:sz="0" w:space="0" w:color="auto"/>
        <w:bottom w:val="none" w:sz="0" w:space="0" w:color="auto"/>
        <w:right w:val="none" w:sz="0" w:space="0" w:color="auto"/>
      </w:divBdr>
    </w:div>
    <w:div w:id="1055860997">
      <w:bodyDiv w:val="1"/>
      <w:marLeft w:val="0"/>
      <w:marRight w:val="0"/>
      <w:marTop w:val="0"/>
      <w:marBottom w:val="0"/>
      <w:divBdr>
        <w:top w:val="none" w:sz="0" w:space="0" w:color="auto"/>
        <w:left w:val="none" w:sz="0" w:space="0" w:color="auto"/>
        <w:bottom w:val="none" w:sz="0" w:space="0" w:color="auto"/>
        <w:right w:val="none" w:sz="0" w:space="0" w:color="auto"/>
      </w:divBdr>
    </w:div>
    <w:div w:id="1057319690">
      <w:bodyDiv w:val="1"/>
      <w:marLeft w:val="0"/>
      <w:marRight w:val="0"/>
      <w:marTop w:val="0"/>
      <w:marBottom w:val="0"/>
      <w:divBdr>
        <w:top w:val="none" w:sz="0" w:space="0" w:color="auto"/>
        <w:left w:val="none" w:sz="0" w:space="0" w:color="auto"/>
        <w:bottom w:val="none" w:sz="0" w:space="0" w:color="auto"/>
        <w:right w:val="none" w:sz="0" w:space="0" w:color="auto"/>
      </w:divBdr>
    </w:div>
    <w:div w:id="1058168259">
      <w:bodyDiv w:val="1"/>
      <w:marLeft w:val="0"/>
      <w:marRight w:val="0"/>
      <w:marTop w:val="0"/>
      <w:marBottom w:val="0"/>
      <w:divBdr>
        <w:top w:val="none" w:sz="0" w:space="0" w:color="auto"/>
        <w:left w:val="none" w:sz="0" w:space="0" w:color="auto"/>
        <w:bottom w:val="none" w:sz="0" w:space="0" w:color="auto"/>
        <w:right w:val="none" w:sz="0" w:space="0" w:color="auto"/>
      </w:divBdr>
    </w:div>
    <w:div w:id="1060787739">
      <w:bodyDiv w:val="1"/>
      <w:marLeft w:val="0"/>
      <w:marRight w:val="0"/>
      <w:marTop w:val="0"/>
      <w:marBottom w:val="0"/>
      <w:divBdr>
        <w:top w:val="none" w:sz="0" w:space="0" w:color="auto"/>
        <w:left w:val="none" w:sz="0" w:space="0" w:color="auto"/>
        <w:bottom w:val="none" w:sz="0" w:space="0" w:color="auto"/>
        <w:right w:val="none" w:sz="0" w:space="0" w:color="auto"/>
      </w:divBdr>
    </w:div>
    <w:div w:id="1067190045">
      <w:bodyDiv w:val="1"/>
      <w:marLeft w:val="0"/>
      <w:marRight w:val="0"/>
      <w:marTop w:val="0"/>
      <w:marBottom w:val="0"/>
      <w:divBdr>
        <w:top w:val="none" w:sz="0" w:space="0" w:color="auto"/>
        <w:left w:val="none" w:sz="0" w:space="0" w:color="auto"/>
        <w:bottom w:val="none" w:sz="0" w:space="0" w:color="auto"/>
        <w:right w:val="none" w:sz="0" w:space="0" w:color="auto"/>
      </w:divBdr>
    </w:div>
    <w:div w:id="1070033656">
      <w:bodyDiv w:val="1"/>
      <w:marLeft w:val="0"/>
      <w:marRight w:val="0"/>
      <w:marTop w:val="0"/>
      <w:marBottom w:val="0"/>
      <w:divBdr>
        <w:top w:val="none" w:sz="0" w:space="0" w:color="auto"/>
        <w:left w:val="none" w:sz="0" w:space="0" w:color="auto"/>
        <w:bottom w:val="none" w:sz="0" w:space="0" w:color="auto"/>
        <w:right w:val="none" w:sz="0" w:space="0" w:color="auto"/>
      </w:divBdr>
    </w:div>
    <w:div w:id="1073164863">
      <w:bodyDiv w:val="1"/>
      <w:marLeft w:val="0"/>
      <w:marRight w:val="0"/>
      <w:marTop w:val="0"/>
      <w:marBottom w:val="0"/>
      <w:divBdr>
        <w:top w:val="none" w:sz="0" w:space="0" w:color="auto"/>
        <w:left w:val="none" w:sz="0" w:space="0" w:color="auto"/>
        <w:bottom w:val="none" w:sz="0" w:space="0" w:color="auto"/>
        <w:right w:val="none" w:sz="0" w:space="0" w:color="auto"/>
      </w:divBdr>
    </w:div>
    <w:div w:id="1073351809">
      <w:bodyDiv w:val="1"/>
      <w:marLeft w:val="0"/>
      <w:marRight w:val="0"/>
      <w:marTop w:val="0"/>
      <w:marBottom w:val="0"/>
      <w:divBdr>
        <w:top w:val="none" w:sz="0" w:space="0" w:color="auto"/>
        <w:left w:val="none" w:sz="0" w:space="0" w:color="auto"/>
        <w:bottom w:val="none" w:sz="0" w:space="0" w:color="auto"/>
        <w:right w:val="none" w:sz="0" w:space="0" w:color="auto"/>
      </w:divBdr>
    </w:div>
    <w:div w:id="1075274675">
      <w:bodyDiv w:val="1"/>
      <w:marLeft w:val="0"/>
      <w:marRight w:val="0"/>
      <w:marTop w:val="0"/>
      <w:marBottom w:val="0"/>
      <w:divBdr>
        <w:top w:val="none" w:sz="0" w:space="0" w:color="auto"/>
        <w:left w:val="none" w:sz="0" w:space="0" w:color="auto"/>
        <w:bottom w:val="none" w:sz="0" w:space="0" w:color="auto"/>
        <w:right w:val="none" w:sz="0" w:space="0" w:color="auto"/>
      </w:divBdr>
    </w:div>
    <w:div w:id="1077704475">
      <w:bodyDiv w:val="1"/>
      <w:marLeft w:val="0"/>
      <w:marRight w:val="0"/>
      <w:marTop w:val="0"/>
      <w:marBottom w:val="0"/>
      <w:divBdr>
        <w:top w:val="none" w:sz="0" w:space="0" w:color="auto"/>
        <w:left w:val="none" w:sz="0" w:space="0" w:color="auto"/>
        <w:bottom w:val="none" w:sz="0" w:space="0" w:color="auto"/>
        <w:right w:val="none" w:sz="0" w:space="0" w:color="auto"/>
      </w:divBdr>
    </w:div>
    <w:div w:id="1084376030">
      <w:bodyDiv w:val="1"/>
      <w:marLeft w:val="0"/>
      <w:marRight w:val="0"/>
      <w:marTop w:val="0"/>
      <w:marBottom w:val="0"/>
      <w:divBdr>
        <w:top w:val="none" w:sz="0" w:space="0" w:color="auto"/>
        <w:left w:val="none" w:sz="0" w:space="0" w:color="auto"/>
        <w:bottom w:val="none" w:sz="0" w:space="0" w:color="auto"/>
        <w:right w:val="none" w:sz="0" w:space="0" w:color="auto"/>
      </w:divBdr>
    </w:div>
    <w:div w:id="1085879062">
      <w:bodyDiv w:val="1"/>
      <w:marLeft w:val="0"/>
      <w:marRight w:val="0"/>
      <w:marTop w:val="0"/>
      <w:marBottom w:val="0"/>
      <w:divBdr>
        <w:top w:val="none" w:sz="0" w:space="0" w:color="auto"/>
        <w:left w:val="none" w:sz="0" w:space="0" w:color="auto"/>
        <w:bottom w:val="none" w:sz="0" w:space="0" w:color="auto"/>
        <w:right w:val="none" w:sz="0" w:space="0" w:color="auto"/>
      </w:divBdr>
    </w:div>
    <w:div w:id="1090934001">
      <w:bodyDiv w:val="1"/>
      <w:marLeft w:val="0"/>
      <w:marRight w:val="0"/>
      <w:marTop w:val="0"/>
      <w:marBottom w:val="0"/>
      <w:divBdr>
        <w:top w:val="none" w:sz="0" w:space="0" w:color="auto"/>
        <w:left w:val="none" w:sz="0" w:space="0" w:color="auto"/>
        <w:bottom w:val="none" w:sz="0" w:space="0" w:color="auto"/>
        <w:right w:val="none" w:sz="0" w:space="0" w:color="auto"/>
      </w:divBdr>
    </w:div>
    <w:div w:id="1092319632">
      <w:bodyDiv w:val="1"/>
      <w:marLeft w:val="0"/>
      <w:marRight w:val="0"/>
      <w:marTop w:val="0"/>
      <w:marBottom w:val="0"/>
      <w:divBdr>
        <w:top w:val="none" w:sz="0" w:space="0" w:color="auto"/>
        <w:left w:val="none" w:sz="0" w:space="0" w:color="auto"/>
        <w:bottom w:val="none" w:sz="0" w:space="0" w:color="auto"/>
        <w:right w:val="none" w:sz="0" w:space="0" w:color="auto"/>
      </w:divBdr>
    </w:div>
    <w:div w:id="1097824563">
      <w:bodyDiv w:val="1"/>
      <w:marLeft w:val="0"/>
      <w:marRight w:val="0"/>
      <w:marTop w:val="0"/>
      <w:marBottom w:val="0"/>
      <w:divBdr>
        <w:top w:val="none" w:sz="0" w:space="0" w:color="auto"/>
        <w:left w:val="none" w:sz="0" w:space="0" w:color="auto"/>
        <w:bottom w:val="none" w:sz="0" w:space="0" w:color="auto"/>
        <w:right w:val="none" w:sz="0" w:space="0" w:color="auto"/>
      </w:divBdr>
    </w:div>
    <w:div w:id="1097868140">
      <w:bodyDiv w:val="1"/>
      <w:marLeft w:val="0"/>
      <w:marRight w:val="0"/>
      <w:marTop w:val="0"/>
      <w:marBottom w:val="0"/>
      <w:divBdr>
        <w:top w:val="none" w:sz="0" w:space="0" w:color="auto"/>
        <w:left w:val="none" w:sz="0" w:space="0" w:color="auto"/>
        <w:bottom w:val="none" w:sz="0" w:space="0" w:color="auto"/>
        <w:right w:val="none" w:sz="0" w:space="0" w:color="auto"/>
      </w:divBdr>
    </w:div>
    <w:div w:id="1097870466">
      <w:bodyDiv w:val="1"/>
      <w:marLeft w:val="0"/>
      <w:marRight w:val="0"/>
      <w:marTop w:val="0"/>
      <w:marBottom w:val="0"/>
      <w:divBdr>
        <w:top w:val="none" w:sz="0" w:space="0" w:color="auto"/>
        <w:left w:val="none" w:sz="0" w:space="0" w:color="auto"/>
        <w:bottom w:val="none" w:sz="0" w:space="0" w:color="auto"/>
        <w:right w:val="none" w:sz="0" w:space="0" w:color="auto"/>
      </w:divBdr>
    </w:div>
    <w:div w:id="1098797003">
      <w:bodyDiv w:val="1"/>
      <w:marLeft w:val="0"/>
      <w:marRight w:val="0"/>
      <w:marTop w:val="0"/>
      <w:marBottom w:val="0"/>
      <w:divBdr>
        <w:top w:val="none" w:sz="0" w:space="0" w:color="auto"/>
        <w:left w:val="none" w:sz="0" w:space="0" w:color="auto"/>
        <w:bottom w:val="none" w:sz="0" w:space="0" w:color="auto"/>
        <w:right w:val="none" w:sz="0" w:space="0" w:color="auto"/>
      </w:divBdr>
    </w:div>
    <w:div w:id="1100029786">
      <w:bodyDiv w:val="1"/>
      <w:marLeft w:val="0"/>
      <w:marRight w:val="0"/>
      <w:marTop w:val="0"/>
      <w:marBottom w:val="0"/>
      <w:divBdr>
        <w:top w:val="none" w:sz="0" w:space="0" w:color="auto"/>
        <w:left w:val="none" w:sz="0" w:space="0" w:color="auto"/>
        <w:bottom w:val="none" w:sz="0" w:space="0" w:color="auto"/>
        <w:right w:val="none" w:sz="0" w:space="0" w:color="auto"/>
      </w:divBdr>
    </w:div>
    <w:div w:id="1102799103">
      <w:bodyDiv w:val="1"/>
      <w:marLeft w:val="0"/>
      <w:marRight w:val="0"/>
      <w:marTop w:val="0"/>
      <w:marBottom w:val="0"/>
      <w:divBdr>
        <w:top w:val="none" w:sz="0" w:space="0" w:color="auto"/>
        <w:left w:val="none" w:sz="0" w:space="0" w:color="auto"/>
        <w:bottom w:val="none" w:sz="0" w:space="0" w:color="auto"/>
        <w:right w:val="none" w:sz="0" w:space="0" w:color="auto"/>
      </w:divBdr>
    </w:div>
    <w:div w:id="1104229972">
      <w:bodyDiv w:val="1"/>
      <w:marLeft w:val="0"/>
      <w:marRight w:val="0"/>
      <w:marTop w:val="0"/>
      <w:marBottom w:val="0"/>
      <w:divBdr>
        <w:top w:val="none" w:sz="0" w:space="0" w:color="auto"/>
        <w:left w:val="none" w:sz="0" w:space="0" w:color="auto"/>
        <w:bottom w:val="none" w:sz="0" w:space="0" w:color="auto"/>
        <w:right w:val="none" w:sz="0" w:space="0" w:color="auto"/>
      </w:divBdr>
    </w:div>
    <w:div w:id="1105736026">
      <w:bodyDiv w:val="1"/>
      <w:marLeft w:val="0"/>
      <w:marRight w:val="0"/>
      <w:marTop w:val="0"/>
      <w:marBottom w:val="0"/>
      <w:divBdr>
        <w:top w:val="none" w:sz="0" w:space="0" w:color="auto"/>
        <w:left w:val="none" w:sz="0" w:space="0" w:color="auto"/>
        <w:bottom w:val="none" w:sz="0" w:space="0" w:color="auto"/>
        <w:right w:val="none" w:sz="0" w:space="0" w:color="auto"/>
      </w:divBdr>
    </w:div>
    <w:div w:id="1106539812">
      <w:bodyDiv w:val="1"/>
      <w:marLeft w:val="0"/>
      <w:marRight w:val="0"/>
      <w:marTop w:val="0"/>
      <w:marBottom w:val="0"/>
      <w:divBdr>
        <w:top w:val="none" w:sz="0" w:space="0" w:color="auto"/>
        <w:left w:val="none" w:sz="0" w:space="0" w:color="auto"/>
        <w:bottom w:val="none" w:sz="0" w:space="0" w:color="auto"/>
        <w:right w:val="none" w:sz="0" w:space="0" w:color="auto"/>
      </w:divBdr>
    </w:div>
    <w:div w:id="1108350817">
      <w:bodyDiv w:val="1"/>
      <w:marLeft w:val="0"/>
      <w:marRight w:val="0"/>
      <w:marTop w:val="0"/>
      <w:marBottom w:val="0"/>
      <w:divBdr>
        <w:top w:val="none" w:sz="0" w:space="0" w:color="auto"/>
        <w:left w:val="none" w:sz="0" w:space="0" w:color="auto"/>
        <w:bottom w:val="none" w:sz="0" w:space="0" w:color="auto"/>
        <w:right w:val="none" w:sz="0" w:space="0" w:color="auto"/>
      </w:divBdr>
    </w:div>
    <w:div w:id="1109011143">
      <w:bodyDiv w:val="1"/>
      <w:marLeft w:val="0"/>
      <w:marRight w:val="0"/>
      <w:marTop w:val="0"/>
      <w:marBottom w:val="0"/>
      <w:divBdr>
        <w:top w:val="none" w:sz="0" w:space="0" w:color="auto"/>
        <w:left w:val="none" w:sz="0" w:space="0" w:color="auto"/>
        <w:bottom w:val="none" w:sz="0" w:space="0" w:color="auto"/>
        <w:right w:val="none" w:sz="0" w:space="0" w:color="auto"/>
      </w:divBdr>
    </w:div>
    <w:div w:id="1112171813">
      <w:bodyDiv w:val="1"/>
      <w:marLeft w:val="0"/>
      <w:marRight w:val="0"/>
      <w:marTop w:val="0"/>
      <w:marBottom w:val="0"/>
      <w:divBdr>
        <w:top w:val="none" w:sz="0" w:space="0" w:color="auto"/>
        <w:left w:val="none" w:sz="0" w:space="0" w:color="auto"/>
        <w:bottom w:val="none" w:sz="0" w:space="0" w:color="auto"/>
        <w:right w:val="none" w:sz="0" w:space="0" w:color="auto"/>
      </w:divBdr>
    </w:div>
    <w:div w:id="1113861669">
      <w:bodyDiv w:val="1"/>
      <w:marLeft w:val="0"/>
      <w:marRight w:val="0"/>
      <w:marTop w:val="0"/>
      <w:marBottom w:val="0"/>
      <w:divBdr>
        <w:top w:val="none" w:sz="0" w:space="0" w:color="auto"/>
        <w:left w:val="none" w:sz="0" w:space="0" w:color="auto"/>
        <w:bottom w:val="none" w:sz="0" w:space="0" w:color="auto"/>
        <w:right w:val="none" w:sz="0" w:space="0" w:color="auto"/>
      </w:divBdr>
    </w:div>
    <w:div w:id="1119029011">
      <w:bodyDiv w:val="1"/>
      <w:marLeft w:val="0"/>
      <w:marRight w:val="0"/>
      <w:marTop w:val="0"/>
      <w:marBottom w:val="0"/>
      <w:divBdr>
        <w:top w:val="none" w:sz="0" w:space="0" w:color="auto"/>
        <w:left w:val="none" w:sz="0" w:space="0" w:color="auto"/>
        <w:bottom w:val="none" w:sz="0" w:space="0" w:color="auto"/>
        <w:right w:val="none" w:sz="0" w:space="0" w:color="auto"/>
      </w:divBdr>
    </w:div>
    <w:div w:id="1119297683">
      <w:bodyDiv w:val="1"/>
      <w:marLeft w:val="0"/>
      <w:marRight w:val="0"/>
      <w:marTop w:val="0"/>
      <w:marBottom w:val="0"/>
      <w:divBdr>
        <w:top w:val="none" w:sz="0" w:space="0" w:color="auto"/>
        <w:left w:val="none" w:sz="0" w:space="0" w:color="auto"/>
        <w:bottom w:val="none" w:sz="0" w:space="0" w:color="auto"/>
        <w:right w:val="none" w:sz="0" w:space="0" w:color="auto"/>
      </w:divBdr>
    </w:div>
    <w:div w:id="1121731255">
      <w:bodyDiv w:val="1"/>
      <w:marLeft w:val="0"/>
      <w:marRight w:val="0"/>
      <w:marTop w:val="0"/>
      <w:marBottom w:val="0"/>
      <w:divBdr>
        <w:top w:val="none" w:sz="0" w:space="0" w:color="auto"/>
        <w:left w:val="none" w:sz="0" w:space="0" w:color="auto"/>
        <w:bottom w:val="none" w:sz="0" w:space="0" w:color="auto"/>
        <w:right w:val="none" w:sz="0" w:space="0" w:color="auto"/>
      </w:divBdr>
    </w:div>
    <w:div w:id="1133327382">
      <w:bodyDiv w:val="1"/>
      <w:marLeft w:val="0"/>
      <w:marRight w:val="0"/>
      <w:marTop w:val="0"/>
      <w:marBottom w:val="0"/>
      <w:divBdr>
        <w:top w:val="none" w:sz="0" w:space="0" w:color="auto"/>
        <w:left w:val="none" w:sz="0" w:space="0" w:color="auto"/>
        <w:bottom w:val="none" w:sz="0" w:space="0" w:color="auto"/>
        <w:right w:val="none" w:sz="0" w:space="0" w:color="auto"/>
      </w:divBdr>
    </w:div>
    <w:div w:id="1133986593">
      <w:bodyDiv w:val="1"/>
      <w:marLeft w:val="0"/>
      <w:marRight w:val="0"/>
      <w:marTop w:val="0"/>
      <w:marBottom w:val="0"/>
      <w:divBdr>
        <w:top w:val="none" w:sz="0" w:space="0" w:color="auto"/>
        <w:left w:val="none" w:sz="0" w:space="0" w:color="auto"/>
        <w:bottom w:val="none" w:sz="0" w:space="0" w:color="auto"/>
        <w:right w:val="none" w:sz="0" w:space="0" w:color="auto"/>
      </w:divBdr>
    </w:div>
    <w:div w:id="1136871678">
      <w:bodyDiv w:val="1"/>
      <w:marLeft w:val="0"/>
      <w:marRight w:val="0"/>
      <w:marTop w:val="0"/>
      <w:marBottom w:val="0"/>
      <w:divBdr>
        <w:top w:val="none" w:sz="0" w:space="0" w:color="auto"/>
        <w:left w:val="none" w:sz="0" w:space="0" w:color="auto"/>
        <w:bottom w:val="none" w:sz="0" w:space="0" w:color="auto"/>
        <w:right w:val="none" w:sz="0" w:space="0" w:color="auto"/>
      </w:divBdr>
    </w:div>
    <w:div w:id="1143622424">
      <w:bodyDiv w:val="1"/>
      <w:marLeft w:val="0"/>
      <w:marRight w:val="0"/>
      <w:marTop w:val="0"/>
      <w:marBottom w:val="0"/>
      <w:divBdr>
        <w:top w:val="none" w:sz="0" w:space="0" w:color="auto"/>
        <w:left w:val="none" w:sz="0" w:space="0" w:color="auto"/>
        <w:bottom w:val="none" w:sz="0" w:space="0" w:color="auto"/>
        <w:right w:val="none" w:sz="0" w:space="0" w:color="auto"/>
      </w:divBdr>
    </w:div>
    <w:div w:id="1144616740">
      <w:bodyDiv w:val="1"/>
      <w:marLeft w:val="0"/>
      <w:marRight w:val="0"/>
      <w:marTop w:val="0"/>
      <w:marBottom w:val="0"/>
      <w:divBdr>
        <w:top w:val="none" w:sz="0" w:space="0" w:color="auto"/>
        <w:left w:val="none" w:sz="0" w:space="0" w:color="auto"/>
        <w:bottom w:val="none" w:sz="0" w:space="0" w:color="auto"/>
        <w:right w:val="none" w:sz="0" w:space="0" w:color="auto"/>
      </w:divBdr>
    </w:div>
    <w:div w:id="1146045677">
      <w:bodyDiv w:val="1"/>
      <w:marLeft w:val="0"/>
      <w:marRight w:val="0"/>
      <w:marTop w:val="0"/>
      <w:marBottom w:val="0"/>
      <w:divBdr>
        <w:top w:val="none" w:sz="0" w:space="0" w:color="auto"/>
        <w:left w:val="none" w:sz="0" w:space="0" w:color="auto"/>
        <w:bottom w:val="none" w:sz="0" w:space="0" w:color="auto"/>
        <w:right w:val="none" w:sz="0" w:space="0" w:color="auto"/>
      </w:divBdr>
    </w:div>
    <w:div w:id="1148595960">
      <w:bodyDiv w:val="1"/>
      <w:marLeft w:val="0"/>
      <w:marRight w:val="0"/>
      <w:marTop w:val="0"/>
      <w:marBottom w:val="0"/>
      <w:divBdr>
        <w:top w:val="none" w:sz="0" w:space="0" w:color="auto"/>
        <w:left w:val="none" w:sz="0" w:space="0" w:color="auto"/>
        <w:bottom w:val="none" w:sz="0" w:space="0" w:color="auto"/>
        <w:right w:val="none" w:sz="0" w:space="0" w:color="auto"/>
      </w:divBdr>
    </w:div>
    <w:div w:id="1150712080">
      <w:bodyDiv w:val="1"/>
      <w:marLeft w:val="0"/>
      <w:marRight w:val="0"/>
      <w:marTop w:val="0"/>
      <w:marBottom w:val="0"/>
      <w:divBdr>
        <w:top w:val="none" w:sz="0" w:space="0" w:color="auto"/>
        <w:left w:val="none" w:sz="0" w:space="0" w:color="auto"/>
        <w:bottom w:val="none" w:sz="0" w:space="0" w:color="auto"/>
        <w:right w:val="none" w:sz="0" w:space="0" w:color="auto"/>
      </w:divBdr>
    </w:div>
    <w:div w:id="1156259552">
      <w:bodyDiv w:val="1"/>
      <w:marLeft w:val="0"/>
      <w:marRight w:val="0"/>
      <w:marTop w:val="0"/>
      <w:marBottom w:val="0"/>
      <w:divBdr>
        <w:top w:val="none" w:sz="0" w:space="0" w:color="auto"/>
        <w:left w:val="none" w:sz="0" w:space="0" w:color="auto"/>
        <w:bottom w:val="none" w:sz="0" w:space="0" w:color="auto"/>
        <w:right w:val="none" w:sz="0" w:space="0" w:color="auto"/>
      </w:divBdr>
    </w:div>
    <w:div w:id="1156531299">
      <w:bodyDiv w:val="1"/>
      <w:marLeft w:val="0"/>
      <w:marRight w:val="0"/>
      <w:marTop w:val="0"/>
      <w:marBottom w:val="0"/>
      <w:divBdr>
        <w:top w:val="none" w:sz="0" w:space="0" w:color="auto"/>
        <w:left w:val="none" w:sz="0" w:space="0" w:color="auto"/>
        <w:bottom w:val="none" w:sz="0" w:space="0" w:color="auto"/>
        <w:right w:val="none" w:sz="0" w:space="0" w:color="auto"/>
      </w:divBdr>
    </w:div>
    <w:div w:id="1161115938">
      <w:bodyDiv w:val="1"/>
      <w:marLeft w:val="0"/>
      <w:marRight w:val="0"/>
      <w:marTop w:val="0"/>
      <w:marBottom w:val="0"/>
      <w:divBdr>
        <w:top w:val="none" w:sz="0" w:space="0" w:color="auto"/>
        <w:left w:val="none" w:sz="0" w:space="0" w:color="auto"/>
        <w:bottom w:val="none" w:sz="0" w:space="0" w:color="auto"/>
        <w:right w:val="none" w:sz="0" w:space="0" w:color="auto"/>
      </w:divBdr>
    </w:div>
    <w:div w:id="1162356557">
      <w:bodyDiv w:val="1"/>
      <w:marLeft w:val="0"/>
      <w:marRight w:val="0"/>
      <w:marTop w:val="0"/>
      <w:marBottom w:val="0"/>
      <w:divBdr>
        <w:top w:val="none" w:sz="0" w:space="0" w:color="auto"/>
        <w:left w:val="none" w:sz="0" w:space="0" w:color="auto"/>
        <w:bottom w:val="none" w:sz="0" w:space="0" w:color="auto"/>
        <w:right w:val="none" w:sz="0" w:space="0" w:color="auto"/>
      </w:divBdr>
    </w:div>
    <w:div w:id="1166363648">
      <w:bodyDiv w:val="1"/>
      <w:marLeft w:val="0"/>
      <w:marRight w:val="0"/>
      <w:marTop w:val="0"/>
      <w:marBottom w:val="0"/>
      <w:divBdr>
        <w:top w:val="none" w:sz="0" w:space="0" w:color="auto"/>
        <w:left w:val="none" w:sz="0" w:space="0" w:color="auto"/>
        <w:bottom w:val="none" w:sz="0" w:space="0" w:color="auto"/>
        <w:right w:val="none" w:sz="0" w:space="0" w:color="auto"/>
      </w:divBdr>
    </w:div>
    <w:div w:id="1167864653">
      <w:bodyDiv w:val="1"/>
      <w:marLeft w:val="0"/>
      <w:marRight w:val="0"/>
      <w:marTop w:val="0"/>
      <w:marBottom w:val="0"/>
      <w:divBdr>
        <w:top w:val="none" w:sz="0" w:space="0" w:color="auto"/>
        <w:left w:val="none" w:sz="0" w:space="0" w:color="auto"/>
        <w:bottom w:val="none" w:sz="0" w:space="0" w:color="auto"/>
        <w:right w:val="none" w:sz="0" w:space="0" w:color="auto"/>
      </w:divBdr>
    </w:div>
    <w:div w:id="1168406807">
      <w:bodyDiv w:val="1"/>
      <w:marLeft w:val="0"/>
      <w:marRight w:val="0"/>
      <w:marTop w:val="0"/>
      <w:marBottom w:val="0"/>
      <w:divBdr>
        <w:top w:val="none" w:sz="0" w:space="0" w:color="auto"/>
        <w:left w:val="none" w:sz="0" w:space="0" w:color="auto"/>
        <w:bottom w:val="none" w:sz="0" w:space="0" w:color="auto"/>
        <w:right w:val="none" w:sz="0" w:space="0" w:color="auto"/>
      </w:divBdr>
    </w:div>
    <w:div w:id="1172142370">
      <w:bodyDiv w:val="1"/>
      <w:marLeft w:val="0"/>
      <w:marRight w:val="0"/>
      <w:marTop w:val="0"/>
      <w:marBottom w:val="0"/>
      <w:divBdr>
        <w:top w:val="none" w:sz="0" w:space="0" w:color="auto"/>
        <w:left w:val="none" w:sz="0" w:space="0" w:color="auto"/>
        <w:bottom w:val="none" w:sz="0" w:space="0" w:color="auto"/>
        <w:right w:val="none" w:sz="0" w:space="0" w:color="auto"/>
      </w:divBdr>
    </w:div>
    <w:div w:id="1177619742">
      <w:bodyDiv w:val="1"/>
      <w:marLeft w:val="0"/>
      <w:marRight w:val="0"/>
      <w:marTop w:val="0"/>
      <w:marBottom w:val="0"/>
      <w:divBdr>
        <w:top w:val="none" w:sz="0" w:space="0" w:color="auto"/>
        <w:left w:val="none" w:sz="0" w:space="0" w:color="auto"/>
        <w:bottom w:val="none" w:sz="0" w:space="0" w:color="auto"/>
        <w:right w:val="none" w:sz="0" w:space="0" w:color="auto"/>
      </w:divBdr>
    </w:div>
    <w:div w:id="1179269312">
      <w:bodyDiv w:val="1"/>
      <w:marLeft w:val="0"/>
      <w:marRight w:val="0"/>
      <w:marTop w:val="0"/>
      <w:marBottom w:val="0"/>
      <w:divBdr>
        <w:top w:val="none" w:sz="0" w:space="0" w:color="auto"/>
        <w:left w:val="none" w:sz="0" w:space="0" w:color="auto"/>
        <w:bottom w:val="none" w:sz="0" w:space="0" w:color="auto"/>
        <w:right w:val="none" w:sz="0" w:space="0" w:color="auto"/>
      </w:divBdr>
    </w:div>
    <w:div w:id="1182479034">
      <w:bodyDiv w:val="1"/>
      <w:marLeft w:val="0"/>
      <w:marRight w:val="0"/>
      <w:marTop w:val="0"/>
      <w:marBottom w:val="0"/>
      <w:divBdr>
        <w:top w:val="none" w:sz="0" w:space="0" w:color="auto"/>
        <w:left w:val="none" w:sz="0" w:space="0" w:color="auto"/>
        <w:bottom w:val="none" w:sz="0" w:space="0" w:color="auto"/>
        <w:right w:val="none" w:sz="0" w:space="0" w:color="auto"/>
      </w:divBdr>
    </w:div>
    <w:div w:id="1184058273">
      <w:bodyDiv w:val="1"/>
      <w:marLeft w:val="0"/>
      <w:marRight w:val="0"/>
      <w:marTop w:val="0"/>
      <w:marBottom w:val="0"/>
      <w:divBdr>
        <w:top w:val="none" w:sz="0" w:space="0" w:color="auto"/>
        <w:left w:val="none" w:sz="0" w:space="0" w:color="auto"/>
        <w:bottom w:val="none" w:sz="0" w:space="0" w:color="auto"/>
        <w:right w:val="none" w:sz="0" w:space="0" w:color="auto"/>
      </w:divBdr>
    </w:div>
    <w:div w:id="1186016084">
      <w:bodyDiv w:val="1"/>
      <w:marLeft w:val="0"/>
      <w:marRight w:val="0"/>
      <w:marTop w:val="0"/>
      <w:marBottom w:val="0"/>
      <w:divBdr>
        <w:top w:val="none" w:sz="0" w:space="0" w:color="auto"/>
        <w:left w:val="none" w:sz="0" w:space="0" w:color="auto"/>
        <w:bottom w:val="none" w:sz="0" w:space="0" w:color="auto"/>
        <w:right w:val="none" w:sz="0" w:space="0" w:color="auto"/>
      </w:divBdr>
    </w:div>
    <w:div w:id="1188056154">
      <w:bodyDiv w:val="1"/>
      <w:marLeft w:val="0"/>
      <w:marRight w:val="0"/>
      <w:marTop w:val="0"/>
      <w:marBottom w:val="0"/>
      <w:divBdr>
        <w:top w:val="none" w:sz="0" w:space="0" w:color="auto"/>
        <w:left w:val="none" w:sz="0" w:space="0" w:color="auto"/>
        <w:bottom w:val="none" w:sz="0" w:space="0" w:color="auto"/>
        <w:right w:val="none" w:sz="0" w:space="0" w:color="auto"/>
      </w:divBdr>
    </w:div>
    <w:div w:id="1193690169">
      <w:bodyDiv w:val="1"/>
      <w:marLeft w:val="0"/>
      <w:marRight w:val="0"/>
      <w:marTop w:val="0"/>
      <w:marBottom w:val="0"/>
      <w:divBdr>
        <w:top w:val="none" w:sz="0" w:space="0" w:color="auto"/>
        <w:left w:val="none" w:sz="0" w:space="0" w:color="auto"/>
        <w:bottom w:val="none" w:sz="0" w:space="0" w:color="auto"/>
        <w:right w:val="none" w:sz="0" w:space="0" w:color="auto"/>
      </w:divBdr>
    </w:div>
    <w:div w:id="1194029656">
      <w:bodyDiv w:val="1"/>
      <w:marLeft w:val="0"/>
      <w:marRight w:val="0"/>
      <w:marTop w:val="0"/>
      <w:marBottom w:val="0"/>
      <w:divBdr>
        <w:top w:val="none" w:sz="0" w:space="0" w:color="auto"/>
        <w:left w:val="none" w:sz="0" w:space="0" w:color="auto"/>
        <w:bottom w:val="none" w:sz="0" w:space="0" w:color="auto"/>
        <w:right w:val="none" w:sz="0" w:space="0" w:color="auto"/>
      </w:divBdr>
    </w:div>
    <w:div w:id="1195535632">
      <w:bodyDiv w:val="1"/>
      <w:marLeft w:val="0"/>
      <w:marRight w:val="0"/>
      <w:marTop w:val="0"/>
      <w:marBottom w:val="0"/>
      <w:divBdr>
        <w:top w:val="none" w:sz="0" w:space="0" w:color="auto"/>
        <w:left w:val="none" w:sz="0" w:space="0" w:color="auto"/>
        <w:bottom w:val="none" w:sz="0" w:space="0" w:color="auto"/>
        <w:right w:val="none" w:sz="0" w:space="0" w:color="auto"/>
      </w:divBdr>
    </w:div>
    <w:div w:id="1197767678">
      <w:bodyDiv w:val="1"/>
      <w:marLeft w:val="0"/>
      <w:marRight w:val="0"/>
      <w:marTop w:val="0"/>
      <w:marBottom w:val="0"/>
      <w:divBdr>
        <w:top w:val="none" w:sz="0" w:space="0" w:color="auto"/>
        <w:left w:val="none" w:sz="0" w:space="0" w:color="auto"/>
        <w:bottom w:val="none" w:sz="0" w:space="0" w:color="auto"/>
        <w:right w:val="none" w:sz="0" w:space="0" w:color="auto"/>
      </w:divBdr>
    </w:div>
    <w:div w:id="1200318757">
      <w:bodyDiv w:val="1"/>
      <w:marLeft w:val="0"/>
      <w:marRight w:val="0"/>
      <w:marTop w:val="0"/>
      <w:marBottom w:val="0"/>
      <w:divBdr>
        <w:top w:val="none" w:sz="0" w:space="0" w:color="auto"/>
        <w:left w:val="none" w:sz="0" w:space="0" w:color="auto"/>
        <w:bottom w:val="none" w:sz="0" w:space="0" w:color="auto"/>
        <w:right w:val="none" w:sz="0" w:space="0" w:color="auto"/>
      </w:divBdr>
    </w:div>
    <w:div w:id="1205293281">
      <w:bodyDiv w:val="1"/>
      <w:marLeft w:val="0"/>
      <w:marRight w:val="0"/>
      <w:marTop w:val="0"/>
      <w:marBottom w:val="0"/>
      <w:divBdr>
        <w:top w:val="none" w:sz="0" w:space="0" w:color="auto"/>
        <w:left w:val="none" w:sz="0" w:space="0" w:color="auto"/>
        <w:bottom w:val="none" w:sz="0" w:space="0" w:color="auto"/>
        <w:right w:val="none" w:sz="0" w:space="0" w:color="auto"/>
      </w:divBdr>
    </w:div>
    <w:div w:id="1205949831">
      <w:bodyDiv w:val="1"/>
      <w:marLeft w:val="0"/>
      <w:marRight w:val="0"/>
      <w:marTop w:val="0"/>
      <w:marBottom w:val="0"/>
      <w:divBdr>
        <w:top w:val="none" w:sz="0" w:space="0" w:color="auto"/>
        <w:left w:val="none" w:sz="0" w:space="0" w:color="auto"/>
        <w:bottom w:val="none" w:sz="0" w:space="0" w:color="auto"/>
        <w:right w:val="none" w:sz="0" w:space="0" w:color="auto"/>
      </w:divBdr>
    </w:div>
    <w:div w:id="1209338887">
      <w:bodyDiv w:val="1"/>
      <w:marLeft w:val="0"/>
      <w:marRight w:val="0"/>
      <w:marTop w:val="0"/>
      <w:marBottom w:val="0"/>
      <w:divBdr>
        <w:top w:val="none" w:sz="0" w:space="0" w:color="auto"/>
        <w:left w:val="none" w:sz="0" w:space="0" w:color="auto"/>
        <w:bottom w:val="none" w:sz="0" w:space="0" w:color="auto"/>
        <w:right w:val="none" w:sz="0" w:space="0" w:color="auto"/>
      </w:divBdr>
    </w:div>
    <w:div w:id="1211922411">
      <w:bodyDiv w:val="1"/>
      <w:marLeft w:val="0"/>
      <w:marRight w:val="0"/>
      <w:marTop w:val="0"/>
      <w:marBottom w:val="0"/>
      <w:divBdr>
        <w:top w:val="none" w:sz="0" w:space="0" w:color="auto"/>
        <w:left w:val="none" w:sz="0" w:space="0" w:color="auto"/>
        <w:bottom w:val="none" w:sz="0" w:space="0" w:color="auto"/>
        <w:right w:val="none" w:sz="0" w:space="0" w:color="auto"/>
      </w:divBdr>
    </w:div>
    <w:div w:id="1213736864">
      <w:bodyDiv w:val="1"/>
      <w:marLeft w:val="0"/>
      <w:marRight w:val="0"/>
      <w:marTop w:val="0"/>
      <w:marBottom w:val="0"/>
      <w:divBdr>
        <w:top w:val="none" w:sz="0" w:space="0" w:color="auto"/>
        <w:left w:val="none" w:sz="0" w:space="0" w:color="auto"/>
        <w:bottom w:val="none" w:sz="0" w:space="0" w:color="auto"/>
        <w:right w:val="none" w:sz="0" w:space="0" w:color="auto"/>
      </w:divBdr>
    </w:div>
    <w:div w:id="1220288868">
      <w:bodyDiv w:val="1"/>
      <w:marLeft w:val="0"/>
      <w:marRight w:val="0"/>
      <w:marTop w:val="0"/>
      <w:marBottom w:val="0"/>
      <w:divBdr>
        <w:top w:val="none" w:sz="0" w:space="0" w:color="auto"/>
        <w:left w:val="none" w:sz="0" w:space="0" w:color="auto"/>
        <w:bottom w:val="none" w:sz="0" w:space="0" w:color="auto"/>
        <w:right w:val="none" w:sz="0" w:space="0" w:color="auto"/>
      </w:divBdr>
    </w:div>
    <w:div w:id="1224216352">
      <w:bodyDiv w:val="1"/>
      <w:marLeft w:val="0"/>
      <w:marRight w:val="0"/>
      <w:marTop w:val="0"/>
      <w:marBottom w:val="0"/>
      <w:divBdr>
        <w:top w:val="none" w:sz="0" w:space="0" w:color="auto"/>
        <w:left w:val="none" w:sz="0" w:space="0" w:color="auto"/>
        <w:bottom w:val="none" w:sz="0" w:space="0" w:color="auto"/>
        <w:right w:val="none" w:sz="0" w:space="0" w:color="auto"/>
      </w:divBdr>
    </w:div>
    <w:div w:id="1226573840">
      <w:bodyDiv w:val="1"/>
      <w:marLeft w:val="0"/>
      <w:marRight w:val="0"/>
      <w:marTop w:val="0"/>
      <w:marBottom w:val="0"/>
      <w:divBdr>
        <w:top w:val="none" w:sz="0" w:space="0" w:color="auto"/>
        <w:left w:val="none" w:sz="0" w:space="0" w:color="auto"/>
        <w:bottom w:val="none" w:sz="0" w:space="0" w:color="auto"/>
        <w:right w:val="none" w:sz="0" w:space="0" w:color="auto"/>
      </w:divBdr>
    </w:div>
    <w:div w:id="1232618021">
      <w:bodyDiv w:val="1"/>
      <w:marLeft w:val="0"/>
      <w:marRight w:val="0"/>
      <w:marTop w:val="0"/>
      <w:marBottom w:val="0"/>
      <w:divBdr>
        <w:top w:val="none" w:sz="0" w:space="0" w:color="auto"/>
        <w:left w:val="none" w:sz="0" w:space="0" w:color="auto"/>
        <w:bottom w:val="none" w:sz="0" w:space="0" w:color="auto"/>
        <w:right w:val="none" w:sz="0" w:space="0" w:color="auto"/>
      </w:divBdr>
    </w:div>
    <w:div w:id="1237132748">
      <w:bodyDiv w:val="1"/>
      <w:marLeft w:val="0"/>
      <w:marRight w:val="0"/>
      <w:marTop w:val="0"/>
      <w:marBottom w:val="0"/>
      <w:divBdr>
        <w:top w:val="none" w:sz="0" w:space="0" w:color="auto"/>
        <w:left w:val="none" w:sz="0" w:space="0" w:color="auto"/>
        <w:bottom w:val="none" w:sz="0" w:space="0" w:color="auto"/>
        <w:right w:val="none" w:sz="0" w:space="0" w:color="auto"/>
      </w:divBdr>
    </w:div>
    <w:div w:id="1243830614">
      <w:bodyDiv w:val="1"/>
      <w:marLeft w:val="0"/>
      <w:marRight w:val="0"/>
      <w:marTop w:val="0"/>
      <w:marBottom w:val="0"/>
      <w:divBdr>
        <w:top w:val="none" w:sz="0" w:space="0" w:color="auto"/>
        <w:left w:val="none" w:sz="0" w:space="0" w:color="auto"/>
        <w:bottom w:val="none" w:sz="0" w:space="0" w:color="auto"/>
        <w:right w:val="none" w:sz="0" w:space="0" w:color="auto"/>
      </w:divBdr>
    </w:div>
    <w:div w:id="1251351083">
      <w:bodyDiv w:val="1"/>
      <w:marLeft w:val="0"/>
      <w:marRight w:val="0"/>
      <w:marTop w:val="0"/>
      <w:marBottom w:val="0"/>
      <w:divBdr>
        <w:top w:val="none" w:sz="0" w:space="0" w:color="auto"/>
        <w:left w:val="none" w:sz="0" w:space="0" w:color="auto"/>
        <w:bottom w:val="none" w:sz="0" w:space="0" w:color="auto"/>
        <w:right w:val="none" w:sz="0" w:space="0" w:color="auto"/>
      </w:divBdr>
    </w:div>
    <w:div w:id="1251887798">
      <w:bodyDiv w:val="1"/>
      <w:marLeft w:val="0"/>
      <w:marRight w:val="0"/>
      <w:marTop w:val="0"/>
      <w:marBottom w:val="0"/>
      <w:divBdr>
        <w:top w:val="none" w:sz="0" w:space="0" w:color="auto"/>
        <w:left w:val="none" w:sz="0" w:space="0" w:color="auto"/>
        <w:bottom w:val="none" w:sz="0" w:space="0" w:color="auto"/>
        <w:right w:val="none" w:sz="0" w:space="0" w:color="auto"/>
      </w:divBdr>
    </w:div>
    <w:div w:id="1253657883">
      <w:bodyDiv w:val="1"/>
      <w:marLeft w:val="0"/>
      <w:marRight w:val="0"/>
      <w:marTop w:val="0"/>
      <w:marBottom w:val="0"/>
      <w:divBdr>
        <w:top w:val="none" w:sz="0" w:space="0" w:color="auto"/>
        <w:left w:val="none" w:sz="0" w:space="0" w:color="auto"/>
        <w:bottom w:val="none" w:sz="0" w:space="0" w:color="auto"/>
        <w:right w:val="none" w:sz="0" w:space="0" w:color="auto"/>
      </w:divBdr>
    </w:div>
    <w:div w:id="1257131683">
      <w:bodyDiv w:val="1"/>
      <w:marLeft w:val="0"/>
      <w:marRight w:val="0"/>
      <w:marTop w:val="0"/>
      <w:marBottom w:val="0"/>
      <w:divBdr>
        <w:top w:val="none" w:sz="0" w:space="0" w:color="auto"/>
        <w:left w:val="none" w:sz="0" w:space="0" w:color="auto"/>
        <w:bottom w:val="none" w:sz="0" w:space="0" w:color="auto"/>
        <w:right w:val="none" w:sz="0" w:space="0" w:color="auto"/>
      </w:divBdr>
    </w:div>
    <w:div w:id="1264068157">
      <w:bodyDiv w:val="1"/>
      <w:marLeft w:val="0"/>
      <w:marRight w:val="0"/>
      <w:marTop w:val="0"/>
      <w:marBottom w:val="0"/>
      <w:divBdr>
        <w:top w:val="none" w:sz="0" w:space="0" w:color="auto"/>
        <w:left w:val="none" w:sz="0" w:space="0" w:color="auto"/>
        <w:bottom w:val="none" w:sz="0" w:space="0" w:color="auto"/>
        <w:right w:val="none" w:sz="0" w:space="0" w:color="auto"/>
      </w:divBdr>
    </w:div>
    <w:div w:id="1267034746">
      <w:bodyDiv w:val="1"/>
      <w:marLeft w:val="0"/>
      <w:marRight w:val="0"/>
      <w:marTop w:val="0"/>
      <w:marBottom w:val="0"/>
      <w:divBdr>
        <w:top w:val="none" w:sz="0" w:space="0" w:color="auto"/>
        <w:left w:val="none" w:sz="0" w:space="0" w:color="auto"/>
        <w:bottom w:val="none" w:sz="0" w:space="0" w:color="auto"/>
        <w:right w:val="none" w:sz="0" w:space="0" w:color="auto"/>
      </w:divBdr>
    </w:div>
    <w:div w:id="1268544571">
      <w:bodyDiv w:val="1"/>
      <w:marLeft w:val="0"/>
      <w:marRight w:val="0"/>
      <w:marTop w:val="0"/>
      <w:marBottom w:val="0"/>
      <w:divBdr>
        <w:top w:val="none" w:sz="0" w:space="0" w:color="auto"/>
        <w:left w:val="none" w:sz="0" w:space="0" w:color="auto"/>
        <w:bottom w:val="none" w:sz="0" w:space="0" w:color="auto"/>
        <w:right w:val="none" w:sz="0" w:space="0" w:color="auto"/>
      </w:divBdr>
    </w:div>
    <w:div w:id="1283803311">
      <w:bodyDiv w:val="1"/>
      <w:marLeft w:val="0"/>
      <w:marRight w:val="0"/>
      <w:marTop w:val="0"/>
      <w:marBottom w:val="0"/>
      <w:divBdr>
        <w:top w:val="none" w:sz="0" w:space="0" w:color="auto"/>
        <w:left w:val="none" w:sz="0" w:space="0" w:color="auto"/>
        <w:bottom w:val="none" w:sz="0" w:space="0" w:color="auto"/>
        <w:right w:val="none" w:sz="0" w:space="0" w:color="auto"/>
      </w:divBdr>
    </w:div>
    <w:div w:id="1284580607">
      <w:bodyDiv w:val="1"/>
      <w:marLeft w:val="0"/>
      <w:marRight w:val="0"/>
      <w:marTop w:val="0"/>
      <w:marBottom w:val="0"/>
      <w:divBdr>
        <w:top w:val="none" w:sz="0" w:space="0" w:color="auto"/>
        <w:left w:val="none" w:sz="0" w:space="0" w:color="auto"/>
        <w:bottom w:val="none" w:sz="0" w:space="0" w:color="auto"/>
        <w:right w:val="none" w:sz="0" w:space="0" w:color="auto"/>
      </w:divBdr>
    </w:div>
    <w:div w:id="1303660628">
      <w:bodyDiv w:val="1"/>
      <w:marLeft w:val="0"/>
      <w:marRight w:val="0"/>
      <w:marTop w:val="0"/>
      <w:marBottom w:val="0"/>
      <w:divBdr>
        <w:top w:val="none" w:sz="0" w:space="0" w:color="auto"/>
        <w:left w:val="none" w:sz="0" w:space="0" w:color="auto"/>
        <w:bottom w:val="none" w:sz="0" w:space="0" w:color="auto"/>
        <w:right w:val="none" w:sz="0" w:space="0" w:color="auto"/>
      </w:divBdr>
    </w:div>
    <w:div w:id="1321277386">
      <w:bodyDiv w:val="1"/>
      <w:marLeft w:val="0"/>
      <w:marRight w:val="0"/>
      <w:marTop w:val="0"/>
      <w:marBottom w:val="0"/>
      <w:divBdr>
        <w:top w:val="none" w:sz="0" w:space="0" w:color="auto"/>
        <w:left w:val="none" w:sz="0" w:space="0" w:color="auto"/>
        <w:bottom w:val="none" w:sz="0" w:space="0" w:color="auto"/>
        <w:right w:val="none" w:sz="0" w:space="0" w:color="auto"/>
      </w:divBdr>
    </w:div>
    <w:div w:id="1322779940">
      <w:bodyDiv w:val="1"/>
      <w:marLeft w:val="0"/>
      <w:marRight w:val="0"/>
      <w:marTop w:val="0"/>
      <w:marBottom w:val="0"/>
      <w:divBdr>
        <w:top w:val="none" w:sz="0" w:space="0" w:color="auto"/>
        <w:left w:val="none" w:sz="0" w:space="0" w:color="auto"/>
        <w:bottom w:val="none" w:sz="0" w:space="0" w:color="auto"/>
        <w:right w:val="none" w:sz="0" w:space="0" w:color="auto"/>
      </w:divBdr>
    </w:div>
    <w:div w:id="1325476143">
      <w:bodyDiv w:val="1"/>
      <w:marLeft w:val="0"/>
      <w:marRight w:val="0"/>
      <w:marTop w:val="0"/>
      <w:marBottom w:val="0"/>
      <w:divBdr>
        <w:top w:val="none" w:sz="0" w:space="0" w:color="auto"/>
        <w:left w:val="none" w:sz="0" w:space="0" w:color="auto"/>
        <w:bottom w:val="none" w:sz="0" w:space="0" w:color="auto"/>
        <w:right w:val="none" w:sz="0" w:space="0" w:color="auto"/>
      </w:divBdr>
    </w:div>
    <w:div w:id="1331445523">
      <w:bodyDiv w:val="1"/>
      <w:marLeft w:val="0"/>
      <w:marRight w:val="0"/>
      <w:marTop w:val="0"/>
      <w:marBottom w:val="0"/>
      <w:divBdr>
        <w:top w:val="none" w:sz="0" w:space="0" w:color="auto"/>
        <w:left w:val="none" w:sz="0" w:space="0" w:color="auto"/>
        <w:bottom w:val="none" w:sz="0" w:space="0" w:color="auto"/>
        <w:right w:val="none" w:sz="0" w:space="0" w:color="auto"/>
      </w:divBdr>
    </w:div>
    <w:div w:id="1337270210">
      <w:bodyDiv w:val="1"/>
      <w:marLeft w:val="0"/>
      <w:marRight w:val="0"/>
      <w:marTop w:val="0"/>
      <w:marBottom w:val="0"/>
      <w:divBdr>
        <w:top w:val="none" w:sz="0" w:space="0" w:color="auto"/>
        <w:left w:val="none" w:sz="0" w:space="0" w:color="auto"/>
        <w:bottom w:val="none" w:sz="0" w:space="0" w:color="auto"/>
        <w:right w:val="none" w:sz="0" w:space="0" w:color="auto"/>
      </w:divBdr>
    </w:div>
    <w:div w:id="1338385438">
      <w:bodyDiv w:val="1"/>
      <w:marLeft w:val="0"/>
      <w:marRight w:val="0"/>
      <w:marTop w:val="0"/>
      <w:marBottom w:val="0"/>
      <w:divBdr>
        <w:top w:val="none" w:sz="0" w:space="0" w:color="auto"/>
        <w:left w:val="none" w:sz="0" w:space="0" w:color="auto"/>
        <w:bottom w:val="none" w:sz="0" w:space="0" w:color="auto"/>
        <w:right w:val="none" w:sz="0" w:space="0" w:color="auto"/>
      </w:divBdr>
    </w:div>
    <w:div w:id="1344428915">
      <w:bodyDiv w:val="1"/>
      <w:marLeft w:val="0"/>
      <w:marRight w:val="0"/>
      <w:marTop w:val="0"/>
      <w:marBottom w:val="0"/>
      <w:divBdr>
        <w:top w:val="none" w:sz="0" w:space="0" w:color="auto"/>
        <w:left w:val="none" w:sz="0" w:space="0" w:color="auto"/>
        <w:bottom w:val="none" w:sz="0" w:space="0" w:color="auto"/>
        <w:right w:val="none" w:sz="0" w:space="0" w:color="auto"/>
      </w:divBdr>
    </w:div>
    <w:div w:id="1346517621">
      <w:bodyDiv w:val="1"/>
      <w:marLeft w:val="0"/>
      <w:marRight w:val="0"/>
      <w:marTop w:val="0"/>
      <w:marBottom w:val="0"/>
      <w:divBdr>
        <w:top w:val="none" w:sz="0" w:space="0" w:color="auto"/>
        <w:left w:val="none" w:sz="0" w:space="0" w:color="auto"/>
        <w:bottom w:val="none" w:sz="0" w:space="0" w:color="auto"/>
        <w:right w:val="none" w:sz="0" w:space="0" w:color="auto"/>
      </w:divBdr>
    </w:div>
    <w:div w:id="1347440023">
      <w:bodyDiv w:val="1"/>
      <w:marLeft w:val="0"/>
      <w:marRight w:val="0"/>
      <w:marTop w:val="0"/>
      <w:marBottom w:val="0"/>
      <w:divBdr>
        <w:top w:val="none" w:sz="0" w:space="0" w:color="auto"/>
        <w:left w:val="none" w:sz="0" w:space="0" w:color="auto"/>
        <w:bottom w:val="none" w:sz="0" w:space="0" w:color="auto"/>
        <w:right w:val="none" w:sz="0" w:space="0" w:color="auto"/>
      </w:divBdr>
    </w:div>
    <w:div w:id="1347904964">
      <w:bodyDiv w:val="1"/>
      <w:marLeft w:val="0"/>
      <w:marRight w:val="0"/>
      <w:marTop w:val="0"/>
      <w:marBottom w:val="0"/>
      <w:divBdr>
        <w:top w:val="none" w:sz="0" w:space="0" w:color="auto"/>
        <w:left w:val="none" w:sz="0" w:space="0" w:color="auto"/>
        <w:bottom w:val="none" w:sz="0" w:space="0" w:color="auto"/>
        <w:right w:val="none" w:sz="0" w:space="0" w:color="auto"/>
      </w:divBdr>
    </w:div>
    <w:div w:id="1349453740">
      <w:bodyDiv w:val="1"/>
      <w:marLeft w:val="0"/>
      <w:marRight w:val="0"/>
      <w:marTop w:val="0"/>
      <w:marBottom w:val="0"/>
      <w:divBdr>
        <w:top w:val="none" w:sz="0" w:space="0" w:color="auto"/>
        <w:left w:val="none" w:sz="0" w:space="0" w:color="auto"/>
        <w:bottom w:val="none" w:sz="0" w:space="0" w:color="auto"/>
        <w:right w:val="none" w:sz="0" w:space="0" w:color="auto"/>
      </w:divBdr>
    </w:div>
    <w:div w:id="1356223761">
      <w:bodyDiv w:val="1"/>
      <w:marLeft w:val="0"/>
      <w:marRight w:val="0"/>
      <w:marTop w:val="0"/>
      <w:marBottom w:val="0"/>
      <w:divBdr>
        <w:top w:val="none" w:sz="0" w:space="0" w:color="auto"/>
        <w:left w:val="none" w:sz="0" w:space="0" w:color="auto"/>
        <w:bottom w:val="none" w:sz="0" w:space="0" w:color="auto"/>
        <w:right w:val="none" w:sz="0" w:space="0" w:color="auto"/>
      </w:divBdr>
    </w:div>
    <w:div w:id="1357735267">
      <w:bodyDiv w:val="1"/>
      <w:marLeft w:val="0"/>
      <w:marRight w:val="0"/>
      <w:marTop w:val="0"/>
      <w:marBottom w:val="0"/>
      <w:divBdr>
        <w:top w:val="none" w:sz="0" w:space="0" w:color="auto"/>
        <w:left w:val="none" w:sz="0" w:space="0" w:color="auto"/>
        <w:bottom w:val="none" w:sz="0" w:space="0" w:color="auto"/>
        <w:right w:val="none" w:sz="0" w:space="0" w:color="auto"/>
      </w:divBdr>
    </w:div>
    <w:div w:id="1360161345">
      <w:bodyDiv w:val="1"/>
      <w:marLeft w:val="0"/>
      <w:marRight w:val="0"/>
      <w:marTop w:val="0"/>
      <w:marBottom w:val="0"/>
      <w:divBdr>
        <w:top w:val="none" w:sz="0" w:space="0" w:color="auto"/>
        <w:left w:val="none" w:sz="0" w:space="0" w:color="auto"/>
        <w:bottom w:val="none" w:sz="0" w:space="0" w:color="auto"/>
        <w:right w:val="none" w:sz="0" w:space="0" w:color="auto"/>
      </w:divBdr>
    </w:div>
    <w:div w:id="1360935053">
      <w:bodyDiv w:val="1"/>
      <w:marLeft w:val="0"/>
      <w:marRight w:val="0"/>
      <w:marTop w:val="0"/>
      <w:marBottom w:val="0"/>
      <w:divBdr>
        <w:top w:val="none" w:sz="0" w:space="0" w:color="auto"/>
        <w:left w:val="none" w:sz="0" w:space="0" w:color="auto"/>
        <w:bottom w:val="none" w:sz="0" w:space="0" w:color="auto"/>
        <w:right w:val="none" w:sz="0" w:space="0" w:color="auto"/>
      </w:divBdr>
    </w:div>
    <w:div w:id="1366172064">
      <w:bodyDiv w:val="1"/>
      <w:marLeft w:val="0"/>
      <w:marRight w:val="0"/>
      <w:marTop w:val="0"/>
      <w:marBottom w:val="0"/>
      <w:divBdr>
        <w:top w:val="none" w:sz="0" w:space="0" w:color="auto"/>
        <w:left w:val="none" w:sz="0" w:space="0" w:color="auto"/>
        <w:bottom w:val="none" w:sz="0" w:space="0" w:color="auto"/>
        <w:right w:val="none" w:sz="0" w:space="0" w:color="auto"/>
      </w:divBdr>
    </w:div>
    <w:div w:id="1372994040">
      <w:bodyDiv w:val="1"/>
      <w:marLeft w:val="0"/>
      <w:marRight w:val="0"/>
      <w:marTop w:val="0"/>
      <w:marBottom w:val="0"/>
      <w:divBdr>
        <w:top w:val="none" w:sz="0" w:space="0" w:color="auto"/>
        <w:left w:val="none" w:sz="0" w:space="0" w:color="auto"/>
        <w:bottom w:val="none" w:sz="0" w:space="0" w:color="auto"/>
        <w:right w:val="none" w:sz="0" w:space="0" w:color="auto"/>
      </w:divBdr>
    </w:div>
    <w:div w:id="1385831570">
      <w:bodyDiv w:val="1"/>
      <w:marLeft w:val="0"/>
      <w:marRight w:val="0"/>
      <w:marTop w:val="0"/>
      <w:marBottom w:val="0"/>
      <w:divBdr>
        <w:top w:val="none" w:sz="0" w:space="0" w:color="auto"/>
        <w:left w:val="none" w:sz="0" w:space="0" w:color="auto"/>
        <w:bottom w:val="none" w:sz="0" w:space="0" w:color="auto"/>
        <w:right w:val="none" w:sz="0" w:space="0" w:color="auto"/>
      </w:divBdr>
    </w:div>
    <w:div w:id="1388452387">
      <w:bodyDiv w:val="1"/>
      <w:marLeft w:val="0"/>
      <w:marRight w:val="0"/>
      <w:marTop w:val="0"/>
      <w:marBottom w:val="0"/>
      <w:divBdr>
        <w:top w:val="none" w:sz="0" w:space="0" w:color="auto"/>
        <w:left w:val="none" w:sz="0" w:space="0" w:color="auto"/>
        <w:bottom w:val="none" w:sz="0" w:space="0" w:color="auto"/>
        <w:right w:val="none" w:sz="0" w:space="0" w:color="auto"/>
      </w:divBdr>
    </w:div>
    <w:div w:id="1395424780">
      <w:bodyDiv w:val="1"/>
      <w:marLeft w:val="0"/>
      <w:marRight w:val="0"/>
      <w:marTop w:val="0"/>
      <w:marBottom w:val="0"/>
      <w:divBdr>
        <w:top w:val="none" w:sz="0" w:space="0" w:color="auto"/>
        <w:left w:val="none" w:sz="0" w:space="0" w:color="auto"/>
        <w:bottom w:val="none" w:sz="0" w:space="0" w:color="auto"/>
        <w:right w:val="none" w:sz="0" w:space="0" w:color="auto"/>
      </w:divBdr>
    </w:div>
    <w:div w:id="1397438035">
      <w:bodyDiv w:val="1"/>
      <w:marLeft w:val="0"/>
      <w:marRight w:val="0"/>
      <w:marTop w:val="0"/>
      <w:marBottom w:val="0"/>
      <w:divBdr>
        <w:top w:val="none" w:sz="0" w:space="0" w:color="auto"/>
        <w:left w:val="none" w:sz="0" w:space="0" w:color="auto"/>
        <w:bottom w:val="none" w:sz="0" w:space="0" w:color="auto"/>
        <w:right w:val="none" w:sz="0" w:space="0" w:color="auto"/>
      </w:divBdr>
    </w:div>
    <w:div w:id="1402602202">
      <w:bodyDiv w:val="1"/>
      <w:marLeft w:val="0"/>
      <w:marRight w:val="0"/>
      <w:marTop w:val="0"/>
      <w:marBottom w:val="0"/>
      <w:divBdr>
        <w:top w:val="none" w:sz="0" w:space="0" w:color="auto"/>
        <w:left w:val="none" w:sz="0" w:space="0" w:color="auto"/>
        <w:bottom w:val="none" w:sz="0" w:space="0" w:color="auto"/>
        <w:right w:val="none" w:sz="0" w:space="0" w:color="auto"/>
      </w:divBdr>
    </w:div>
    <w:div w:id="1403409297">
      <w:bodyDiv w:val="1"/>
      <w:marLeft w:val="0"/>
      <w:marRight w:val="0"/>
      <w:marTop w:val="0"/>
      <w:marBottom w:val="0"/>
      <w:divBdr>
        <w:top w:val="none" w:sz="0" w:space="0" w:color="auto"/>
        <w:left w:val="none" w:sz="0" w:space="0" w:color="auto"/>
        <w:bottom w:val="none" w:sz="0" w:space="0" w:color="auto"/>
        <w:right w:val="none" w:sz="0" w:space="0" w:color="auto"/>
      </w:divBdr>
    </w:div>
    <w:div w:id="1409114296">
      <w:bodyDiv w:val="1"/>
      <w:marLeft w:val="0"/>
      <w:marRight w:val="0"/>
      <w:marTop w:val="0"/>
      <w:marBottom w:val="0"/>
      <w:divBdr>
        <w:top w:val="none" w:sz="0" w:space="0" w:color="auto"/>
        <w:left w:val="none" w:sz="0" w:space="0" w:color="auto"/>
        <w:bottom w:val="none" w:sz="0" w:space="0" w:color="auto"/>
        <w:right w:val="none" w:sz="0" w:space="0" w:color="auto"/>
      </w:divBdr>
    </w:div>
    <w:div w:id="1416121991">
      <w:bodyDiv w:val="1"/>
      <w:marLeft w:val="0"/>
      <w:marRight w:val="0"/>
      <w:marTop w:val="0"/>
      <w:marBottom w:val="0"/>
      <w:divBdr>
        <w:top w:val="none" w:sz="0" w:space="0" w:color="auto"/>
        <w:left w:val="none" w:sz="0" w:space="0" w:color="auto"/>
        <w:bottom w:val="none" w:sz="0" w:space="0" w:color="auto"/>
        <w:right w:val="none" w:sz="0" w:space="0" w:color="auto"/>
      </w:divBdr>
    </w:div>
    <w:div w:id="1417097469">
      <w:bodyDiv w:val="1"/>
      <w:marLeft w:val="0"/>
      <w:marRight w:val="0"/>
      <w:marTop w:val="0"/>
      <w:marBottom w:val="0"/>
      <w:divBdr>
        <w:top w:val="none" w:sz="0" w:space="0" w:color="auto"/>
        <w:left w:val="none" w:sz="0" w:space="0" w:color="auto"/>
        <w:bottom w:val="none" w:sz="0" w:space="0" w:color="auto"/>
        <w:right w:val="none" w:sz="0" w:space="0" w:color="auto"/>
      </w:divBdr>
    </w:div>
    <w:div w:id="1421414141">
      <w:bodyDiv w:val="1"/>
      <w:marLeft w:val="0"/>
      <w:marRight w:val="0"/>
      <w:marTop w:val="0"/>
      <w:marBottom w:val="0"/>
      <w:divBdr>
        <w:top w:val="none" w:sz="0" w:space="0" w:color="auto"/>
        <w:left w:val="none" w:sz="0" w:space="0" w:color="auto"/>
        <w:bottom w:val="none" w:sz="0" w:space="0" w:color="auto"/>
        <w:right w:val="none" w:sz="0" w:space="0" w:color="auto"/>
      </w:divBdr>
    </w:div>
    <w:div w:id="1429041104">
      <w:bodyDiv w:val="1"/>
      <w:marLeft w:val="0"/>
      <w:marRight w:val="0"/>
      <w:marTop w:val="0"/>
      <w:marBottom w:val="0"/>
      <w:divBdr>
        <w:top w:val="none" w:sz="0" w:space="0" w:color="auto"/>
        <w:left w:val="none" w:sz="0" w:space="0" w:color="auto"/>
        <w:bottom w:val="none" w:sz="0" w:space="0" w:color="auto"/>
        <w:right w:val="none" w:sz="0" w:space="0" w:color="auto"/>
      </w:divBdr>
    </w:div>
    <w:div w:id="1432048744">
      <w:bodyDiv w:val="1"/>
      <w:marLeft w:val="0"/>
      <w:marRight w:val="0"/>
      <w:marTop w:val="0"/>
      <w:marBottom w:val="0"/>
      <w:divBdr>
        <w:top w:val="none" w:sz="0" w:space="0" w:color="auto"/>
        <w:left w:val="none" w:sz="0" w:space="0" w:color="auto"/>
        <w:bottom w:val="none" w:sz="0" w:space="0" w:color="auto"/>
        <w:right w:val="none" w:sz="0" w:space="0" w:color="auto"/>
      </w:divBdr>
    </w:div>
    <w:div w:id="1432121504">
      <w:bodyDiv w:val="1"/>
      <w:marLeft w:val="0"/>
      <w:marRight w:val="0"/>
      <w:marTop w:val="0"/>
      <w:marBottom w:val="0"/>
      <w:divBdr>
        <w:top w:val="none" w:sz="0" w:space="0" w:color="auto"/>
        <w:left w:val="none" w:sz="0" w:space="0" w:color="auto"/>
        <w:bottom w:val="none" w:sz="0" w:space="0" w:color="auto"/>
        <w:right w:val="none" w:sz="0" w:space="0" w:color="auto"/>
      </w:divBdr>
    </w:div>
    <w:div w:id="1433866009">
      <w:bodyDiv w:val="1"/>
      <w:marLeft w:val="0"/>
      <w:marRight w:val="0"/>
      <w:marTop w:val="0"/>
      <w:marBottom w:val="0"/>
      <w:divBdr>
        <w:top w:val="none" w:sz="0" w:space="0" w:color="auto"/>
        <w:left w:val="none" w:sz="0" w:space="0" w:color="auto"/>
        <w:bottom w:val="none" w:sz="0" w:space="0" w:color="auto"/>
        <w:right w:val="none" w:sz="0" w:space="0" w:color="auto"/>
      </w:divBdr>
    </w:div>
    <w:div w:id="1436364144">
      <w:bodyDiv w:val="1"/>
      <w:marLeft w:val="0"/>
      <w:marRight w:val="0"/>
      <w:marTop w:val="0"/>
      <w:marBottom w:val="0"/>
      <w:divBdr>
        <w:top w:val="none" w:sz="0" w:space="0" w:color="auto"/>
        <w:left w:val="none" w:sz="0" w:space="0" w:color="auto"/>
        <w:bottom w:val="none" w:sz="0" w:space="0" w:color="auto"/>
        <w:right w:val="none" w:sz="0" w:space="0" w:color="auto"/>
      </w:divBdr>
    </w:div>
    <w:div w:id="1441685247">
      <w:bodyDiv w:val="1"/>
      <w:marLeft w:val="0"/>
      <w:marRight w:val="0"/>
      <w:marTop w:val="0"/>
      <w:marBottom w:val="0"/>
      <w:divBdr>
        <w:top w:val="none" w:sz="0" w:space="0" w:color="auto"/>
        <w:left w:val="none" w:sz="0" w:space="0" w:color="auto"/>
        <w:bottom w:val="none" w:sz="0" w:space="0" w:color="auto"/>
        <w:right w:val="none" w:sz="0" w:space="0" w:color="auto"/>
      </w:divBdr>
    </w:div>
    <w:div w:id="1445348816">
      <w:bodyDiv w:val="1"/>
      <w:marLeft w:val="0"/>
      <w:marRight w:val="0"/>
      <w:marTop w:val="0"/>
      <w:marBottom w:val="0"/>
      <w:divBdr>
        <w:top w:val="none" w:sz="0" w:space="0" w:color="auto"/>
        <w:left w:val="none" w:sz="0" w:space="0" w:color="auto"/>
        <w:bottom w:val="none" w:sz="0" w:space="0" w:color="auto"/>
        <w:right w:val="none" w:sz="0" w:space="0" w:color="auto"/>
      </w:divBdr>
    </w:div>
    <w:div w:id="1446534749">
      <w:bodyDiv w:val="1"/>
      <w:marLeft w:val="0"/>
      <w:marRight w:val="0"/>
      <w:marTop w:val="0"/>
      <w:marBottom w:val="0"/>
      <w:divBdr>
        <w:top w:val="none" w:sz="0" w:space="0" w:color="auto"/>
        <w:left w:val="none" w:sz="0" w:space="0" w:color="auto"/>
        <w:bottom w:val="none" w:sz="0" w:space="0" w:color="auto"/>
        <w:right w:val="none" w:sz="0" w:space="0" w:color="auto"/>
      </w:divBdr>
    </w:div>
    <w:div w:id="1448043460">
      <w:bodyDiv w:val="1"/>
      <w:marLeft w:val="0"/>
      <w:marRight w:val="0"/>
      <w:marTop w:val="0"/>
      <w:marBottom w:val="0"/>
      <w:divBdr>
        <w:top w:val="none" w:sz="0" w:space="0" w:color="auto"/>
        <w:left w:val="none" w:sz="0" w:space="0" w:color="auto"/>
        <w:bottom w:val="none" w:sz="0" w:space="0" w:color="auto"/>
        <w:right w:val="none" w:sz="0" w:space="0" w:color="auto"/>
      </w:divBdr>
    </w:div>
    <w:div w:id="1450397553">
      <w:bodyDiv w:val="1"/>
      <w:marLeft w:val="0"/>
      <w:marRight w:val="0"/>
      <w:marTop w:val="0"/>
      <w:marBottom w:val="0"/>
      <w:divBdr>
        <w:top w:val="none" w:sz="0" w:space="0" w:color="auto"/>
        <w:left w:val="none" w:sz="0" w:space="0" w:color="auto"/>
        <w:bottom w:val="none" w:sz="0" w:space="0" w:color="auto"/>
        <w:right w:val="none" w:sz="0" w:space="0" w:color="auto"/>
      </w:divBdr>
    </w:div>
    <w:div w:id="1450852300">
      <w:bodyDiv w:val="1"/>
      <w:marLeft w:val="0"/>
      <w:marRight w:val="0"/>
      <w:marTop w:val="0"/>
      <w:marBottom w:val="0"/>
      <w:divBdr>
        <w:top w:val="none" w:sz="0" w:space="0" w:color="auto"/>
        <w:left w:val="none" w:sz="0" w:space="0" w:color="auto"/>
        <w:bottom w:val="none" w:sz="0" w:space="0" w:color="auto"/>
        <w:right w:val="none" w:sz="0" w:space="0" w:color="auto"/>
      </w:divBdr>
    </w:div>
    <w:div w:id="1450856676">
      <w:bodyDiv w:val="1"/>
      <w:marLeft w:val="0"/>
      <w:marRight w:val="0"/>
      <w:marTop w:val="0"/>
      <w:marBottom w:val="0"/>
      <w:divBdr>
        <w:top w:val="none" w:sz="0" w:space="0" w:color="auto"/>
        <w:left w:val="none" w:sz="0" w:space="0" w:color="auto"/>
        <w:bottom w:val="none" w:sz="0" w:space="0" w:color="auto"/>
        <w:right w:val="none" w:sz="0" w:space="0" w:color="auto"/>
      </w:divBdr>
    </w:div>
    <w:div w:id="1456366626">
      <w:bodyDiv w:val="1"/>
      <w:marLeft w:val="0"/>
      <w:marRight w:val="0"/>
      <w:marTop w:val="0"/>
      <w:marBottom w:val="0"/>
      <w:divBdr>
        <w:top w:val="none" w:sz="0" w:space="0" w:color="auto"/>
        <w:left w:val="none" w:sz="0" w:space="0" w:color="auto"/>
        <w:bottom w:val="none" w:sz="0" w:space="0" w:color="auto"/>
        <w:right w:val="none" w:sz="0" w:space="0" w:color="auto"/>
      </w:divBdr>
    </w:div>
    <w:div w:id="1460879429">
      <w:bodyDiv w:val="1"/>
      <w:marLeft w:val="0"/>
      <w:marRight w:val="0"/>
      <w:marTop w:val="0"/>
      <w:marBottom w:val="0"/>
      <w:divBdr>
        <w:top w:val="none" w:sz="0" w:space="0" w:color="auto"/>
        <w:left w:val="none" w:sz="0" w:space="0" w:color="auto"/>
        <w:bottom w:val="none" w:sz="0" w:space="0" w:color="auto"/>
        <w:right w:val="none" w:sz="0" w:space="0" w:color="auto"/>
      </w:divBdr>
    </w:div>
    <w:div w:id="1471438988">
      <w:bodyDiv w:val="1"/>
      <w:marLeft w:val="0"/>
      <w:marRight w:val="0"/>
      <w:marTop w:val="0"/>
      <w:marBottom w:val="0"/>
      <w:divBdr>
        <w:top w:val="none" w:sz="0" w:space="0" w:color="auto"/>
        <w:left w:val="none" w:sz="0" w:space="0" w:color="auto"/>
        <w:bottom w:val="none" w:sz="0" w:space="0" w:color="auto"/>
        <w:right w:val="none" w:sz="0" w:space="0" w:color="auto"/>
      </w:divBdr>
    </w:div>
    <w:div w:id="1472867225">
      <w:bodyDiv w:val="1"/>
      <w:marLeft w:val="0"/>
      <w:marRight w:val="0"/>
      <w:marTop w:val="0"/>
      <w:marBottom w:val="0"/>
      <w:divBdr>
        <w:top w:val="none" w:sz="0" w:space="0" w:color="auto"/>
        <w:left w:val="none" w:sz="0" w:space="0" w:color="auto"/>
        <w:bottom w:val="none" w:sz="0" w:space="0" w:color="auto"/>
        <w:right w:val="none" w:sz="0" w:space="0" w:color="auto"/>
      </w:divBdr>
    </w:div>
    <w:div w:id="1476950223">
      <w:bodyDiv w:val="1"/>
      <w:marLeft w:val="0"/>
      <w:marRight w:val="0"/>
      <w:marTop w:val="0"/>
      <w:marBottom w:val="0"/>
      <w:divBdr>
        <w:top w:val="none" w:sz="0" w:space="0" w:color="auto"/>
        <w:left w:val="none" w:sz="0" w:space="0" w:color="auto"/>
        <w:bottom w:val="none" w:sz="0" w:space="0" w:color="auto"/>
        <w:right w:val="none" w:sz="0" w:space="0" w:color="auto"/>
      </w:divBdr>
    </w:div>
    <w:div w:id="1479301009">
      <w:bodyDiv w:val="1"/>
      <w:marLeft w:val="0"/>
      <w:marRight w:val="0"/>
      <w:marTop w:val="0"/>
      <w:marBottom w:val="0"/>
      <w:divBdr>
        <w:top w:val="none" w:sz="0" w:space="0" w:color="auto"/>
        <w:left w:val="none" w:sz="0" w:space="0" w:color="auto"/>
        <w:bottom w:val="none" w:sz="0" w:space="0" w:color="auto"/>
        <w:right w:val="none" w:sz="0" w:space="0" w:color="auto"/>
      </w:divBdr>
    </w:div>
    <w:div w:id="1484354548">
      <w:bodyDiv w:val="1"/>
      <w:marLeft w:val="0"/>
      <w:marRight w:val="0"/>
      <w:marTop w:val="0"/>
      <w:marBottom w:val="0"/>
      <w:divBdr>
        <w:top w:val="none" w:sz="0" w:space="0" w:color="auto"/>
        <w:left w:val="none" w:sz="0" w:space="0" w:color="auto"/>
        <w:bottom w:val="none" w:sz="0" w:space="0" w:color="auto"/>
        <w:right w:val="none" w:sz="0" w:space="0" w:color="auto"/>
      </w:divBdr>
    </w:div>
    <w:div w:id="1486822476">
      <w:bodyDiv w:val="1"/>
      <w:marLeft w:val="0"/>
      <w:marRight w:val="0"/>
      <w:marTop w:val="0"/>
      <w:marBottom w:val="0"/>
      <w:divBdr>
        <w:top w:val="none" w:sz="0" w:space="0" w:color="auto"/>
        <w:left w:val="none" w:sz="0" w:space="0" w:color="auto"/>
        <w:bottom w:val="none" w:sz="0" w:space="0" w:color="auto"/>
        <w:right w:val="none" w:sz="0" w:space="0" w:color="auto"/>
      </w:divBdr>
    </w:div>
    <w:div w:id="1490562847">
      <w:bodyDiv w:val="1"/>
      <w:marLeft w:val="0"/>
      <w:marRight w:val="0"/>
      <w:marTop w:val="0"/>
      <w:marBottom w:val="0"/>
      <w:divBdr>
        <w:top w:val="none" w:sz="0" w:space="0" w:color="auto"/>
        <w:left w:val="none" w:sz="0" w:space="0" w:color="auto"/>
        <w:bottom w:val="none" w:sz="0" w:space="0" w:color="auto"/>
        <w:right w:val="none" w:sz="0" w:space="0" w:color="auto"/>
      </w:divBdr>
    </w:div>
    <w:div w:id="1498225932">
      <w:bodyDiv w:val="1"/>
      <w:marLeft w:val="0"/>
      <w:marRight w:val="0"/>
      <w:marTop w:val="0"/>
      <w:marBottom w:val="0"/>
      <w:divBdr>
        <w:top w:val="none" w:sz="0" w:space="0" w:color="auto"/>
        <w:left w:val="none" w:sz="0" w:space="0" w:color="auto"/>
        <w:bottom w:val="none" w:sz="0" w:space="0" w:color="auto"/>
        <w:right w:val="none" w:sz="0" w:space="0" w:color="auto"/>
      </w:divBdr>
    </w:div>
    <w:div w:id="1502621953">
      <w:bodyDiv w:val="1"/>
      <w:marLeft w:val="0"/>
      <w:marRight w:val="0"/>
      <w:marTop w:val="0"/>
      <w:marBottom w:val="0"/>
      <w:divBdr>
        <w:top w:val="none" w:sz="0" w:space="0" w:color="auto"/>
        <w:left w:val="none" w:sz="0" w:space="0" w:color="auto"/>
        <w:bottom w:val="none" w:sz="0" w:space="0" w:color="auto"/>
        <w:right w:val="none" w:sz="0" w:space="0" w:color="auto"/>
      </w:divBdr>
    </w:div>
    <w:div w:id="1502813390">
      <w:bodyDiv w:val="1"/>
      <w:marLeft w:val="0"/>
      <w:marRight w:val="0"/>
      <w:marTop w:val="0"/>
      <w:marBottom w:val="0"/>
      <w:divBdr>
        <w:top w:val="none" w:sz="0" w:space="0" w:color="auto"/>
        <w:left w:val="none" w:sz="0" w:space="0" w:color="auto"/>
        <w:bottom w:val="none" w:sz="0" w:space="0" w:color="auto"/>
        <w:right w:val="none" w:sz="0" w:space="0" w:color="auto"/>
      </w:divBdr>
    </w:div>
    <w:div w:id="1503736054">
      <w:bodyDiv w:val="1"/>
      <w:marLeft w:val="0"/>
      <w:marRight w:val="0"/>
      <w:marTop w:val="0"/>
      <w:marBottom w:val="0"/>
      <w:divBdr>
        <w:top w:val="none" w:sz="0" w:space="0" w:color="auto"/>
        <w:left w:val="none" w:sz="0" w:space="0" w:color="auto"/>
        <w:bottom w:val="none" w:sz="0" w:space="0" w:color="auto"/>
        <w:right w:val="none" w:sz="0" w:space="0" w:color="auto"/>
      </w:divBdr>
    </w:div>
    <w:div w:id="1504322152">
      <w:bodyDiv w:val="1"/>
      <w:marLeft w:val="0"/>
      <w:marRight w:val="0"/>
      <w:marTop w:val="0"/>
      <w:marBottom w:val="0"/>
      <w:divBdr>
        <w:top w:val="none" w:sz="0" w:space="0" w:color="auto"/>
        <w:left w:val="none" w:sz="0" w:space="0" w:color="auto"/>
        <w:bottom w:val="none" w:sz="0" w:space="0" w:color="auto"/>
        <w:right w:val="none" w:sz="0" w:space="0" w:color="auto"/>
      </w:divBdr>
    </w:div>
    <w:div w:id="1513912918">
      <w:bodyDiv w:val="1"/>
      <w:marLeft w:val="0"/>
      <w:marRight w:val="0"/>
      <w:marTop w:val="0"/>
      <w:marBottom w:val="0"/>
      <w:divBdr>
        <w:top w:val="none" w:sz="0" w:space="0" w:color="auto"/>
        <w:left w:val="none" w:sz="0" w:space="0" w:color="auto"/>
        <w:bottom w:val="none" w:sz="0" w:space="0" w:color="auto"/>
        <w:right w:val="none" w:sz="0" w:space="0" w:color="auto"/>
      </w:divBdr>
    </w:div>
    <w:div w:id="1524828047">
      <w:bodyDiv w:val="1"/>
      <w:marLeft w:val="0"/>
      <w:marRight w:val="0"/>
      <w:marTop w:val="0"/>
      <w:marBottom w:val="0"/>
      <w:divBdr>
        <w:top w:val="none" w:sz="0" w:space="0" w:color="auto"/>
        <w:left w:val="none" w:sz="0" w:space="0" w:color="auto"/>
        <w:bottom w:val="none" w:sz="0" w:space="0" w:color="auto"/>
        <w:right w:val="none" w:sz="0" w:space="0" w:color="auto"/>
      </w:divBdr>
      <w:divsChild>
        <w:div w:id="572472827">
          <w:marLeft w:val="0"/>
          <w:marRight w:val="0"/>
          <w:marTop w:val="0"/>
          <w:marBottom w:val="0"/>
          <w:divBdr>
            <w:top w:val="none" w:sz="0" w:space="0" w:color="auto"/>
            <w:left w:val="none" w:sz="0" w:space="0" w:color="auto"/>
            <w:bottom w:val="none" w:sz="0" w:space="0" w:color="auto"/>
            <w:right w:val="none" w:sz="0" w:space="0" w:color="auto"/>
          </w:divBdr>
        </w:div>
        <w:div w:id="1639721919">
          <w:marLeft w:val="0"/>
          <w:marRight w:val="0"/>
          <w:marTop w:val="0"/>
          <w:marBottom w:val="0"/>
          <w:divBdr>
            <w:top w:val="none" w:sz="0" w:space="0" w:color="auto"/>
            <w:left w:val="none" w:sz="0" w:space="0" w:color="auto"/>
            <w:bottom w:val="none" w:sz="0" w:space="0" w:color="auto"/>
            <w:right w:val="none" w:sz="0" w:space="0" w:color="auto"/>
          </w:divBdr>
        </w:div>
      </w:divsChild>
    </w:div>
    <w:div w:id="1525091240">
      <w:bodyDiv w:val="1"/>
      <w:marLeft w:val="0"/>
      <w:marRight w:val="0"/>
      <w:marTop w:val="0"/>
      <w:marBottom w:val="0"/>
      <w:divBdr>
        <w:top w:val="none" w:sz="0" w:space="0" w:color="auto"/>
        <w:left w:val="none" w:sz="0" w:space="0" w:color="auto"/>
        <w:bottom w:val="none" w:sz="0" w:space="0" w:color="auto"/>
        <w:right w:val="none" w:sz="0" w:space="0" w:color="auto"/>
      </w:divBdr>
    </w:div>
    <w:div w:id="1537620998">
      <w:bodyDiv w:val="1"/>
      <w:marLeft w:val="0"/>
      <w:marRight w:val="0"/>
      <w:marTop w:val="0"/>
      <w:marBottom w:val="0"/>
      <w:divBdr>
        <w:top w:val="none" w:sz="0" w:space="0" w:color="auto"/>
        <w:left w:val="none" w:sz="0" w:space="0" w:color="auto"/>
        <w:bottom w:val="none" w:sz="0" w:space="0" w:color="auto"/>
        <w:right w:val="none" w:sz="0" w:space="0" w:color="auto"/>
      </w:divBdr>
    </w:div>
    <w:div w:id="1540246205">
      <w:bodyDiv w:val="1"/>
      <w:marLeft w:val="0"/>
      <w:marRight w:val="0"/>
      <w:marTop w:val="0"/>
      <w:marBottom w:val="0"/>
      <w:divBdr>
        <w:top w:val="none" w:sz="0" w:space="0" w:color="auto"/>
        <w:left w:val="none" w:sz="0" w:space="0" w:color="auto"/>
        <w:bottom w:val="none" w:sz="0" w:space="0" w:color="auto"/>
        <w:right w:val="none" w:sz="0" w:space="0" w:color="auto"/>
      </w:divBdr>
    </w:div>
    <w:div w:id="1541432992">
      <w:bodyDiv w:val="1"/>
      <w:marLeft w:val="0"/>
      <w:marRight w:val="0"/>
      <w:marTop w:val="0"/>
      <w:marBottom w:val="0"/>
      <w:divBdr>
        <w:top w:val="none" w:sz="0" w:space="0" w:color="auto"/>
        <w:left w:val="none" w:sz="0" w:space="0" w:color="auto"/>
        <w:bottom w:val="none" w:sz="0" w:space="0" w:color="auto"/>
        <w:right w:val="none" w:sz="0" w:space="0" w:color="auto"/>
      </w:divBdr>
    </w:div>
    <w:div w:id="1546412057">
      <w:bodyDiv w:val="1"/>
      <w:marLeft w:val="0"/>
      <w:marRight w:val="0"/>
      <w:marTop w:val="0"/>
      <w:marBottom w:val="0"/>
      <w:divBdr>
        <w:top w:val="none" w:sz="0" w:space="0" w:color="auto"/>
        <w:left w:val="none" w:sz="0" w:space="0" w:color="auto"/>
        <w:bottom w:val="none" w:sz="0" w:space="0" w:color="auto"/>
        <w:right w:val="none" w:sz="0" w:space="0" w:color="auto"/>
      </w:divBdr>
    </w:div>
    <w:div w:id="1548302531">
      <w:bodyDiv w:val="1"/>
      <w:marLeft w:val="0"/>
      <w:marRight w:val="0"/>
      <w:marTop w:val="0"/>
      <w:marBottom w:val="0"/>
      <w:divBdr>
        <w:top w:val="none" w:sz="0" w:space="0" w:color="auto"/>
        <w:left w:val="none" w:sz="0" w:space="0" w:color="auto"/>
        <w:bottom w:val="none" w:sz="0" w:space="0" w:color="auto"/>
        <w:right w:val="none" w:sz="0" w:space="0" w:color="auto"/>
      </w:divBdr>
    </w:div>
    <w:div w:id="1550722242">
      <w:bodyDiv w:val="1"/>
      <w:marLeft w:val="0"/>
      <w:marRight w:val="0"/>
      <w:marTop w:val="0"/>
      <w:marBottom w:val="0"/>
      <w:divBdr>
        <w:top w:val="none" w:sz="0" w:space="0" w:color="auto"/>
        <w:left w:val="none" w:sz="0" w:space="0" w:color="auto"/>
        <w:bottom w:val="none" w:sz="0" w:space="0" w:color="auto"/>
        <w:right w:val="none" w:sz="0" w:space="0" w:color="auto"/>
      </w:divBdr>
    </w:div>
    <w:div w:id="1554123536">
      <w:bodyDiv w:val="1"/>
      <w:marLeft w:val="0"/>
      <w:marRight w:val="0"/>
      <w:marTop w:val="0"/>
      <w:marBottom w:val="0"/>
      <w:divBdr>
        <w:top w:val="none" w:sz="0" w:space="0" w:color="auto"/>
        <w:left w:val="none" w:sz="0" w:space="0" w:color="auto"/>
        <w:bottom w:val="none" w:sz="0" w:space="0" w:color="auto"/>
        <w:right w:val="none" w:sz="0" w:space="0" w:color="auto"/>
      </w:divBdr>
    </w:div>
    <w:div w:id="1559050924">
      <w:bodyDiv w:val="1"/>
      <w:marLeft w:val="0"/>
      <w:marRight w:val="0"/>
      <w:marTop w:val="0"/>
      <w:marBottom w:val="0"/>
      <w:divBdr>
        <w:top w:val="none" w:sz="0" w:space="0" w:color="auto"/>
        <w:left w:val="none" w:sz="0" w:space="0" w:color="auto"/>
        <w:bottom w:val="none" w:sz="0" w:space="0" w:color="auto"/>
        <w:right w:val="none" w:sz="0" w:space="0" w:color="auto"/>
      </w:divBdr>
    </w:div>
    <w:div w:id="1561592206">
      <w:bodyDiv w:val="1"/>
      <w:marLeft w:val="0"/>
      <w:marRight w:val="0"/>
      <w:marTop w:val="0"/>
      <w:marBottom w:val="0"/>
      <w:divBdr>
        <w:top w:val="none" w:sz="0" w:space="0" w:color="auto"/>
        <w:left w:val="none" w:sz="0" w:space="0" w:color="auto"/>
        <w:bottom w:val="none" w:sz="0" w:space="0" w:color="auto"/>
        <w:right w:val="none" w:sz="0" w:space="0" w:color="auto"/>
      </w:divBdr>
    </w:div>
    <w:div w:id="1562447456">
      <w:bodyDiv w:val="1"/>
      <w:marLeft w:val="0"/>
      <w:marRight w:val="0"/>
      <w:marTop w:val="0"/>
      <w:marBottom w:val="0"/>
      <w:divBdr>
        <w:top w:val="none" w:sz="0" w:space="0" w:color="auto"/>
        <w:left w:val="none" w:sz="0" w:space="0" w:color="auto"/>
        <w:bottom w:val="none" w:sz="0" w:space="0" w:color="auto"/>
        <w:right w:val="none" w:sz="0" w:space="0" w:color="auto"/>
      </w:divBdr>
    </w:div>
    <w:div w:id="1568606883">
      <w:bodyDiv w:val="1"/>
      <w:marLeft w:val="0"/>
      <w:marRight w:val="0"/>
      <w:marTop w:val="0"/>
      <w:marBottom w:val="0"/>
      <w:divBdr>
        <w:top w:val="none" w:sz="0" w:space="0" w:color="auto"/>
        <w:left w:val="none" w:sz="0" w:space="0" w:color="auto"/>
        <w:bottom w:val="none" w:sz="0" w:space="0" w:color="auto"/>
        <w:right w:val="none" w:sz="0" w:space="0" w:color="auto"/>
      </w:divBdr>
    </w:div>
    <w:div w:id="1577939065">
      <w:bodyDiv w:val="1"/>
      <w:marLeft w:val="0"/>
      <w:marRight w:val="0"/>
      <w:marTop w:val="0"/>
      <w:marBottom w:val="0"/>
      <w:divBdr>
        <w:top w:val="none" w:sz="0" w:space="0" w:color="auto"/>
        <w:left w:val="none" w:sz="0" w:space="0" w:color="auto"/>
        <w:bottom w:val="none" w:sz="0" w:space="0" w:color="auto"/>
        <w:right w:val="none" w:sz="0" w:space="0" w:color="auto"/>
      </w:divBdr>
    </w:div>
    <w:div w:id="1579171989">
      <w:bodyDiv w:val="1"/>
      <w:marLeft w:val="0"/>
      <w:marRight w:val="0"/>
      <w:marTop w:val="0"/>
      <w:marBottom w:val="0"/>
      <w:divBdr>
        <w:top w:val="none" w:sz="0" w:space="0" w:color="auto"/>
        <w:left w:val="none" w:sz="0" w:space="0" w:color="auto"/>
        <w:bottom w:val="none" w:sz="0" w:space="0" w:color="auto"/>
        <w:right w:val="none" w:sz="0" w:space="0" w:color="auto"/>
      </w:divBdr>
    </w:div>
    <w:div w:id="1579554416">
      <w:bodyDiv w:val="1"/>
      <w:marLeft w:val="0"/>
      <w:marRight w:val="0"/>
      <w:marTop w:val="0"/>
      <w:marBottom w:val="0"/>
      <w:divBdr>
        <w:top w:val="none" w:sz="0" w:space="0" w:color="auto"/>
        <w:left w:val="none" w:sz="0" w:space="0" w:color="auto"/>
        <w:bottom w:val="none" w:sz="0" w:space="0" w:color="auto"/>
        <w:right w:val="none" w:sz="0" w:space="0" w:color="auto"/>
      </w:divBdr>
    </w:div>
    <w:div w:id="1580288337">
      <w:bodyDiv w:val="1"/>
      <w:marLeft w:val="0"/>
      <w:marRight w:val="0"/>
      <w:marTop w:val="0"/>
      <w:marBottom w:val="0"/>
      <w:divBdr>
        <w:top w:val="none" w:sz="0" w:space="0" w:color="auto"/>
        <w:left w:val="none" w:sz="0" w:space="0" w:color="auto"/>
        <w:bottom w:val="none" w:sz="0" w:space="0" w:color="auto"/>
        <w:right w:val="none" w:sz="0" w:space="0" w:color="auto"/>
      </w:divBdr>
    </w:div>
    <w:div w:id="1584098997">
      <w:bodyDiv w:val="1"/>
      <w:marLeft w:val="0"/>
      <w:marRight w:val="0"/>
      <w:marTop w:val="0"/>
      <w:marBottom w:val="0"/>
      <w:divBdr>
        <w:top w:val="none" w:sz="0" w:space="0" w:color="auto"/>
        <w:left w:val="none" w:sz="0" w:space="0" w:color="auto"/>
        <w:bottom w:val="none" w:sz="0" w:space="0" w:color="auto"/>
        <w:right w:val="none" w:sz="0" w:space="0" w:color="auto"/>
      </w:divBdr>
    </w:div>
    <w:div w:id="1585142696">
      <w:bodyDiv w:val="1"/>
      <w:marLeft w:val="0"/>
      <w:marRight w:val="0"/>
      <w:marTop w:val="0"/>
      <w:marBottom w:val="0"/>
      <w:divBdr>
        <w:top w:val="none" w:sz="0" w:space="0" w:color="auto"/>
        <w:left w:val="none" w:sz="0" w:space="0" w:color="auto"/>
        <w:bottom w:val="none" w:sz="0" w:space="0" w:color="auto"/>
        <w:right w:val="none" w:sz="0" w:space="0" w:color="auto"/>
      </w:divBdr>
    </w:div>
    <w:div w:id="1586182500">
      <w:bodyDiv w:val="1"/>
      <w:marLeft w:val="0"/>
      <w:marRight w:val="0"/>
      <w:marTop w:val="0"/>
      <w:marBottom w:val="0"/>
      <w:divBdr>
        <w:top w:val="none" w:sz="0" w:space="0" w:color="auto"/>
        <w:left w:val="none" w:sz="0" w:space="0" w:color="auto"/>
        <w:bottom w:val="none" w:sz="0" w:space="0" w:color="auto"/>
        <w:right w:val="none" w:sz="0" w:space="0" w:color="auto"/>
      </w:divBdr>
    </w:div>
    <w:div w:id="1588267237">
      <w:bodyDiv w:val="1"/>
      <w:marLeft w:val="0"/>
      <w:marRight w:val="0"/>
      <w:marTop w:val="0"/>
      <w:marBottom w:val="0"/>
      <w:divBdr>
        <w:top w:val="none" w:sz="0" w:space="0" w:color="auto"/>
        <w:left w:val="none" w:sz="0" w:space="0" w:color="auto"/>
        <w:bottom w:val="none" w:sz="0" w:space="0" w:color="auto"/>
        <w:right w:val="none" w:sz="0" w:space="0" w:color="auto"/>
      </w:divBdr>
    </w:div>
    <w:div w:id="1591617781">
      <w:bodyDiv w:val="1"/>
      <w:marLeft w:val="0"/>
      <w:marRight w:val="0"/>
      <w:marTop w:val="0"/>
      <w:marBottom w:val="0"/>
      <w:divBdr>
        <w:top w:val="none" w:sz="0" w:space="0" w:color="auto"/>
        <w:left w:val="none" w:sz="0" w:space="0" w:color="auto"/>
        <w:bottom w:val="none" w:sz="0" w:space="0" w:color="auto"/>
        <w:right w:val="none" w:sz="0" w:space="0" w:color="auto"/>
      </w:divBdr>
    </w:div>
    <w:div w:id="1594432197">
      <w:bodyDiv w:val="1"/>
      <w:marLeft w:val="0"/>
      <w:marRight w:val="0"/>
      <w:marTop w:val="0"/>
      <w:marBottom w:val="0"/>
      <w:divBdr>
        <w:top w:val="none" w:sz="0" w:space="0" w:color="auto"/>
        <w:left w:val="none" w:sz="0" w:space="0" w:color="auto"/>
        <w:bottom w:val="none" w:sz="0" w:space="0" w:color="auto"/>
        <w:right w:val="none" w:sz="0" w:space="0" w:color="auto"/>
      </w:divBdr>
    </w:div>
    <w:div w:id="1598362128">
      <w:bodyDiv w:val="1"/>
      <w:marLeft w:val="0"/>
      <w:marRight w:val="0"/>
      <w:marTop w:val="0"/>
      <w:marBottom w:val="0"/>
      <w:divBdr>
        <w:top w:val="none" w:sz="0" w:space="0" w:color="auto"/>
        <w:left w:val="none" w:sz="0" w:space="0" w:color="auto"/>
        <w:bottom w:val="none" w:sz="0" w:space="0" w:color="auto"/>
        <w:right w:val="none" w:sz="0" w:space="0" w:color="auto"/>
      </w:divBdr>
    </w:div>
    <w:div w:id="1601569797">
      <w:bodyDiv w:val="1"/>
      <w:marLeft w:val="0"/>
      <w:marRight w:val="0"/>
      <w:marTop w:val="0"/>
      <w:marBottom w:val="0"/>
      <w:divBdr>
        <w:top w:val="none" w:sz="0" w:space="0" w:color="auto"/>
        <w:left w:val="none" w:sz="0" w:space="0" w:color="auto"/>
        <w:bottom w:val="none" w:sz="0" w:space="0" w:color="auto"/>
        <w:right w:val="none" w:sz="0" w:space="0" w:color="auto"/>
      </w:divBdr>
    </w:div>
    <w:div w:id="1610161181">
      <w:bodyDiv w:val="1"/>
      <w:marLeft w:val="0"/>
      <w:marRight w:val="0"/>
      <w:marTop w:val="0"/>
      <w:marBottom w:val="0"/>
      <w:divBdr>
        <w:top w:val="none" w:sz="0" w:space="0" w:color="auto"/>
        <w:left w:val="none" w:sz="0" w:space="0" w:color="auto"/>
        <w:bottom w:val="none" w:sz="0" w:space="0" w:color="auto"/>
        <w:right w:val="none" w:sz="0" w:space="0" w:color="auto"/>
      </w:divBdr>
    </w:div>
    <w:div w:id="1614634121">
      <w:bodyDiv w:val="1"/>
      <w:marLeft w:val="0"/>
      <w:marRight w:val="0"/>
      <w:marTop w:val="0"/>
      <w:marBottom w:val="0"/>
      <w:divBdr>
        <w:top w:val="none" w:sz="0" w:space="0" w:color="auto"/>
        <w:left w:val="none" w:sz="0" w:space="0" w:color="auto"/>
        <w:bottom w:val="none" w:sz="0" w:space="0" w:color="auto"/>
        <w:right w:val="none" w:sz="0" w:space="0" w:color="auto"/>
      </w:divBdr>
    </w:div>
    <w:div w:id="1615793563">
      <w:bodyDiv w:val="1"/>
      <w:marLeft w:val="0"/>
      <w:marRight w:val="0"/>
      <w:marTop w:val="0"/>
      <w:marBottom w:val="0"/>
      <w:divBdr>
        <w:top w:val="none" w:sz="0" w:space="0" w:color="auto"/>
        <w:left w:val="none" w:sz="0" w:space="0" w:color="auto"/>
        <w:bottom w:val="none" w:sz="0" w:space="0" w:color="auto"/>
        <w:right w:val="none" w:sz="0" w:space="0" w:color="auto"/>
      </w:divBdr>
    </w:div>
    <w:div w:id="1618834873">
      <w:bodyDiv w:val="1"/>
      <w:marLeft w:val="0"/>
      <w:marRight w:val="0"/>
      <w:marTop w:val="0"/>
      <w:marBottom w:val="0"/>
      <w:divBdr>
        <w:top w:val="none" w:sz="0" w:space="0" w:color="auto"/>
        <w:left w:val="none" w:sz="0" w:space="0" w:color="auto"/>
        <w:bottom w:val="none" w:sz="0" w:space="0" w:color="auto"/>
        <w:right w:val="none" w:sz="0" w:space="0" w:color="auto"/>
      </w:divBdr>
    </w:div>
    <w:div w:id="1623460349">
      <w:bodyDiv w:val="1"/>
      <w:marLeft w:val="0"/>
      <w:marRight w:val="0"/>
      <w:marTop w:val="0"/>
      <w:marBottom w:val="0"/>
      <w:divBdr>
        <w:top w:val="none" w:sz="0" w:space="0" w:color="auto"/>
        <w:left w:val="none" w:sz="0" w:space="0" w:color="auto"/>
        <w:bottom w:val="none" w:sz="0" w:space="0" w:color="auto"/>
        <w:right w:val="none" w:sz="0" w:space="0" w:color="auto"/>
      </w:divBdr>
    </w:div>
    <w:div w:id="1633367526">
      <w:bodyDiv w:val="1"/>
      <w:marLeft w:val="0"/>
      <w:marRight w:val="0"/>
      <w:marTop w:val="0"/>
      <w:marBottom w:val="0"/>
      <w:divBdr>
        <w:top w:val="none" w:sz="0" w:space="0" w:color="auto"/>
        <w:left w:val="none" w:sz="0" w:space="0" w:color="auto"/>
        <w:bottom w:val="none" w:sz="0" w:space="0" w:color="auto"/>
        <w:right w:val="none" w:sz="0" w:space="0" w:color="auto"/>
      </w:divBdr>
    </w:div>
    <w:div w:id="1635674981">
      <w:bodyDiv w:val="1"/>
      <w:marLeft w:val="0"/>
      <w:marRight w:val="0"/>
      <w:marTop w:val="0"/>
      <w:marBottom w:val="0"/>
      <w:divBdr>
        <w:top w:val="none" w:sz="0" w:space="0" w:color="auto"/>
        <w:left w:val="none" w:sz="0" w:space="0" w:color="auto"/>
        <w:bottom w:val="none" w:sz="0" w:space="0" w:color="auto"/>
        <w:right w:val="none" w:sz="0" w:space="0" w:color="auto"/>
      </w:divBdr>
    </w:div>
    <w:div w:id="1637225443">
      <w:bodyDiv w:val="1"/>
      <w:marLeft w:val="0"/>
      <w:marRight w:val="0"/>
      <w:marTop w:val="0"/>
      <w:marBottom w:val="0"/>
      <w:divBdr>
        <w:top w:val="none" w:sz="0" w:space="0" w:color="auto"/>
        <w:left w:val="none" w:sz="0" w:space="0" w:color="auto"/>
        <w:bottom w:val="none" w:sz="0" w:space="0" w:color="auto"/>
        <w:right w:val="none" w:sz="0" w:space="0" w:color="auto"/>
      </w:divBdr>
    </w:div>
    <w:div w:id="1639871694">
      <w:bodyDiv w:val="1"/>
      <w:marLeft w:val="0"/>
      <w:marRight w:val="0"/>
      <w:marTop w:val="0"/>
      <w:marBottom w:val="0"/>
      <w:divBdr>
        <w:top w:val="none" w:sz="0" w:space="0" w:color="auto"/>
        <w:left w:val="none" w:sz="0" w:space="0" w:color="auto"/>
        <w:bottom w:val="none" w:sz="0" w:space="0" w:color="auto"/>
        <w:right w:val="none" w:sz="0" w:space="0" w:color="auto"/>
      </w:divBdr>
    </w:div>
    <w:div w:id="1645692637">
      <w:bodyDiv w:val="1"/>
      <w:marLeft w:val="0"/>
      <w:marRight w:val="0"/>
      <w:marTop w:val="0"/>
      <w:marBottom w:val="0"/>
      <w:divBdr>
        <w:top w:val="none" w:sz="0" w:space="0" w:color="auto"/>
        <w:left w:val="none" w:sz="0" w:space="0" w:color="auto"/>
        <w:bottom w:val="none" w:sz="0" w:space="0" w:color="auto"/>
        <w:right w:val="none" w:sz="0" w:space="0" w:color="auto"/>
      </w:divBdr>
    </w:div>
    <w:div w:id="1651400528">
      <w:bodyDiv w:val="1"/>
      <w:marLeft w:val="0"/>
      <w:marRight w:val="0"/>
      <w:marTop w:val="0"/>
      <w:marBottom w:val="0"/>
      <w:divBdr>
        <w:top w:val="none" w:sz="0" w:space="0" w:color="auto"/>
        <w:left w:val="none" w:sz="0" w:space="0" w:color="auto"/>
        <w:bottom w:val="none" w:sz="0" w:space="0" w:color="auto"/>
        <w:right w:val="none" w:sz="0" w:space="0" w:color="auto"/>
      </w:divBdr>
    </w:div>
    <w:div w:id="1661812325">
      <w:bodyDiv w:val="1"/>
      <w:marLeft w:val="0"/>
      <w:marRight w:val="0"/>
      <w:marTop w:val="0"/>
      <w:marBottom w:val="0"/>
      <w:divBdr>
        <w:top w:val="none" w:sz="0" w:space="0" w:color="auto"/>
        <w:left w:val="none" w:sz="0" w:space="0" w:color="auto"/>
        <w:bottom w:val="none" w:sz="0" w:space="0" w:color="auto"/>
        <w:right w:val="none" w:sz="0" w:space="0" w:color="auto"/>
      </w:divBdr>
    </w:div>
    <w:div w:id="1663120174">
      <w:bodyDiv w:val="1"/>
      <w:marLeft w:val="0"/>
      <w:marRight w:val="0"/>
      <w:marTop w:val="0"/>
      <w:marBottom w:val="0"/>
      <w:divBdr>
        <w:top w:val="none" w:sz="0" w:space="0" w:color="auto"/>
        <w:left w:val="none" w:sz="0" w:space="0" w:color="auto"/>
        <w:bottom w:val="none" w:sz="0" w:space="0" w:color="auto"/>
        <w:right w:val="none" w:sz="0" w:space="0" w:color="auto"/>
      </w:divBdr>
    </w:div>
    <w:div w:id="1669409407">
      <w:bodyDiv w:val="1"/>
      <w:marLeft w:val="0"/>
      <w:marRight w:val="0"/>
      <w:marTop w:val="0"/>
      <w:marBottom w:val="0"/>
      <w:divBdr>
        <w:top w:val="none" w:sz="0" w:space="0" w:color="auto"/>
        <w:left w:val="none" w:sz="0" w:space="0" w:color="auto"/>
        <w:bottom w:val="none" w:sz="0" w:space="0" w:color="auto"/>
        <w:right w:val="none" w:sz="0" w:space="0" w:color="auto"/>
      </w:divBdr>
    </w:div>
    <w:div w:id="1674336882">
      <w:bodyDiv w:val="1"/>
      <w:marLeft w:val="0"/>
      <w:marRight w:val="0"/>
      <w:marTop w:val="0"/>
      <w:marBottom w:val="0"/>
      <w:divBdr>
        <w:top w:val="none" w:sz="0" w:space="0" w:color="auto"/>
        <w:left w:val="none" w:sz="0" w:space="0" w:color="auto"/>
        <w:bottom w:val="none" w:sz="0" w:space="0" w:color="auto"/>
        <w:right w:val="none" w:sz="0" w:space="0" w:color="auto"/>
      </w:divBdr>
    </w:div>
    <w:div w:id="1683243164">
      <w:bodyDiv w:val="1"/>
      <w:marLeft w:val="0"/>
      <w:marRight w:val="0"/>
      <w:marTop w:val="0"/>
      <w:marBottom w:val="0"/>
      <w:divBdr>
        <w:top w:val="none" w:sz="0" w:space="0" w:color="auto"/>
        <w:left w:val="none" w:sz="0" w:space="0" w:color="auto"/>
        <w:bottom w:val="none" w:sz="0" w:space="0" w:color="auto"/>
        <w:right w:val="none" w:sz="0" w:space="0" w:color="auto"/>
      </w:divBdr>
    </w:div>
    <w:div w:id="1686327116">
      <w:bodyDiv w:val="1"/>
      <w:marLeft w:val="0"/>
      <w:marRight w:val="0"/>
      <w:marTop w:val="0"/>
      <w:marBottom w:val="0"/>
      <w:divBdr>
        <w:top w:val="none" w:sz="0" w:space="0" w:color="auto"/>
        <w:left w:val="none" w:sz="0" w:space="0" w:color="auto"/>
        <w:bottom w:val="none" w:sz="0" w:space="0" w:color="auto"/>
        <w:right w:val="none" w:sz="0" w:space="0" w:color="auto"/>
      </w:divBdr>
    </w:div>
    <w:div w:id="1687293830">
      <w:bodyDiv w:val="1"/>
      <w:marLeft w:val="0"/>
      <w:marRight w:val="0"/>
      <w:marTop w:val="0"/>
      <w:marBottom w:val="0"/>
      <w:divBdr>
        <w:top w:val="none" w:sz="0" w:space="0" w:color="auto"/>
        <w:left w:val="none" w:sz="0" w:space="0" w:color="auto"/>
        <w:bottom w:val="none" w:sz="0" w:space="0" w:color="auto"/>
        <w:right w:val="none" w:sz="0" w:space="0" w:color="auto"/>
      </w:divBdr>
    </w:div>
    <w:div w:id="1690913961">
      <w:bodyDiv w:val="1"/>
      <w:marLeft w:val="0"/>
      <w:marRight w:val="0"/>
      <w:marTop w:val="0"/>
      <w:marBottom w:val="0"/>
      <w:divBdr>
        <w:top w:val="none" w:sz="0" w:space="0" w:color="auto"/>
        <w:left w:val="none" w:sz="0" w:space="0" w:color="auto"/>
        <w:bottom w:val="none" w:sz="0" w:space="0" w:color="auto"/>
        <w:right w:val="none" w:sz="0" w:space="0" w:color="auto"/>
      </w:divBdr>
    </w:div>
    <w:div w:id="1692684961">
      <w:bodyDiv w:val="1"/>
      <w:marLeft w:val="0"/>
      <w:marRight w:val="0"/>
      <w:marTop w:val="0"/>
      <w:marBottom w:val="0"/>
      <w:divBdr>
        <w:top w:val="none" w:sz="0" w:space="0" w:color="auto"/>
        <w:left w:val="none" w:sz="0" w:space="0" w:color="auto"/>
        <w:bottom w:val="none" w:sz="0" w:space="0" w:color="auto"/>
        <w:right w:val="none" w:sz="0" w:space="0" w:color="auto"/>
      </w:divBdr>
    </w:div>
    <w:div w:id="1692992564">
      <w:bodyDiv w:val="1"/>
      <w:marLeft w:val="0"/>
      <w:marRight w:val="0"/>
      <w:marTop w:val="0"/>
      <w:marBottom w:val="0"/>
      <w:divBdr>
        <w:top w:val="none" w:sz="0" w:space="0" w:color="auto"/>
        <w:left w:val="none" w:sz="0" w:space="0" w:color="auto"/>
        <w:bottom w:val="none" w:sz="0" w:space="0" w:color="auto"/>
        <w:right w:val="none" w:sz="0" w:space="0" w:color="auto"/>
      </w:divBdr>
    </w:div>
    <w:div w:id="1693913972">
      <w:bodyDiv w:val="1"/>
      <w:marLeft w:val="0"/>
      <w:marRight w:val="0"/>
      <w:marTop w:val="0"/>
      <w:marBottom w:val="0"/>
      <w:divBdr>
        <w:top w:val="none" w:sz="0" w:space="0" w:color="auto"/>
        <w:left w:val="none" w:sz="0" w:space="0" w:color="auto"/>
        <w:bottom w:val="none" w:sz="0" w:space="0" w:color="auto"/>
        <w:right w:val="none" w:sz="0" w:space="0" w:color="auto"/>
      </w:divBdr>
    </w:div>
    <w:div w:id="1695305625">
      <w:bodyDiv w:val="1"/>
      <w:marLeft w:val="0"/>
      <w:marRight w:val="0"/>
      <w:marTop w:val="0"/>
      <w:marBottom w:val="0"/>
      <w:divBdr>
        <w:top w:val="none" w:sz="0" w:space="0" w:color="auto"/>
        <w:left w:val="none" w:sz="0" w:space="0" w:color="auto"/>
        <w:bottom w:val="none" w:sz="0" w:space="0" w:color="auto"/>
        <w:right w:val="none" w:sz="0" w:space="0" w:color="auto"/>
      </w:divBdr>
    </w:div>
    <w:div w:id="1695836870">
      <w:bodyDiv w:val="1"/>
      <w:marLeft w:val="0"/>
      <w:marRight w:val="0"/>
      <w:marTop w:val="0"/>
      <w:marBottom w:val="0"/>
      <w:divBdr>
        <w:top w:val="none" w:sz="0" w:space="0" w:color="auto"/>
        <w:left w:val="none" w:sz="0" w:space="0" w:color="auto"/>
        <w:bottom w:val="none" w:sz="0" w:space="0" w:color="auto"/>
        <w:right w:val="none" w:sz="0" w:space="0" w:color="auto"/>
      </w:divBdr>
    </w:div>
    <w:div w:id="1698389401">
      <w:bodyDiv w:val="1"/>
      <w:marLeft w:val="0"/>
      <w:marRight w:val="0"/>
      <w:marTop w:val="0"/>
      <w:marBottom w:val="0"/>
      <w:divBdr>
        <w:top w:val="none" w:sz="0" w:space="0" w:color="auto"/>
        <w:left w:val="none" w:sz="0" w:space="0" w:color="auto"/>
        <w:bottom w:val="none" w:sz="0" w:space="0" w:color="auto"/>
        <w:right w:val="none" w:sz="0" w:space="0" w:color="auto"/>
      </w:divBdr>
    </w:div>
    <w:div w:id="1698458897">
      <w:bodyDiv w:val="1"/>
      <w:marLeft w:val="0"/>
      <w:marRight w:val="0"/>
      <w:marTop w:val="0"/>
      <w:marBottom w:val="0"/>
      <w:divBdr>
        <w:top w:val="none" w:sz="0" w:space="0" w:color="auto"/>
        <w:left w:val="none" w:sz="0" w:space="0" w:color="auto"/>
        <w:bottom w:val="none" w:sz="0" w:space="0" w:color="auto"/>
        <w:right w:val="none" w:sz="0" w:space="0" w:color="auto"/>
      </w:divBdr>
    </w:div>
    <w:div w:id="1699894043">
      <w:bodyDiv w:val="1"/>
      <w:marLeft w:val="0"/>
      <w:marRight w:val="0"/>
      <w:marTop w:val="0"/>
      <w:marBottom w:val="0"/>
      <w:divBdr>
        <w:top w:val="none" w:sz="0" w:space="0" w:color="auto"/>
        <w:left w:val="none" w:sz="0" w:space="0" w:color="auto"/>
        <w:bottom w:val="none" w:sz="0" w:space="0" w:color="auto"/>
        <w:right w:val="none" w:sz="0" w:space="0" w:color="auto"/>
      </w:divBdr>
    </w:div>
    <w:div w:id="1706369300">
      <w:bodyDiv w:val="1"/>
      <w:marLeft w:val="0"/>
      <w:marRight w:val="0"/>
      <w:marTop w:val="0"/>
      <w:marBottom w:val="0"/>
      <w:divBdr>
        <w:top w:val="none" w:sz="0" w:space="0" w:color="auto"/>
        <w:left w:val="none" w:sz="0" w:space="0" w:color="auto"/>
        <w:bottom w:val="none" w:sz="0" w:space="0" w:color="auto"/>
        <w:right w:val="none" w:sz="0" w:space="0" w:color="auto"/>
      </w:divBdr>
    </w:div>
    <w:div w:id="1712420988">
      <w:bodyDiv w:val="1"/>
      <w:marLeft w:val="0"/>
      <w:marRight w:val="0"/>
      <w:marTop w:val="0"/>
      <w:marBottom w:val="0"/>
      <w:divBdr>
        <w:top w:val="none" w:sz="0" w:space="0" w:color="auto"/>
        <w:left w:val="none" w:sz="0" w:space="0" w:color="auto"/>
        <w:bottom w:val="none" w:sz="0" w:space="0" w:color="auto"/>
        <w:right w:val="none" w:sz="0" w:space="0" w:color="auto"/>
      </w:divBdr>
    </w:div>
    <w:div w:id="1712874960">
      <w:bodyDiv w:val="1"/>
      <w:marLeft w:val="0"/>
      <w:marRight w:val="0"/>
      <w:marTop w:val="0"/>
      <w:marBottom w:val="0"/>
      <w:divBdr>
        <w:top w:val="none" w:sz="0" w:space="0" w:color="auto"/>
        <w:left w:val="none" w:sz="0" w:space="0" w:color="auto"/>
        <w:bottom w:val="none" w:sz="0" w:space="0" w:color="auto"/>
        <w:right w:val="none" w:sz="0" w:space="0" w:color="auto"/>
      </w:divBdr>
    </w:div>
    <w:div w:id="1714042046">
      <w:bodyDiv w:val="1"/>
      <w:marLeft w:val="0"/>
      <w:marRight w:val="0"/>
      <w:marTop w:val="0"/>
      <w:marBottom w:val="0"/>
      <w:divBdr>
        <w:top w:val="none" w:sz="0" w:space="0" w:color="auto"/>
        <w:left w:val="none" w:sz="0" w:space="0" w:color="auto"/>
        <w:bottom w:val="none" w:sz="0" w:space="0" w:color="auto"/>
        <w:right w:val="none" w:sz="0" w:space="0" w:color="auto"/>
      </w:divBdr>
    </w:div>
    <w:div w:id="1716394907">
      <w:bodyDiv w:val="1"/>
      <w:marLeft w:val="0"/>
      <w:marRight w:val="0"/>
      <w:marTop w:val="0"/>
      <w:marBottom w:val="0"/>
      <w:divBdr>
        <w:top w:val="none" w:sz="0" w:space="0" w:color="auto"/>
        <w:left w:val="none" w:sz="0" w:space="0" w:color="auto"/>
        <w:bottom w:val="none" w:sz="0" w:space="0" w:color="auto"/>
        <w:right w:val="none" w:sz="0" w:space="0" w:color="auto"/>
      </w:divBdr>
    </w:div>
    <w:div w:id="1718820555">
      <w:bodyDiv w:val="1"/>
      <w:marLeft w:val="0"/>
      <w:marRight w:val="0"/>
      <w:marTop w:val="0"/>
      <w:marBottom w:val="0"/>
      <w:divBdr>
        <w:top w:val="none" w:sz="0" w:space="0" w:color="auto"/>
        <w:left w:val="none" w:sz="0" w:space="0" w:color="auto"/>
        <w:bottom w:val="none" w:sz="0" w:space="0" w:color="auto"/>
        <w:right w:val="none" w:sz="0" w:space="0" w:color="auto"/>
      </w:divBdr>
    </w:div>
    <w:div w:id="1724719185">
      <w:bodyDiv w:val="1"/>
      <w:marLeft w:val="0"/>
      <w:marRight w:val="0"/>
      <w:marTop w:val="0"/>
      <w:marBottom w:val="0"/>
      <w:divBdr>
        <w:top w:val="none" w:sz="0" w:space="0" w:color="auto"/>
        <w:left w:val="none" w:sz="0" w:space="0" w:color="auto"/>
        <w:bottom w:val="none" w:sz="0" w:space="0" w:color="auto"/>
        <w:right w:val="none" w:sz="0" w:space="0" w:color="auto"/>
      </w:divBdr>
    </w:div>
    <w:div w:id="1725715832">
      <w:bodyDiv w:val="1"/>
      <w:marLeft w:val="0"/>
      <w:marRight w:val="0"/>
      <w:marTop w:val="0"/>
      <w:marBottom w:val="0"/>
      <w:divBdr>
        <w:top w:val="none" w:sz="0" w:space="0" w:color="auto"/>
        <w:left w:val="none" w:sz="0" w:space="0" w:color="auto"/>
        <w:bottom w:val="none" w:sz="0" w:space="0" w:color="auto"/>
        <w:right w:val="none" w:sz="0" w:space="0" w:color="auto"/>
      </w:divBdr>
    </w:div>
    <w:div w:id="1728918512">
      <w:bodyDiv w:val="1"/>
      <w:marLeft w:val="0"/>
      <w:marRight w:val="0"/>
      <w:marTop w:val="0"/>
      <w:marBottom w:val="0"/>
      <w:divBdr>
        <w:top w:val="none" w:sz="0" w:space="0" w:color="auto"/>
        <w:left w:val="none" w:sz="0" w:space="0" w:color="auto"/>
        <w:bottom w:val="none" w:sz="0" w:space="0" w:color="auto"/>
        <w:right w:val="none" w:sz="0" w:space="0" w:color="auto"/>
      </w:divBdr>
    </w:div>
    <w:div w:id="1730683922">
      <w:bodyDiv w:val="1"/>
      <w:marLeft w:val="0"/>
      <w:marRight w:val="0"/>
      <w:marTop w:val="0"/>
      <w:marBottom w:val="0"/>
      <w:divBdr>
        <w:top w:val="none" w:sz="0" w:space="0" w:color="auto"/>
        <w:left w:val="none" w:sz="0" w:space="0" w:color="auto"/>
        <w:bottom w:val="none" w:sz="0" w:space="0" w:color="auto"/>
        <w:right w:val="none" w:sz="0" w:space="0" w:color="auto"/>
      </w:divBdr>
    </w:div>
    <w:div w:id="1733581205">
      <w:bodyDiv w:val="1"/>
      <w:marLeft w:val="0"/>
      <w:marRight w:val="0"/>
      <w:marTop w:val="0"/>
      <w:marBottom w:val="0"/>
      <w:divBdr>
        <w:top w:val="none" w:sz="0" w:space="0" w:color="auto"/>
        <w:left w:val="none" w:sz="0" w:space="0" w:color="auto"/>
        <w:bottom w:val="none" w:sz="0" w:space="0" w:color="auto"/>
        <w:right w:val="none" w:sz="0" w:space="0" w:color="auto"/>
      </w:divBdr>
    </w:div>
    <w:div w:id="1734309170">
      <w:bodyDiv w:val="1"/>
      <w:marLeft w:val="0"/>
      <w:marRight w:val="0"/>
      <w:marTop w:val="0"/>
      <w:marBottom w:val="0"/>
      <w:divBdr>
        <w:top w:val="none" w:sz="0" w:space="0" w:color="auto"/>
        <w:left w:val="none" w:sz="0" w:space="0" w:color="auto"/>
        <w:bottom w:val="none" w:sz="0" w:space="0" w:color="auto"/>
        <w:right w:val="none" w:sz="0" w:space="0" w:color="auto"/>
      </w:divBdr>
    </w:div>
    <w:div w:id="1744909631">
      <w:bodyDiv w:val="1"/>
      <w:marLeft w:val="0"/>
      <w:marRight w:val="0"/>
      <w:marTop w:val="0"/>
      <w:marBottom w:val="0"/>
      <w:divBdr>
        <w:top w:val="none" w:sz="0" w:space="0" w:color="auto"/>
        <w:left w:val="none" w:sz="0" w:space="0" w:color="auto"/>
        <w:bottom w:val="none" w:sz="0" w:space="0" w:color="auto"/>
        <w:right w:val="none" w:sz="0" w:space="0" w:color="auto"/>
      </w:divBdr>
    </w:div>
    <w:div w:id="1746534518">
      <w:bodyDiv w:val="1"/>
      <w:marLeft w:val="0"/>
      <w:marRight w:val="0"/>
      <w:marTop w:val="0"/>
      <w:marBottom w:val="0"/>
      <w:divBdr>
        <w:top w:val="none" w:sz="0" w:space="0" w:color="auto"/>
        <w:left w:val="none" w:sz="0" w:space="0" w:color="auto"/>
        <w:bottom w:val="none" w:sz="0" w:space="0" w:color="auto"/>
        <w:right w:val="none" w:sz="0" w:space="0" w:color="auto"/>
      </w:divBdr>
    </w:div>
    <w:div w:id="1748572700">
      <w:bodyDiv w:val="1"/>
      <w:marLeft w:val="0"/>
      <w:marRight w:val="0"/>
      <w:marTop w:val="0"/>
      <w:marBottom w:val="0"/>
      <w:divBdr>
        <w:top w:val="none" w:sz="0" w:space="0" w:color="auto"/>
        <w:left w:val="none" w:sz="0" w:space="0" w:color="auto"/>
        <w:bottom w:val="none" w:sz="0" w:space="0" w:color="auto"/>
        <w:right w:val="none" w:sz="0" w:space="0" w:color="auto"/>
      </w:divBdr>
    </w:div>
    <w:div w:id="1750078923">
      <w:bodyDiv w:val="1"/>
      <w:marLeft w:val="0"/>
      <w:marRight w:val="0"/>
      <w:marTop w:val="0"/>
      <w:marBottom w:val="0"/>
      <w:divBdr>
        <w:top w:val="none" w:sz="0" w:space="0" w:color="auto"/>
        <w:left w:val="none" w:sz="0" w:space="0" w:color="auto"/>
        <w:bottom w:val="none" w:sz="0" w:space="0" w:color="auto"/>
        <w:right w:val="none" w:sz="0" w:space="0" w:color="auto"/>
      </w:divBdr>
    </w:div>
    <w:div w:id="1751539886">
      <w:bodyDiv w:val="1"/>
      <w:marLeft w:val="0"/>
      <w:marRight w:val="0"/>
      <w:marTop w:val="0"/>
      <w:marBottom w:val="0"/>
      <w:divBdr>
        <w:top w:val="none" w:sz="0" w:space="0" w:color="auto"/>
        <w:left w:val="none" w:sz="0" w:space="0" w:color="auto"/>
        <w:bottom w:val="none" w:sz="0" w:space="0" w:color="auto"/>
        <w:right w:val="none" w:sz="0" w:space="0" w:color="auto"/>
      </w:divBdr>
    </w:div>
    <w:div w:id="1753700501">
      <w:bodyDiv w:val="1"/>
      <w:marLeft w:val="0"/>
      <w:marRight w:val="0"/>
      <w:marTop w:val="0"/>
      <w:marBottom w:val="0"/>
      <w:divBdr>
        <w:top w:val="none" w:sz="0" w:space="0" w:color="auto"/>
        <w:left w:val="none" w:sz="0" w:space="0" w:color="auto"/>
        <w:bottom w:val="none" w:sz="0" w:space="0" w:color="auto"/>
        <w:right w:val="none" w:sz="0" w:space="0" w:color="auto"/>
      </w:divBdr>
    </w:div>
    <w:div w:id="1759475462">
      <w:bodyDiv w:val="1"/>
      <w:marLeft w:val="0"/>
      <w:marRight w:val="0"/>
      <w:marTop w:val="0"/>
      <w:marBottom w:val="0"/>
      <w:divBdr>
        <w:top w:val="none" w:sz="0" w:space="0" w:color="auto"/>
        <w:left w:val="none" w:sz="0" w:space="0" w:color="auto"/>
        <w:bottom w:val="none" w:sz="0" w:space="0" w:color="auto"/>
        <w:right w:val="none" w:sz="0" w:space="0" w:color="auto"/>
      </w:divBdr>
    </w:div>
    <w:div w:id="1760366166">
      <w:bodyDiv w:val="1"/>
      <w:marLeft w:val="0"/>
      <w:marRight w:val="0"/>
      <w:marTop w:val="0"/>
      <w:marBottom w:val="0"/>
      <w:divBdr>
        <w:top w:val="none" w:sz="0" w:space="0" w:color="auto"/>
        <w:left w:val="none" w:sz="0" w:space="0" w:color="auto"/>
        <w:bottom w:val="none" w:sz="0" w:space="0" w:color="auto"/>
        <w:right w:val="none" w:sz="0" w:space="0" w:color="auto"/>
      </w:divBdr>
    </w:div>
    <w:div w:id="1763792504">
      <w:bodyDiv w:val="1"/>
      <w:marLeft w:val="0"/>
      <w:marRight w:val="0"/>
      <w:marTop w:val="0"/>
      <w:marBottom w:val="0"/>
      <w:divBdr>
        <w:top w:val="none" w:sz="0" w:space="0" w:color="auto"/>
        <w:left w:val="none" w:sz="0" w:space="0" w:color="auto"/>
        <w:bottom w:val="none" w:sz="0" w:space="0" w:color="auto"/>
        <w:right w:val="none" w:sz="0" w:space="0" w:color="auto"/>
      </w:divBdr>
    </w:div>
    <w:div w:id="1769227635">
      <w:bodyDiv w:val="1"/>
      <w:marLeft w:val="0"/>
      <w:marRight w:val="0"/>
      <w:marTop w:val="0"/>
      <w:marBottom w:val="0"/>
      <w:divBdr>
        <w:top w:val="none" w:sz="0" w:space="0" w:color="auto"/>
        <w:left w:val="none" w:sz="0" w:space="0" w:color="auto"/>
        <w:bottom w:val="none" w:sz="0" w:space="0" w:color="auto"/>
        <w:right w:val="none" w:sz="0" w:space="0" w:color="auto"/>
      </w:divBdr>
    </w:div>
    <w:div w:id="1776705294">
      <w:bodyDiv w:val="1"/>
      <w:marLeft w:val="0"/>
      <w:marRight w:val="0"/>
      <w:marTop w:val="0"/>
      <w:marBottom w:val="0"/>
      <w:divBdr>
        <w:top w:val="none" w:sz="0" w:space="0" w:color="auto"/>
        <w:left w:val="none" w:sz="0" w:space="0" w:color="auto"/>
        <w:bottom w:val="none" w:sz="0" w:space="0" w:color="auto"/>
        <w:right w:val="none" w:sz="0" w:space="0" w:color="auto"/>
      </w:divBdr>
    </w:div>
    <w:div w:id="1778063270">
      <w:bodyDiv w:val="1"/>
      <w:marLeft w:val="0"/>
      <w:marRight w:val="0"/>
      <w:marTop w:val="0"/>
      <w:marBottom w:val="0"/>
      <w:divBdr>
        <w:top w:val="none" w:sz="0" w:space="0" w:color="auto"/>
        <w:left w:val="none" w:sz="0" w:space="0" w:color="auto"/>
        <w:bottom w:val="none" w:sz="0" w:space="0" w:color="auto"/>
        <w:right w:val="none" w:sz="0" w:space="0" w:color="auto"/>
      </w:divBdr>
    </w:div>
    <w:div w:id="1782068367">
      <w:bodyDiv w:val="1"/>
      <w:marLeft w:val="0"/>
      <w:marRight w:val="0"/>
      <w:marTop w:val="0"/>
      <w:marBottom w:val="0"/>
      <w:divBdr>
        <w:top w:val="none" w:sz="0" w:space="0" w:color="auto"/>
        <w:left w:val="none" w:sz="0" w:space="0" w:color="auto"/>
        <w:bottom w:val="none" w:sz="0" w:space="0" w:color="auto"/>
        <w:right w:val="none" w:sz="0" w:space="0" w:color="auto"/>
      </w:divBdr>
    </w:div>
    <w:div w:id="1791120826">
      <w:bodyDiv w:val="1"/>
      <w:marLeft w:val="0"/>
      <w:marRight w:val="0"/>
      <w:marTop w:val="0"/>
      <w:marBottom w:val="0"/>
      <w:divBdr>
        <w:top w:val="none" w:sz="0" w:space="0" w:color="auto"/>
        <w:left w:val="none" w:sz="0" w:space="0" w:color="auto"/>
        <w:bottom w:val="none" w:sz="0" w:space="0" w:color="auto"/>
        <w:right w:val="none" w:sz="0" w:space="0" w:color="auto"/>
      </w:divBdr>
    </w:div>
    <w:div w:id="1792549862">
      <w:bodyDiv w:val="1"/>
      <w:marLeft w:val="0"/>
      <w:marRight w:val="0"/>
      <w:marTop w:val="0"/>
      <w:marBottom w:val="0"/>
      <w:divBdr>
        <w:top w:val="none" w:sz="0" w:space="0" w:color="auto"/>
        <w:left w:val="none" w:sz="0" w:space="0" w:color="auto"/>
        <w:bottom w:val="none" w:sz="0" w:space="0" w:color="auto"/>
        <w:right w:val="none" w:sz="0" w:space="0" w:color="auto"/>
      </w:divBdr>
    </w:div>
    <w:div w:id="1793818596">
      <w:bodyDiv w:val="1"/>
      <w:marLeft w:val="0"/>
      <w:marRight w:val="0"/>
      <w:marTop w:val="0"/>
      <w:marBottom w:val="0"/>
      <w:divBdr>
        <w:top w:val="none" w:sz="0" w:space="0" w:color="auto"/>
        <w:left w:val="none" w:sz="0" w:space="0" w:color="auto"/>
        <w:bottom w:val="none" w:sz="0" w:space="0" w:color="auto"/>
        <w:right w:val="none" w:sz="0" w:space="0" w:color="auto"/>
      </w:divBdr>
    </w:div>
    <w:div w:id="1795363564">
      <w:bodyDiv w:val="1"/>
      <w:marLeft w:val="0"/>
      <w:marRight w:val="0"/>
      <w:marTop w:val="0"/>
      <w:marBottom w:val="0"/>
      <w:divBdr>
        <w:top w:val="none" w:sz="0" w:space="0" w:color="auto"/>
        <w:left w:val="none" w:sz="0" w:space="0" w:color="auto"/>
        <w:bottom w:val="none" w:sz="0" w:space="0" w:color="auto"/>
        <w:right w:val="none" w:sz="0" w:space="0" w:color="auto"/>
      </w:divBdr>
    </w:div>
    <w:div w:id="1798989068">
      <w:bodyDiv w:val="1"/>
      <w:marLeft w:val="0"/>
      <w:marRight w:val="0"/>
      <w:marTop w:val="0"/>
      <w:marBottom w:val="0"/>
      <w:divBdr>
        <w:top w:val="none" w:sz="0" w:space="0" w:color="auto"/>
        <w:left w:val="none" w:sz="0" w:space="0" w:color="auto"/>
        <w:bottom w:val="none" w:sz="0" w:space="0" w:color="auto"/>
        <w:right w:val="none" w:sz="0" w:space="0" w:color="auto"/>
      </w:divBdr>
    </w:div>
    <w:div w:id="1804040639">
      <w:bodyDiv w:val="1"/>
      <w:marLeft w:val="0"/>
      <w:marRight w:val="0"/>
      <w:marTop w:val="0"/>
      <w:marBottom w:val="0"/>
      <w:divBdr>
        <w:top w:val="none" w:sz="0" w:space="0" w:color="auto"/>
        <w:left w:val="none" w:sz="0" w:space="0" w:color="auto"/>
        <w:bottom w:val="none" w:sz="0" w:space="0" w:color="auto"/>
        <w:right w:val="none" w:sz="0" w:space="0" w:color="auto"/>
      </w:divBdr>
    </w:div>
    <w:div w:id="1804693795">
      <w:bodyDiv w:val="1"/>
      <w:marLeft w:val="0"/>
      <w:marRight w:val="0"/>
      <w:marTop w:val="0"/>
      <w:marBottom w:val="0"/>
      <w:divBdr>
        <w:top w:val="none" w:sz="0" w:space="0" w:color="auto"/>
        <w:left w:val="none" w:sz="0" w:space="0" w:color="auto"/>
        <w:bottom w:val="none" w:sz="0" w:space="0" w:color="auto"/>
        <w:right w:val="none" w:sz="0" w:space="0" w:color="auto"/>
      </w:divBdr>
    </w:div>
    <w:div w:id="1805343844">
      <w:bodyDiv w:val="1"/>
      <w:marLeft w:val="0"/>
      <w:marRight w:val="0"/>
      <w:marTop w:val="0"/>
      <w:marBottom w:val="0"/>
      <w:divBdr>
        <w:top w:val="none" w:sz="0" w:space="0" w:color="auto"/>
        <w:left w:val="none" w:sz="0" w:space="0" w:color="auto"/>
        <w:bottom w:val="none" w:sz="0" w:space="0" w:color="auto"/>
        <w:right w:val="none" w:sz="0" w:space="0" w:color="auto"/>
      </w:divBdr>
    </w:div>
    <w:div w:id="1806315227">
      <w:bodyDiv w:val="1"/>
      <w:marLeft w:val="0"/>
      <w:marRight w:val="0"/>
      <w:marTop w:val="0"/>
      <w:marBottom w:val="0"/>
      <w:divBdr>
        <w:top w:val="none" w:sz="0" w:space="0" w:color="auto"/>
        <w:left w:val="none" w:sz="0" w:space="0" w:color="auto"/>
        <w:bottom w:val="none" w:sz="0" w:space="0" w:color="auto"/>
        <w:right w:val="none" w:sz="0" w:space="0" w:color="auto"/>
      </w:divBdr>
    </w:div>
    <w:div w:id="1807240312">
      <w:bodyDiv w:val="1"/>
      <w:marLeft w:val="0"/>
      <w:marRight w:val="0"/>
      <w:marTop w:val="0"/>
      <w:marBottom w:val="0"/>
      <w:divBdr>
        <w:top w:val="none" w:sz="0" w:space="0" w:color="auto"/>
        <w:left w:val="none" w:sz="0" w:space="0" w:color="auto"/>
        <w:bottom w:val="none" w:sz="0" w:space="0" w:color="auto"/>
        <w:right w:val="none" w:sz="0" w:space="0" w:color="auto"/>
      </w:divBdr>
    </w:div>
    <w:div w:id="1808862349">
      <w:bodyDiv w:val="1"/>
      <w:marLeft w:val="0"/>
      <w:marRight w:val="0"/>
      <w:marTop w:val="0"/>
      <w:marBottom w:val="0"/>
      <w:divBdr>
        <w:top w:val="none" w:sz="0" w:space="0" w:color="auto"/>
        <w:left w:val="none" w:sz="0" w:space="0" w:color="auto"/>
        <w:bottom w:val="none" w:sz="0" w:space="0" w:color="auto"/>
        <w:right w:val="none" w:sz="0" w:space="0" w:color="auto"/>
      </w:divBdr>
    </w:div>
    <w:div w:id="1813281613">
      <w:bodyDiv w:val="1"/>
      <w:marLeft w:val="0"/>
      <w:marRight w:val="0"/>
      <w:marTop w:val="0"/>
      <w:marBottom w:val="0"/>
      <w:divBdr>
        <w:top w:val="none" w:sz="0" w:space="0" w:color="auto"/>
        <w:left w:val="none" w:sz="0" w:space="0" w:color="auto"/>
        <w:bottom w:val="none" w:sz="0" w:space="0" w:color="auto"/>
        <w:right w:val="none" w:sz="0" w:space="0" w:color="auto"/>
      </w:divBdr>
    </w:div>
    <w:div w:id="1823353748">
      <w:bodyDiv w:val="1"/>
      <w:marLeft w:val="0"/>
      <w:marRight w:val="0"/>
      <w:marTop w:val="0"/>
      <w:marBottom w:val="0"/>
      <w:divBdr>
        <w:top w:val="none" w:sz="0" w:space="0" w:color="auto"/>
        <w:left w:val="none" w:sz="0" w:space="0" w:color="auto"/>
        <w:bottom w:val="none" w:sz="0" w:space="0" w:color="auto"/>
        <w:right w:val="none" w:sz="0" w:space="0" w:color="auto"/>
      </w:divBdr>
    </w:div>
    <w:div w:id="1826579531">
      <w:bodyDiv w:val="1"/>
      <w:marLeft w:val="0"/>
      <w:marRight w:val="0"/>
      <w:marTop w:val="0"/>
      <w:marBottom w:val="0"/>
      <w:divBdr>
        <w:top w:val="none" w:sz="0" w:space="0" w:color="auto"/>
        <w:left w:val="none" w:sz="0" w:space="0" w:color="auto"/>
        <w:bottom w:val="none" w:sz="0" w:space="0" w:color="auto"/>
        <w:right w:val="none" w:sz="0" w:space="0" w:color="auto"/>
      </w:divBdr>
    </w:div>
    <w:div w:id="1831866915">
      <w:bodyDiv w:val="1"/>
      <w:marLeft w:val="0"/>
      <w:marRight w:val="0"/>
      <w:marTop w:val="0"/>
      <w:marBottom w:val="0"/>
      <w:divBdr>
        <w:top w:val="none" w:sz="0" w:space="0" w:color="auto"/>
        <w:left w:val="none" w:sz="0" w:space="0" w:color="auto"/>
        <w:bottom w:val="none" w:sz="0" w:space="0" w:color="auto"/>
        <w:right w:val="none" w:sz="0" w:space="0" w:color="auto"/>
      </w:divBdr>
    </w:div>
    <w:div w:id="1832716608">
      <w:bodyDiv w:val="1"/>
      <w:marLeft w:val="0"/>
      <w:marRight w:val="0"/>
      <w:marTop w:val="0"/>
      <w:marBottom w:val="0"/>
      <w:divBdr>
        <w:top w:val="none" w:sz="0" w:space="0" w:color="auto"/>
        <w:left w:val="none" w:sz="0" w:space="0" w:color="auto"/>
        <w:bottom w:val="none" w:sz="0" w:space="0" w:color="auto"/>
        <w:right w:val="none" w:sz="0" w:space="0" w:color="auto"/>
      </w:divBdr>
    </w:div>
    <w:div w:id="1834102027">
      <w:bodyDiv w:val="1"/>
      <w:marLeft w:val="0"/>
      <w:marRight w:val="0"/>
      <w:marTop w:val="0"/>
      <w:marBottom w:val="0"/>
      <w:divBdr>
        <w:top w:val="none" w:sz="0" w:space="0" w:color="auto"/>
        <w:left w:val="none" w:sz="0" w:space="0" w:color="auto"/>
        <w:bottom w:val="none" w:sz="0" w:space="0" w:color="auto"/>
        <w:right w:val="none" w:sz="0" w:space="0" w:color="auto"/>
      </w:divBdr>
    </w:div>
    <w:div w:id="1835955125">
      <w:bodyDiv w:val="1"/>
      <w:marLeft w:val="0"/>
      <w:marRight w:val="0"/>
      <w:marTop w:val="0"/>
      <w:marBottom w:val="0"/>
      <w:divBdr>
        <w:top w:val="none" w:sz="0" w:space="0" w:color="auto"/>
        <w:left w:val="none" w:sz="0" w:space="0" w:color="auto"/>
        <w:bottom w:val="none" w:sz="0" w:space="0" w:color="auto"/>
        <w:right w:val="none" w:sz="0" w:space="0" w:color="auto"/>
      </w:divBdr>
    </w:div>
    <w:div w:id="1836678545">
      <w:bodyDiv w:val="1"/>
      <w:marLeft w:val="0"/>
      <w:marRight w:val="0"/>
      <w:marTop w:val="0"/>
      <w:marBottom w:val="0"/>
      <w:divBdr>
        <w:top w:val="none" w:sz="0" w:space="0" w:color="auto"/>
        <w:left w:val="none" w:sz="0" w:space="0" w:color="auto"/>
        <w:bottom w:val="none" w:sz="0" w:space="0" w:color="auto"/>
        <w:right w:val="none" w:sz="0" w:space="0" w:color="auto"/>
      </w:divBdr>
    </w:div>
    <w:div w:id="1842113051">
      <w:bodyDiv w:val="1"/>
      <w:marLeft w:val="0"/>
      <w:marRight w:val="0"/>
      <w:marTop w:val="0"/>
      <w:marBottom w:val="0"/>
      <w:divBdr>
        <w:top w:val="none" w:sz="0" w:space="0" w:color="auto"/>
        <w:left w:val="none" w:sz="0" w:space="0" w:color="auto"/>
        <w:bottom w:val="none" w:sz="0" w:space="0" w:color="auto"/>
        <w:right w:val="none" w:sz="0" w:space="0" w:color="auto"/>
      </w:divBdr>
    </w:div>
    <w:div w:id="1849365496">
      <w:bodyDiv w:val="1"/>
      <w:marLeft w:val="0"/>
      <w:marRight w:val="0"/>
      <w:marTop w:val="0"/>
      <w:marBottom w:val="0"/>
      <w:divBdr>
        <w:top w:val="none" w:sz="0" w:space="0" w:color="auto"/>
        <w:left w:val="none" w:sz="0" w:space="0" w:color="auto"/>
        <w:bottom w:val="none" w:sz="0" w:space="0" w:color="auto"/>
        <w:right w:val="none" w:sz="0" w:space="0" w:color="auto"/>
      </w:divBdr>
    </w:div>
    <w:div w:id="1851290722">
      <w:bodyDiv w:val="1"/>
      <w:marLeft w:val="0"/>
      <w:marRight w:val="0"/>
      <w:marTop w:val="0"/>
      <w:marBottom w:val="0"/>
      <w:divBdr>
        <w:top w:val="none" w:sz="0" w:space="0" w:color="auto"/>
        <w:left w:val="none" w:sz="0" w:space="0" w:color="auto"/>
        <w:bottom w:val="none" w:sz="0" w:space="0" w:color="auto"/>
        <w:right w:val="none" w:sz="0" w:space="0" w:color="auto"/>
      </w:divBdr>
    </w:div>
    <w:div w:id="1855993312">
      <w:bodyDiv w:val="1"/>
      <w:marLeft w:val="0"/>
      <w:marRight w:val="0"/>
      <w:marTop w:val="0"/>
      <w:marBottom w:val="0"/>
      <w:divBdr>
        <w:top w:val="none" w:sz="0" w:space="0" w:color="auto"/>
        <w:left w:val="none" w:sz="0" w:space="0" w:color="auto"/>
        <w:bottom w:val="none" w:sz="0" w:space="0" w:color="auto"/>
        <w:right w:val="none" w:sz="0" w:space="0" w:color="auto"/>
      </w:divBdr>
    </w:div>
    <w:div w:id="1862160241">
      <w:bodyDiv w:val="1"/>
      <w:marLeft w:val="0"/>
      <w:marRight w:val="0"/>
      <w:marTop w:val="0"/>
      <w:marBottom w:val="0"/>
      <w:divBdr>
        <w:top w:val="none" w:sz="0" w:space="0" w:color="auto"/>
        <w:left w:val="none" w:sz="0" w:space="0" w:color="auto"/>
        <w:bottom w:val="none" w:sz="0" w:space="0" w:color="auto"/>
        <w:right w:val="none" w:sz="0" w:space="0" w:color="auto"/>
      </w:divBdr>
    </w:div>
    <w:div w:id="1874803034">
      <w:bodyDiv w:val="1"/>
      <w:marLeft w:val="0"/>
      <w:marRight w:val="0"/>
      <w:marTop w:val="0"/>
      <w:marBottom w:val="0"/>
      <w:divBdr>
        <w:top w:val="none" w:sz="0" w:space="0" w:color="auto"/>
        <w:left w:val="none" w:sz="0" w:space="0" w:color="auto"/>
        <w:bottom w:val="none" w:sz="0" w:space="0" w:color="auto"/>
        <w:right w:val="none" w:sz="0" w:space="0" w:color="auto"/>
      </w:divBdr>
    </w:div>
    <w:div w:id="1881353725">
      <w:bodyDiv w:val="1"/>
      <w:marLeft w:val="0"/>
      <w:marRight w:val="0"/>
      <w:marTop w:val="0"/>
      <w:marBottom w:val="0"/>
      <w:divBdr>
        <w:top w:val="none" w:sz="0" w:space="0" w:color="auto"/>
        <w:left w:val="none" w:sz="0" w:space="0" w:color="auto"/>
        <w:bottom w:val="none" w:sz="0" w:space="0" w:color="auto"/>
        <w:right w:val="none" w:sz="0" w:space="0" w:color="auto"/>
      </w:divBdr>
    </w:div>
    <w:div w:id="1887330929">
      <w:bodyDiv w:val="1"/>
      <w:marLeft w:val="0"/>
      <w:marRight w:val="0"/>
      <w:marTop w:val="0"/>
      <w:marBottom w:val="0"/>
      <w:divBdr>
        <w:top w:val="none" w:sz="0" w:space="0" w:color="auto"/>
        <w:left w:val="none" w:sz="0" w:space="0" w:color="auto"/>
        <w:bottom w:val="none" w:sz="0" w:space="0" w:color="auto"/>
        <w:right w:val="none" w:sz="0" w:space="0" w:color="auto"/>
      </w:divBdr>
    </w:div>
    <w:div w:id="1888030108">
      <w:bodyDiv w:val="1"/>
      <w:marLeft w:val="0"/>
      <w:marRight w:val="0"/>
      <w:marTop w:val="0"/>
      <w:marBottom w:val="0"/>
      <w:divBdr>
        <w:top w:val="none" w:sz="0" w:space="0" w:color="auto"/>
        <w:left w:val="none" w:sz="0" w:space="0" w:color="auto"/>
        <w:bottom w:val="none" w:sz="0" w:space="0" w:color="auto"/>
        <w:right w:val="none" w:sz="0" w:space="0" w:color="auto"/>
      </w:divBdr>
    </w:div>
    <w:div w:id="1889678859">
      <w:bodyDiv w:val="1"/>
      <w:marLeft w:val="0"/>
      <w:marRight w:val="0"/>
      <w:marTop w:val="0"/>
      <w:marBottom w:val="0"/>
      <w:divBdr>
        <w:top w:val="none" w:sz="0" w:space="0" w:color="auto"/>
        <w:left w:val="none" w:sz="0" w:space="0" w:color="auto"/>
        <w:bottom w:val="none" w:sz="0" w:space="0" w:color="auto"/>
        <w:right w:val="none" w:sz="0" w:space="0" w:color="auto"/>
      </w:divBdr>
    </w:div>
    <w:div w:id="1895773394">
      <w:bodyDiv w:val="1"/>
      <w:marLeft w:val="0"/>
      <w:marRight w:val="0"/>
      <w:marTop w:val="0"/>
      <w:marBottom w:val="0"/>
      <w:divBdr>
        <w:top w:val="none" w:sz="0" w:space="0" w:color="auto"/>
        <w:left w:val="none" w:sz="0" w:space="0" w:color="auto"/>
        <w:bottom w:val="none" w:sz="0" w:space="0" w:color="auto"/>
        <w:right w:val="none" w:sz="0" w:space="0" w:color="auto"/>
      </w:divBdr>
    </w:div>
    <w:div w:id="1897546737">
      <w:bodyDiv w:val="1"/>
      <w:marLeft w:val="0"/>
      <w:marRight w:val="0"/>
      <w:marTop w:val="0"/>
      <w:marBottom w:val="0"/>
      <w:divBdr>
        <w:top w:val="none" w:sz="0" w:space="0" w:color="auto"/>
        <w:left w:val="none" w:sz="0" w:space="0" w:color="auto"/>
        <w:bottom w:val="none" w:sz="0" w:space="0" w:color="auto"/>
        <w:right w:val="none" w:sz="0" w:space="0" w:color="auto"/>
      </w:divBdr>
    </w:div>
    <w:div w:id="1900239737">
      <w:bodyDiv w:val="1"/>
      <w:marLeft w:val="0"/>
      <w:marRight w:val="0"/>
      <w:marTop w:val="0"/>
      <w:marBottom w:val="0"/>
      <w:divBdr>
        <w:top w:val="none" w:sz="0" w:space="0" w:color="auto"/>
        <w:left w:val="none" w:sz="0" w:space="0" w:color="auto"/>
        <w:bottom w:val="none" w:sz="0" w:space="0" w:color="auto"/>
        <w:right w:val="none" w:sz="0" w:space="0" w:color="auto"/>
      </w:divBdr>
    </w:div>
    <w:div w:id="1912427117">
      <w:bodyDiv w:val="1"/>
      <w:marLeft w:val="0"/>
      <w:marRight w:val="0"/>
      <w:marTop w:val="0"/>
      <w:marBottom w:val="0"/>
      <w:divBdr>
        <w:top w:val="none" w:sz="0" w:space="0" w:color="auto"/>
        <w:left w:val="none" w:sz="0" w:space="0" w:color="auto"/>
        <w:bottom w:val="none" w:sz="0" w:space="0" w:color="auto"/>
        <w:right w:val="none" w:sz="0" w:space="0" w:color="auto"/>
      </w:divBdr>
    </w:div>
    <w:div w:id="1912545689">
      <w:bodyDiv w:val="1"/>
      <w:marLeft w:val="0"/>
      <w:marRight w:val="0"/>
      <w:marTop w:val="0"/>
      <w:marBottom w:val="0"/>
      <w:divBdr>
        <w:top w:val="none" w:sz="0" w:space="0" w:color="auto"/>
        <w:left w:val="none" w:sz="0" w:space="0" w:color="auto"/>
        <w:bottom w:val="none" w:sz="0" w:space="0" w:color="auto"/>
        <w:right w:val="none" w:sz="0" w:space="0" w:color="auto"/>
      </w:divBdr>
    </w:div>
    <w:div w:id="1915511976">
      <w:bodyDiv w:val="1"/>
      <w:marLeft w:val="0"/>
      <w:marRight w:val="0"/>
      <w:marTop w:val="0"/>
      <w:marBottom w:val="0"/>
      <w:divBdr>
        <w:top w:val="none" w:sz="0" w:space="0" w:color="auto"/>
        <w:left w:val="none" w:sz="0" w:space="0" w:color="auto"/>
        <w:bottom w:val="none" w:sz="0" w:space="0" w:color="auto"/>
        <w:right w:val="none" w:sz="0" w:space="0" w:color="auto"/>
      </w:divBdr>
    </w:div>
    <w:div w:id="1915969698">
      <w:bodyDiv w:val="1"/>
      <w:marLeft w:val="0"/>
      <w:marRight w:val="0"/>
      <w:marTop w:val="0"/>
      <w:marBottom w:val="0"/>
      <w:divBdr>
        <w:top w:val="none" w:sz="0" w:space="0" w:color="auto"/>
        <w:left w:val="none" w:sz="0" w:space="0" w:color="auto"/>
        <w:bottom w:val="none" w:sz="0" w:space="0" w:color="auto"/>
        <w:right w:val="none" w:sz="0" w:space="0" w:color="auto"/>
      </w:divBdr>
    </w:div>
    <w:div w:id="1917980209">
      <w:bodyDiv w:val="1"/>
      <w:marLeft w:val="0"/>
      <w:marRight w:val="0"/>
      <w:marTop w:val="0"/>
      <w:marBottom w:val="0"/>
      <w:divBdr>
        <w:top w:val="none" w:sz="0" w:space="0" w:color="auto"/>
        <w:left w:val="none" w:sz="0" w:space="0" w:color="auto"/>
        <w:bottom w:val="none" w:sz="0" w:space="0" w:color="auto"/>
        <w:right w:val="none" w:sz="0" w:space="0" w:color="auto"/>
      </w:divBdr>
    </w:div>
    <w:div w:id="1920938462">
      <w:bodyDiv w:val="1"/>
      <w:marLeft w:val="0"/>
      <w:marRight w:val="0"/>
      <w:marTop w:val="0"/>
      <w:marBottom w:val="0"/>
      <w:divBdr>
        <w:top w:val="none" w:sz="0" w:space="0" w:color="auto"/>
        <w:left w:val="none" w:sz="0" w:space="0" w:color="auto"/>
        <w:bottom w:val="none" w:sz="0" w:space="0" w:color="auto"/>
        <w:right w:val="none" w:sz="0" w:space="0" w:color="auto"/>
      </w:divBdr>
    </w:div>
    <w:div w:id="1925188147">
      <w:bodyDiv w:val="1"/>
      <w:marLeft w:val="0"/>
      <w:marRight w:val="0"/>
      <w:marTop w:val="0"/>
      <w:marBottom w:val="0"/>
      <w:divBdr>
        <w:top w:val="none" w:sz="0" w:space="0" w:color="auto"/>
        <w:left w:val="none" w:sz="0" w:space="0" w:color="auto"/>
        <w:bottom w:val="none" w:sz="0" w:space="0" w:color="auto"/>
        <w:right w:val="none" w:sz="0" w:space="0" w:color="auto"/>
      </w:divBdr>
    </w:div>
    <w:div w:id="1925260215">
      <w:bodyDiv w:val="1"/>
      <w:marLeft w:val="0"/>
      <w:marRight w:val="0"/>
      <w:marTop w:val="0"/>
      <w:marBottom w:val="0"/>
      <w:divBdr>
        <w:top w:val="none" w:sz="0" w:space="0" w:color="auto"/>
        <w:left w:val="none" w:sz="0" w:space="0" w:color="auto"/>
        <w:bottom w:val="none" w:sz="0" w:space="0" w:color="auto"/>
        <w:right w:val="none" w:sz="0" w:space="0" w:color="auto"/>
      </w:divBdr>
    </w:div>
    <w:div w:id="1928270853">
      <w:bodyDiv w:val="1"/>
      <w:marLeft w:val="0"/>
      <w:marRight w:val="0"/>
      <w:marTop w:val="0"/>
      <w:marBottom w:val="0"/>
      <w:divBdr>
        <w:top w:val="none" w:sz="0" w:space="0" w:color="auto"/>
        <w:left w:val="none" w:sz="0" w:space="0" w:color="auto"/>
        <w:bottom w:val="none" w:sz="0" w:space="0" w:color="auto"/>
        <w:right w:val="none" w:sz="0" w:space="0" w:color="auto"/>
      </w:divBdr>
    </w:div>
    <w:div w:id="1928611627">
      <w:bodyDiv w:val="1"/>
      <w:marLeft w:val="0"/>
      <w:marRight w:val="0"/>
      <w:marTop w:val="0"/>
      <w:marBottom w:val="0"/>
      <w:divBdr>
        <w:top w:val="none" w:sz="0" w:space="0" w:color="auto"/>
        <w:left w:val="none" w:sz="0" w:space="0" w:color="auto"/>
        <w:bottom w:val="none" w:sz="0" w:space="0" w:color="auto"/>
        <w:right w:val="none" w:sz="0" w:space="0" w:color="auto"/>
      </w:divBdr>
    </w:div>
    <w:div w:id="1931617278">
      <w:bodyDiv w:val="1"/>
      <w:marLeft w:val="0"/>
      <w:marRight w:val="0"/>
      <w:marTop w:val="0"/>
      <w:marBottom w:val="0"/>
      <w:divBdr>
        <w:top w:val="none" w:sz="0" w:space="0" w:color="auto"/>
        <w:left w:val="none" w:sz="0" w:space="0" w:color="auto"/>
        <w:bottom w:val="none" w:sz="0" w:space="0" w:color="auto"/>
        <w:right w:val="none" w:sz="0" w:space="0" w:color="auto"/>
      </w:divBdr>
    </w:div>
    <w:div w:id="1932156636">
      <w:bodyDiv w:val="1"/>
      <w:marLeft w:val="0"/>
      <w:marRight w:val="0"/>
      <w:marTop w:val="0"/>
      <w:marBottom w:val="0"/>
      <w:divBdr>
        <w:top w:val="none" w:sz="0" w:space="0" w:color="auto"/>
        <w:left w:val="none" w:sz="0" w:space="0" w:color="auto"/>
        <w:bottom w:val="none" w:sz="0" w:space="0" w:color="auto"/>
        <w:right w:val="none" w:sz="0" w:space="0" w:color="auto"/>
      </w:divBdr>
    </w:div>
    <w:div w:id="1941374411">
      <w:bodyDiv w:val="1"/>
      <w:marLeft w:val="0"/>
      <w:marRight w:val="0"/>
      <w:marTop w:val="0"/>
      <w:marBottom w:val="0"/>
      <w:divBdr>
        <w:top w:val="none" w:sz="0" w:space="0" w:color="auto"/>
        <w:left w:val="none" w:sz="0" w:space="0" w:color="auto"/>
        <w:bottom w:val="none" w:sz="0" w:space="0" w:color="auto"/>
        <w:right w:val="none" w:sz="0" w:space="0" w:color="auto"/>
      </w:divBdr>
    </w:div>
    <w:div w:id="1941914656">
      <w:bodyDiv w:val="1"/>
      <w:marLeft w:val="0"/>
      <w:marRight w:val="0"/>
      <w:marTop w:val="0"/>
      <w:marBottom w:val="0"/>
      <w:divBdr>
        <w:top w:val="none" w:sz="0" w:space="0" w:color="auto"/>
        <w:left w:val="none" w:sz="0" w:space="0" w:color="auto"/>
        <w:bottom w:val="none" w:sz="0" w:space="0" w:color="auto"/>
        <w:right w:val="none" w:sz="0" w:space="0" w:color="auto"/>
      </w:divBdr>
    </w:div>
    <w:div w:id="1942910410">
      <w:bodyDiv w:val="1"/>
      <w:marLeft w:val="0"/>
      <w:marRight w:val="0"/>
      <w:marTop w:val="0"/>
      <w:marBottom w:val="0"/>
      <w:divBdr>
        <w:top w:val="none" w:sz="0" w:space="0" w:color="auto"/>
        <w:left w:val="none" w:sz="0" w:space="0" w:color="auto"/>
        <w:bottom w:val="none" w:sz="0" w:space="0" w:color="auto"/>
        <w:right w:val="none" w:sz="0" w:space="0" w:color="auto"/>
      </w:divBdr>
    </w:div>
    <w:div w:id="1944878434">
      <w:bodyDiv w:val="1"/>
      <w:marLeft w:val="0"/>
      <w:marRight w:val="0"/>
      <w:marTop w:val="0"/>
      <w:marBottom w:val="0"/>
      <w:divBdr>
        <w:top w:val="none" w:sz="0" w:space="0" w:color="auto"/>
        <w:left w:val="none" w:sz="0" w:space="0" w:color="auto"/>
        <w:bottom w:val="none" w:sz="0" w:space="0" w:color="auto"/>
        <w:right w:val="none" w:sz="0" w:space="0" w:color="auto"/>
      </w:divBdr>
    </w:div>
    <w:div w:id="1948586534">
      <w:bodyDiv w:val="1"/>
      <w:marLeft w:val="0"/>
      <w:marRight w:val="0"/>
      <w:marTop w:val="0"/>
      <w:marBottom w:val="0"/>
      <w:divBdr>
        <w:top w:val="none" w:sz="0" w:space="0" w:color="auto"/>
        <w:left w:val="none" w:sz="0" w:space="0" w:color="auto"/>
        <w:bottom w:val="none" w:sz="0" w:space="0" w:color="auto"/>
        <w:right w:val="none" w:sz="0" w:space="0" w:color="auto"/>
      </w:divBdr>
    </w:div>
    <w:div w:id="1948805942">
      <w:bodyDiv w:val="1"/>
      <w:marLeft w:val="0"/>
      <w:marRight w:val="0"/>
      <w:marTop w:val="0"/>
      <w:marBottom w:val="0"/>
      <w:divBdr>
        <w:top w:val="none" w:sz="0" w:space="0" w:color="auto"/>
        <w:left w:val="none" w:sz="0" w:space="0" w:color="auto"/>
        <w:bottom w:val="none" w:sz="0" w:space="0" w:color="auto"/>
        <w:right w:val="none" w:sz="0" w:space="0" w:color="auto"/>
      </w:divBdr>
    </w:div>
    <w:div w:id="1962033548">
      <w:bodyDiv w:val="1"/>
      <w:marLeft w:val="0"/>
      <w:marRight w:val="0"/>
      <w:marTop w:val="0"/>
      <w:marBottom w:val="0"/>
      <w:divBdr>
        <w:top w:val="none" w:sz="0" w:space="0" w:color="auto"/>
        <w:left w:val="none" w:sz="0" w:space="0" w:color="auto"/>
        <w:bottom w:val="none" w:sz="0" w:space="0" w:color="auto"/>
        <w:right w:val="none" w:sz="0" w:space="0" w:color="auto"/>
      </w:divBdr>
    </w:div>
    <w:div w:id="1964800649">
      <w:bodyDiv w:val="1"/>
      <w:marLeft w:val="0"/>
      <w:marRight w:val="0"/>
      <w:marTop w:val="0"/>
      <w:marBottom w:val="0"/>
      <w:divBdr>
        <w:top w:val="none" w:sz="0" w:space="0" w:color="auto"/>
        <w:left w:val="none" w:sz="0" w:space="0" w:color="auto"/>
        <w:bottom w:val="none" w:sz="0" w:space="0" w:color="auto"/>
        <w:right w:val="none" w:sz="0" w:space="0" w:color="auto"/>
      </w:divBdr>
    </w:div>
    <w:div w:id="1964844018">
      <w:bodyDiv w:val="1"/>
      <w:marLeft w:val="0"/>
      <w:marRight w:val="0"/>
      <w:marTop w:val="0"/>
      <w:marBottom w:val="0"/>
      <w:divBdr>
        <w:top w:val="none" w:sz="0" w:space="0" w:color="auto"/>
        <w:left w:val="none" w:sz="0" w:space="0" w:color="auto"/>
        <w:bottom w:val="none" w:sz="0" w:space="0" w:color="auto"/>
        <w:right w:val="none" w:sz="0" w:space="0" w:color="auto"/>
      </w:divBdr>
    </w:div>
    <w:div w:id="1965962825">
      <w:bodyDiv w:val="1"/>
      <w:marLeft w:val="0"/>
      <w:marRight w:val="0"/>
      <w:marTop w:val="0"/>
      <w:marBottom w:val="0"/>
      <w:divBdr>
        <w:top w:val="none" w:sz="0" w:space="0" w:color="auto"/>
        <w:left w:val="none" w:sz="0" w:space="0" w:color="auto"/>
        <w:bottom w:val="none" w:sz="0" w:space="0" w:color="auto"/>
        <w:right w:val="none" w:sz="0" w:space="0" w:color="auto"/>
      </w:divBdr>
    </w:div>
    <w:div w:id="1970476564">
      <w:bodyDiv w:val="1"/>
      <w:marLeft w:val="0"/>
      <w:marRight w:val="0"/>
      <w:marTop w:val="0"/>
      <w:marBottom w:val="0"/>
      <w:divBdr>
        <w:top w:val="none" w:sz="0" w:space="0" w:color="auto"/>
        <w:left w:val="none" w:sz="0" w:space="0" w:color="auto"/>
        <w:bottom w:val="none" w:sz="0" w:space="0" w:color="auto"/>
        <w:right w:val="none" w:sz="0" w:space="0" w:color="auto"/>
      </w:divBdr>
    </w:div>
    <w:div w:id="1977297494">
      <w:bodyDiv w:val="1"/>
      <w:marLeft w:val="0"/>
      <w:marRight w:val="0"/>
      <w:marTop w:val="0"/>
      <w:marBottom w:val="0"/>
      <w:divBdr>
        <w:top w:val="none" w:sz="0" w:space="0" w:color="auto"/>
        <w:left w:val="none" w:sz="0" w:space="0" w:color="auto"/>
        <w:bottom w:val="none" w:sz="0" w:space="0" w:color="auto"/>
        <w:right w:val="none" w:sz="0" w:space="0" w:color="auto"/>
      </w:divBdr>
    </w:div>
    <w:div w:id="1977447165">
      <w:bodyDiv w:val="1"/>
      <w:marLeft w:val="0"/>
      <w:marRight w:val="0"/>
      <w:marTop w:val="0"/>
      <w:marBottom w:val="0"/>
      <w:divBdr>
        <w:top w:val="none" w:sz="0" w:space="0" w:color="auto"/>
        <w:left w:val="none" w:sz="0" w:space="0" w:color="auto"/>
        <w:bottom w:val="none" w:sz="0" w:space="0" w:color="auto"/>
        <w:right w:val="none" w:sz="0" w:space="0" w:color="auto"/>
      </w:divBdr>
    </w:div>
    <w:div w:id="1979457741">
      <w:bodyDiv w:val="1"/>
      <w:marLeft w:val="0"/>
      <w:marRight w:val="0"/>
      <w:marTop w:val="0"/>
      <w:marBottom w:val="0"/>
      <w:divBdr>
        <w:top w:val="none" w:sz="0" w:space="0" w:color="auto"/>
        <w:left w:val="none" w:sz="0" w:space="0" w:color="auto"/>
        <w:bottom w:val="none" w:sz="0" w:space="0" w:color="auto"/>
        <w:right w:val="none" w:sz="0" w:space="0" w:color="auto"/>
      </w:divBdr>
    </w:div>
    <w:div w:id="1983849416">
      <w:bodyDiv w:val="1"/>
      <w:marLeft w:val="0"/>
      <w:marRight w:val="0"/>
      <w:marTop w:val="0"/>
      <w:marBottom w:val="0"/>
      <w:divBdr>
        <w:top w:val="none" w:sz="0" w:space="0" w:color="auto"/>
        <w:left w:val="none" w:sz="0" w:space="0" w:color="auto"/>
        <w:bottom w:val="none" w:sz="0" w:space="0" w:color="auto"/>
        <w:right w:val="none" w:sz="0" w:space="0" w:color="auto"/>
      </w:divBdr>
    </w:div>
    <w:div w:id="1997566310">
      <w:bodyDiv w:val="1"/>
      <w:marLeft w:val="0"/>
      <w:marRight w:val="0"/>
      <w:marTop w:val="0"/>
      <w:marBottom w:val="0"/>
      <w:divBdr>
        <w:top w:val="none" w:sz="0" w:space="0" w:color="auto"/>
        <w:left w:val="none" w:sz="0" w:space="0" w:color="auto"/>
        <w:bottom w:val="none" w:sz="0" w:space="0" w:color="auto"/>
        <w:right w:val="none" w:sz="0" w:space="0" w:color="auto"/>
      </w:divBdr>
    </w:div>
    <w:div w:id="2004431714">
      <w:bodyDiv w:val="1"/>
      <w:marLeft w:val="0"/>
      <w:marRight w:val="0"/>
      <w:marTop w:val="0"/>
      <w:marBottom w:val="0"/>
      <w:divBdr>
        <w:top w:val="none" w:sz="0" w:space="0" w:color="auto"/>
        <w:left w:val="none" w:sz="0" w:space="0" w:color="auto"/>
        <w:bottom w:val="none" w:sz="0" w:space="0" w:color="auto"/>
        <w:right w:val="none" w:sz="0" w:space="0" w:color="auto"/>
      </w:divBdr>
    </w:div>
    <w:div w:id="2010789391">
      <w:bodyDiv w:val="1"/>
      <w:marLeft w:val="0"/>
      <w:marRight w:val="0"/>
      <w:marTop w:val="0"/>
      <w:marBottom w:val="0"/>
      <w:divBdr>
        <w:top w:val="none" w:sz="0" w:space="0" w:color="auto"/>
        <w:left w:val="none" w:sz="0" w:space="0" w:color="auto"/>
        <w:bottom w:val="none" w:sz="0" w:space="0" w:color="auto"/>
        <w:right w:val="none" w:sz="0" w:space="0" w:color="auto"/>
      </w:divBdr>
    </w:div>
    <w:div w:id="2015917957">
      <w:bodyDiv w:val="1"/>
      <w:marLeft w:val="0"/>
      <w:marRight w:val="0"/>
      <w:marTop w:val="0"/>
      <w:marBottom w:val="0"/>
      <w:divBdr>
        <w:top w:val="none" w:sz="0" w:space="0" w:color="auto"/>
        <w:left w:val="none" w:sz="0" w:space="0" w:color="auto"/>
        <w:bottom w:val="none" w:sz="0" w:space="0" w:color="auto"/>
        <w:right w:val="none" w:sz="0" w:space="0" w:color="auto"/>
      </w:divBdr>
    </w:div>
    <w:div w:id="2017685897">
      <w:bodyDiv w:val="1"/>
      <w:marLeft w:val="0"/>
      <w:marRight w:val="0"/>
      <w:marTop w:val="0"/>
      <w:marBottom w:val="0"/>
      <w:divBdr>
        <w:top w:val="none" w:sz="0" w:space="0" w:color="auto"/>
        <w:left w:val="none" w:sz="0" w:space="0" w:color="auto"/>
        <w:bottom w:val="none" w:sz="0" w:space="0" w:color="auto"/>
        <w:right w:val="none" w:sz="0" w:space="0" w:color="auto"/>
      </w:divBdr>
    </w:div>
    <w:div w:id="2037541088">
      <w:bodyDiv w:val="1"/>
      <w:marLeft w:val="0"/>
      <w:marRight w:val="0"/>
      <w:marTop w:val="0"/>
      <w:marBottom w:val="0"/>
      <w:divBdr>
        <w:top w:val="none" w:sz="0" w:space="0" w:color="auto"/>
        <w:left w:val="none" w:sz="0" w:space="0" w:color="auto"/>
        <w:bottom w:val="none" w:sz="0" w:space="0" w:color="auto"/>
        <w:right w:val="none" w:sz="0" w:space="0" w:color="auto"/>
      </w:divBdr>
    </w:div>
    <w:div w:id="2038041860">
      <w:bodyDiv w:val="1"/>
      <w:marLeft w:val="0"/>
      <w:marRight w:val="0"/>
      <w:marTop w:val="0"/>
      <w:marBottom w:val="0"/>
      <w:divBdr>
        <w:top w:val="none" w:sz="0" w:space="0" w:color="auto"/>
        <w:left w:val="none" w:sz="0" w:space="0" w:color="auto"/>
        <w:bottom w:val="none" w:sz="0" w:space="0" w:color="auto"/>
        <w:right w:val="none" w:sz="0" w:space="0" w:color="auto"/>
      </w:divBdr>
    </w:div>
    <w:div w:id="2041078814">
      <w:bodyDiv w:val="1"/>
      <w:marLeft w:val="0"/>
      <w:marRight w:val="0"/>
      <w:marTop w:val="0"/>
      <w:marBottom w:val="0"/>
      <w:divBdr>
        <w:top w:val="none" w:sz="0" w:space="0" w:color="auto"/>
        <w:left w:val="none" w:sz="0" w:space="0" w:color="auto"/>
        <w:bottom w:val="none" w:sz="0" w:space="0" w:color="auto"/>
        <w:right w:val="none" w:sz="0" w:space="0" w:color="auto"/>
      </w:divBdr>
    </w:div>
    <w:div w:id="2043510098">
      <w:bodyDiv w:val="1"/>
      <w:marLeft w:val="0"/>
      <w:marRight w:val="0"/>
      <w:marTop w:val="0"/>
      <w:marBottom w:val="0"/>
      <w:divBdr>
        <w:top w:val="none" w:sz="0" w:space="0" w:color="auto"/>
        <w:left w:val="none" w:sz="0" w:space="0" w:color="auto"/>
        <w:bottom w:val="none" w:sz="0" w:space="0" w:color="auto"/>
        <w:right w:val="none" w:sz="0" w:space="0" w:color="auto"/>
      </w:divBdr>
    </w:div>
    <w:div w:id="2058502930">
      <w:bodyDiv w:val="1"/>
      <w:marLeft w:val="0"/>
      <w:marRight w:val="0"/>
      <w:marTop w:val="0"/>
      <w:marBottom w:val="0"/>
      <w:divBdr>
        <w:top w:val="none" w:sz="0" w:space="0" w:color="auto"/>
        <w:left w:val="none" w:sz="0" w:space="0" w:color="auto"/>
        <w:bottom w:val="none" w:sz="0" w:space="0" w:color="auto"/>
        <w:right w:val="none" w:sz="0" w:space="0" w:color="auto"/>
      </w:divBdr>
    </w:div>
    <w:div w:id="2065987789">
      <w:bodyDiv w:val="1"/>
      <w:marLeft w:val="0"/>
      <w:marRight w:val="0"/>
      <w:marTop w:val="0"/>
      <w:marBottom w:val="0"/>
      <w:divBdr>
        <w:top w:val="none" w:sz="0" w:space="0" w:color="auto"/>
        <w:left w:val="none" w:sz="0" w:space="0" w:color="auto"/>
        <w:bottom w:val="none" w:sz="0" w:space="0" w:color="auto"/>
        <w:right w:val="none" w:sz="0" w:space="0" w:color="auto"/>
      </w:divBdr>
    </w:div>
    <w:div w:id="2067338918">
      <w:bodyDiv w:val="1"/>
      <w:marLeft w:val="0"/>
      <w:marRight w:val="0"/>
      <w:marTop w:val="0"/>
      <w:marBottom w:val="0"/>
      <w:divBdr>
        <w:top w:val="none" w:sz="0" w:space="0" w:color="auto"/>
        <w:left w:val="none" w:sz="0" w:space="0" w:color="auto"/>
        <w:bottom w:val="none" w:sz="0" w:space="0" w:color="auto"/>
        <w:right w:val="none" w:sz="0" w:space="0" w:color="auto"/>
      </w:divBdr>
    </w:div>
    <w:div w:id="2074699484">
      <w:bodyDiv w:val="1"/>
      <w:marLeft w:val="0"/>
      <w:marRight w:val="0"/>
      <w:marTop w:val="0"/>
      <w:marBottom w:val="0"/>
      <w:divBdr>
        <w:top w:val="none" w:sz="0" w:space="0" w:color="auto"/>
        <w:left w:val="none" w:sz="0" w:space="0" w:color="auto"/>
        <w:bottom w:val="none" w:sz="0" w:space="0" w:color="auto"/>
        <w:right w:val="none" w:sz="0" w:space="0" w:color="auto"/>
      </w:divBdr>
    </w:div>
    <w:div w:id="2076002227">
      <w:bodyDiv w:val="1"/>
      <w:marLeft w:val="0"/>
      <w:marRight w:val="0"/>
      <w:marTop w:val="0"/>
      <w:marBottom w:val="0"/>
      <w:divBdr>
        <w:top w:val="none" w:sz="0" w:space="0" w:color="auto"/>
        <w:left w:val="none" w:sz="0" w:space="0" w:color="auto"/>
        <w:bottom w:val="none" w:sz="0" w:space="0" w:color="auto"/>
        <w:right w:val="none" w:sz="0" w:space="0" w:color="auto"/>
      </w:divBdr>
    </w:div>
    <w:div w:id="2081173707">
      <w:bodyDiv w:val="1"/>
      <w:marLeft w:val="0"/>
      <w:marRight w:val="0"/>
      <w:marTop w:val="0"/>
      <w:marBottom w:val="0"/>
      <w:divBdr>
        <w:top w:val="none" w:sz="0" w:space="0" w:color="auto"/>
        <w:left w:val="none" w:sz="0" w:space="0" w:color="auto"/>
        <w:bottom w:val="none" w:sz="0" w:space="0" w:color="auto"/>
        <w:right w:val="none" w:sz="0" w:space="0" w:color="auto"/>
      </w:divBdr>
    </w:div>
    <w:div w:id="2084330859">
      <w:bodyDiv w:val="1"/>
      <w:marLeft w:val="0"/>
      <w:marRight w:val="0"/>
      <w:marTop w:val="0"/>
      <w:marBottom w:val="0"/>
      <w:divBdr>
        <w:top w:val="none" w:sz="0" w:space="0" w:color="auto"/>
        <w:left w:val="none" w:sz="0" w:space="0" w:color="auto"/>
        <w:bottom w:val="none" w:sz="0" w:space="0" w:color="auto"/>
        <w:right w:val="none" w:sz="0" w:space="0" w:color="auto"/>
      </w:divBdr>
    </w:div>
    <w:div w:id="2085570481">
      <w:bodyDiv w:val="1"/>
      <w:marLeft w:val="0"/>
      <w:marRight w:val="0"/>
      <w:marTop w:val="0"/>
      <w:marBottom w:val="0"/>
      <w:divBdr>
        <w:top w:val="none" w:sz="0" w:space="0" w:color="auto"/>
        <w:left w:val="none" w:sz="0" w:space="0" w:color="auto"/>
        <w:bottom w:val="none" w:sz="0" w:space="0" w:color="auto"/>
        <w:right w:val="none" w:sz="0" w:space="0" w:color="auto"/>
      </w:divBdr>
    </w:div>
    <w:div w:id="2085953000">
      <w:bodyDiv w:val="1"/>
      <w:marLeft w:val="0"/>
      <w:marRight w:val="0"/>
      <w:marTop w:val="0"/>
      <w:marBottom w:val="0"/>
      <w:divBdr>
        <w:top w:val="none" w:sz="0" w:space="0" w:color="auto"/>
        <w:left w:val="none" w:sz="0" w:space="0" w:color="auto"/>
        <w:bottom w:val="none" w:sz="0" w:space="0" w:color="auto"/>
        <w:right w:val="none" w:sz="0" w:space="0" w:color="auto"/>
      </w:divBdr>
    </w:div>
    <w:div w:id="2086955333">
      <w:bodyDiv w:val="1"/>
      <w:marLeft w:val="0"/>
      <w:marRight w:val="0"/>
      <w:marTop w:val="0"/>
      <w:marBottom w:val="0"/>
      <w:divBdr>
        <w:top w:val="none" w:sz="0" w:space="0" w:color="auto"/>
        <w:left w:val="none" w:sz="0" w:space="0" w:color="auto"/>
        <w:bottom w:val="none" w:sz="0" w:space="0" w:color="auto"/>
        <w:right w:val="none" w:sz="0" w:space="0" w:color="auto"/>
      </w:divBdr>
    </w:div>
    <w:div w:id="2087261885">
      <w:bodyDiv w:val="1"/>
      <w:marLeft w:val="0"/>
      <w:marRight w:val="0"/>
      <w:marTop w:val="0"/>
      <w:marBottom w:val="0"/>
      <w:divBdr>
        <w:top w:val="none" w:sz="0" w:space="0" w:color="auto"/>
        <w:left w:val="none" w:sz="0" w:space="0" w:color="auto"/>
        <w:bottom w:val="none" w:sz="0" w:space="0" w:color="auto"/>
        <w:right w:val="none" w:sz="0" w:space="0" w:color="auto"/>
      </w:divBdr>
    </w:div>
    <w:div w:id="2088503195">
      <w:bodyDiv w:val="1"/>
      <w:marLeft w:val="0"/>
      <w:marRight w:val="0"/>
      <w:marTop w:val="0"/>
      <w:marBottom w:val="0"/>
      <w:divBdr>
        <w:top w:val="none" w:sz="0" w:space="0" w:color="auto"/>
        <w:left w:val="none" w:sz="0" w:space="0" w:color="auto"/>
        <w:bottom w:val="none" w:sz="0" w:space="0" w:color="auto"/>
        <w:right w:val="none" w:sz="0" w:space="0" w:color="auto"/>
      </w:divBdr>
    </w:div>
    <w:div w:id="2092388649">
      <w:bodyDiv w:val="1"/>
      <w:marLeft w:val="0"/>
      <w:marRight w:val="0"/>
      <w:marTop w:val="0"/>
      <w:marBottom w:val="0"/>
      <w:divBdr>
        <w:top w:val="none" w:sz="0" w:space="0" w:color="auto"/>
        <w:left w:val="none" w:sz="0" w:space="0" w:color="auto"/>
        <w:bottom w:val="none" w:sz="0" w:space="0" w:color="auto"/>
        <w:right w:val="none" w:sz="0" w:space="0" w:color="auto"/>
      </w:divBdr>
    </w:div>
    <w:div w:id="2094009202">
      <w:bodyDiv w:val="1"/>
      <w:marLeft w:val="0"/>
      <w:marRight w:val="0"/>
      <w:marTop w:val="0"/>
      <w:marBottom w:val="0"/>
      <w:divBdr>
        <w:top w:val="none" w:sz="0" w:space="0" w:color="auto"/>
        <w:left w:val="none" w:sz="0" w:space="0" w:color="auto"/>
        <w:bottom w:val="none" w:sz="0" w:space="0" w:color="auto"/>
        <w:right w:val="none" w:sz="0" w:space="0" w:color="auto"/>
      </w:divBdr>
    </w:div>
    <w:div w:id="2096170940">
      <w:bodyDiv w:val="1"/>
      <w:marLeft w:val="0"/>
      <w:marRight w:val="0"/>
      <w:marTop w:val="0"/>
      <w:marBottom w:val="0"/>
      <w:divBdr>
        <w:top w:val="none" w:sz="0" w:space="0" w:color="auto"/>
        <w:left w:val="none" w:sz="0" w:space="0" w:color="auto"/>
        <w:bottom w:val="none" w:sz="0" w:space="0" w:color="auto"/>
        <w:right w:val="none" w:sz="0" w:space="0" w:color="auto"/>
      </w:divBdr>
    </w:div>
    <w:div w:id="2097483429">
      <w:bodyDiv w:val="1"/>
      <w:marLeft w:val="0"/>
      <w:marRight w:val="0"/>
      <w:marTop w:val="0"/>
      <w:marBottom w:val="0"/>
      <w:divBdr>
        <w:top w:val="none" w:sz="0" w:space="0" w:color="auto"/>
        <w:left w:val="none" w:sz="0" w:space="0" w:color="auto"/>
        <w:bottom w:val="none" w:sz="0" w:space="0" w:color="auto"/>
        <w:right w:val="none" w:sz="0" w:space="0" w:color="auto"/>
      </w:divBdr>
    </w:div>
    <w:div w:id="2103062554">
      <w:bodyDiv w:val="1"/>
      <w:marLeft w:val="0"/>
      <w:marRight w:val="0"/>
      <w:marTop w:val="0"/>
      <w:marBottom w:val="0"/>
      <w:divBdr>
        <w:top w:val="none" w:sz="0" w:space="0" w:color="auto"/>
        <w:left w:val="none" w:sz="0" w:space="0" w:color="auto"/>
        <w:bottom w:val="none" w:sz="0" w:space="0" w:color="auto"/>
        <w:right w:val="none" w:sz="0" w:space="0" w:color="auto"/>
      </w:divBdr>
    </w:div>
    <w:div w:id="2108236444">
      <w:bodyDiv w:val="1"/>
      <w:marLeft w:val="0"/>
      <w:marRight w:val="0"/>
      <w:marTop w:val="0"/>
      <w:marBottom w:val="0"/>
      <w:divBdr>
        <w:top w:val="none" w:sz="0" w:space="0" w:color="auto"/>
        <w:left w:val="none" w:sz="0" w:space="0" w:color="auto"/>
        <w:bottom w:val="none" w:sz="0" w:space="0" w:color="auto"/>
        <w:right w:val="none" w:sz="0" w:space="0" w:color="auto"/>
      </w:divBdr>
    </w:div>
    <w:div w:id="2113234189">
      <w:bodyDiv w:val="1"/>
      <w:marLeft w:val="0"/>
      <w:marRight w:val="0"/>
      <w:marTop w:val="0"/>
      <w:marBottom w:val="0"/>
      <w:divBdr>
        <w:top w:val="none" w:sz="0" w:space="0" w:color="auto"/>
        <w:left w:val="none" w:sz="0" w:space="0" w:color="auto"/>
        <w:bottom w:val="none" w:sz="0" w:space="0" w:color="auto"/>
        <w:right w:val="none" w:sz="0" w:space="0" w:color="auto"/>
      </w:divBdr>
    </w:div>
    <w:div w:id="2120295379">
      <w:bodyDiv w:val="1"/>
      <w:marLeft w:val="0"/>
      <w:marRight w:val="0"/>
      <w:marTop w:val="0"/>
      <w:marBottom w:val="0"/>
      <w:divBdr>
        <w:top w:val="none" w:sz="0" w:space="0" w:color="auto"/>
        <w:left w:val="none" w:sz="0" w:space="0" w:color="auto"/>
        <w:bottom w:val="none" w:sz="0" w:space="0" w:color="auto"/>
        <w:right w:val="none" w:sz="0" w:space="0" w:color="auto"/>
      </w:divBdr>
    </w:div>
    <w:div w:id="2121949636">
      <w:bodyDiv w:val="1"/>
      <w:marLeft w:val="0"/>
      <w:marRight w:val="0"/>
      <w:marTop w:val="0"/>
      <w:marBottom w:val="0"/>
      <w:divBdr>
        <w:top w:val="none" w:sz="0" w:space="0" w:color="auto"/>
        <w:left w:val="none" w:sz="0" w:space="0" w:color="auto"/>
        <w:bottom w:val="none" w:sz="0" w:space="0" w:color="auto"/>
        <w:right w:val="none" w:sz="0" w:space="0" w:color="auto"/>
      </w:divBdr>
    </w:div>
    <w:div w:id="2122066321">
      <w:bodyDiv w:val="1"/>
      <w:marLeft w:val="0"/>
      <w:marRight w:val="0"/>
      <w:marTop w:val="0"/>
      <w:marBottom w:val="0"/>
      <w:divBdr>
        <w:top w:val="none" w:sz="0" w:space="0" w:color="auto"/>
        <w:left w:val="none" w:sz="0" w:space="0" w:color="auto"/>
        <w:bottom w:val="none" w:sz="0" w:space="0" w:color="auto"/>
        <w:right w:val="none" w:sz="0" w:space="0" w:color="auto"/>
      </w:divBdr>
    </w:div>
    <w:div w:id="2123187944">
      <w:bodyDiv w:val="1"/>
      <w:marLeft w:val="0"/>
      <w:marRight w:val="0"/>
      <w:marTop w:val="0"/>
      <w:marBottom w:val="0"/>
      <w:divBdr>
        <w:top w:val="none" w:sz="0" w:space="0" w:color="auto"/>
        <w:left w:val="none" w:sz="0" w:space="0" w:color="auto"/>
        <w:bottom w:val="none" w:sz="0" w:space="0" w:color="auto"/>
        <w:right w:val="none" w:sz="0" w:space="0" w:color="auto"/>
      </w:divBdr>
    </w:div>
    <w:div w:id="2137944484">
      <w:bodyDiv w:val="1"/>
      <w:marLeft w:val="0"/>
      <w:marRight w:val="0"/>
      <w:marTop w:val="0"/>
      <w:marBottom w:val="0"/>
      <w:divBdr>
        <w:top w:val="none" w:sz="0" w:space="0" w:color="auto"/>
        <w:left w:val="none" w:sz="0" w:space="0" w:color="auto"/>
        <w:bottom w:val="none" w:sz="0" w:space="0" w:color="auto"/>
        <w:right w:val="none" w:sz="0" w:space="0" w:color="auto"/>
      </w:divBdr>
    </w:div>
    <w:div w:id="2142451941">
      <w:bodyDiv w:val="1"/>
      <w:marLeft w:val="0"/>
      <w:marRight w:val="0"/>
      <w:marTop w:val="0"/>
      <w:marBottom w:val="0"/>
      <w:divBdr>
        <w:top w:val="none" w:sz="0" w:space="0" w:color="auto"/>
        <w:left w:val="none" w:sz="0" w:space="0" w:color="auto"/>
        <w:bottom w:val="none" w:sz="0" w:space="0" w:color="auto"/>
        <w:right w:val="none" w:sz="0" w:space="0" w:color="auto"/>
      </w:divBdr>
    </w:div>
    <w:div w:id="214345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02ABE7A-D4C8-794D-9C64-5A1BCAEAD10C}">
  <we:reference id="wa104380917" version="1.0.1.0" store="en-US" storeType="OMEX"/>
  <we:alternateReferences>
    <we:reference id="wa104380917" version="1.0.1.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41CD75D-5827-184C-8F9C-8F9B1133D056}">
  <we:reference id="wa200001011" version="1.2.0.0" store="ja-JP"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5D9A6-0FD6-1042-84A0-7BF97BCDE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23</Pages>
  <Words>4696</Words>
  <Characters>26773</Characters>
  <Application>Microsoft Office Word</Application>
  <DocSecurity>0</DocSecurity>
  <Lines>223</Lines>
  <Paragraphs>62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 Furukawa</dc:creator>
  <cp:keywords/>
  <dc:description/>
  <cp:lastModifiedBy>Furukawa Yuki</cp:lastModifiedBy>
  <cp:revision>31</cp:revision>
  <cp:lastPrinted>2021-02-02T03:41:00Z</cp:lastPrinted>
  <dcterms:created xsi:type="dcterms:W3CDTF">2021-05-22T01:34:00Z</dcterms:created>
  <dcterms:modified xsi:type="dcterms:W3CDTF">2021-09-26T09:08:00Z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documentId_4018</vt:lpwstr>
  </property>
  <property fmtid="{D5CDD505-2E9C-101B-9397-08002B2CF9AE}" pid="3" name="grammarly_documentContext">
    <vt:lpwstr>{"goals":[],"domain":"general","emotions":[],"dialect":"american"}</vt:lpwstr>
  </property>
</Properties>
</file>