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64010" w14:textId="7A41B12E" w:rsidR="00826310" w:rsidRPr="00FA6366" w:rsidRDefault="00605AE1">
      <w:pPr>
        <w:rPr>
          <w:rFonts w:ascii="Times New Roman" w:hAnsi="Times New Roman" w:cs="Times New Roman"/>
          <w:b/>
          <w:bCs/>
          <w:sz w:val="24"/>
          <w:szCs w:val="24"/>
          <w:vertAlign w:val="superscript"/>
          <w:lang w:val="en-GB"/>
        </w:rPr>
      </w:pPr>
      <w:r w:rsidRPr="00FA6366">
        <w:rPr>
          <w:rFonts w:ascii="Times New Roman" w:hAnsi="Times New Roman" w:cs="Times New Roman"/>
          <w:b/>
          <w:bCs/>
          <w:sz w:val="24"/>
          <w:szCs w:val="24"/>
          <w:lang w:val="en-GB"/>
        </w:rPr>
        <w:t xml:space="preserve">eTable 3: Numbers needed to treat </w:t>
      </w:r>
      <w:r w:rsidR="000E77FE">
        <w:rPr>
          <w:rFonts w:ascii="Times New Roman" w:hAnsi="Times New Roman" w:cs="Times New Roman"/>
          <w:b/>
          <w:bCs/>
          <w:sz w:val="24"/>
          <w:szCs w:val="24"/>
          <w:lang w:val="en-GB"/>
        </w:rPr>
        <w:t xml:space="preserve">to prevent suicide </w:t>
      </w:r>
      <w:proofErr w:type="spellStart"/>
      <w:r w:rsidR="000E77FE">
        <w:rPr>
          <w:rFonts w:ascii="Times New Roman" w:hAnsi="Times New Roman" w:cs="Times New Roman"/>
          <w:b/>
          <w:bCs/>
          <w:sz w:val="24"/>
          <w:szCs w:val="24"/>
          <w:lang w:val="en-GB"/>
        </w:rPr>
        <w:t>deaths</w:t>
      </w:r>
      <w:r w:rsidRPr="00FA6366">
        <w:rPr>
          <w:rFonts w:ascii="Times New Roman" w:hAnsi="Times New Roman" w:cs="Times New Roman"/>
          <w:b/>
          <w:bCs/>
          <w:sz w:val="24"/>
          <w:szCs w:val="24"/>
          <w:lang w:val="en-GB"/>
        </w:rPr>
        <w:t>.</w:t>
      </w:r>
      <w:r w:rsidR="00C435E8" w:rsidRPr="00FA6366">
        <w:rPr>
          <w:rFonts w:ascii="Times New Roman" w:hAnsi="Times New Roman" w:cs="Times New Roman"/>
          <w:b/>
          <w:bCs/>
          <w:sz w:val="24"/>
          <w:szCs w:val="24"/>
          <w:vertAlign w:val="superscript"/>
          <w:lang w:val="en-GB"/>
        </w:rPr>
        <w:t>a</w:t>
      </w:r>
      <w:proofErr w:type="spellEnd"/>
    </w:p>
    <w:tbl>
      <w:tblPr>
        <w:tblW w:w="11766" w:type="dxa"/>
        <w:tblCellMar>
          <w:left w:w="70" w:type="dxa"/>
          <w:right w:w="70" w:type="dxa"/>
        </w:tblCellMar>
        <w:tblLook w:val="04A0" w:firstRow="1" w:lastRow="0" w:firstColumn="1" w:lastColumn="0" w:noHBand="0" w:noVBand="1"/>
      </w:tblPr>
      <w:tblGrid>
        <w:gridCol w:w="340"/>
        <w:gridCol w:w="2180"/>
        <w:gridCol w:w="787"/>
        <w:gridCol w:w="2513"/>
        <w:gridCol w:w="200"/>
        <w:gridCol w:w="2627"/>
        <w:gridCol w:w="3119"/>
      </w:tblGrid>
      <w:tr w:rsidR="00DA1CA5" w:rsidRPr="00EA21D5" w14:paraId="559204D3" w14:textId="77777777" w:rsidTr="000E77FE">
        <w:trPr>
          <w:trHeight w:val="1275"/>
        </w:trPr>
        <w:tc>
          <w:tcPr>
            <w:tcW w:w="340" w:type="dxa"/>
            <w:tcBorders>
              <w:top w:val="nil"/>
              <w:left w:val="nil"/>
              <w:bottom w:val="single" w:sz="4" w:space="0" w:color="auto"/>
              <w:right w:val="nil"/>
            </w:tcBorders>
            <w:shd w:val="clear" w:color="auto" w:fill="auto"/>
            <w:vAlign w:val="center"/>
            <w:hideMark/>
          </w:tcPr>
          <w:p w14:paraId="5DAD3EFA" w14:textId="77777777" w:rsidR="00DA1CA5" w:rsidRPr="00EA21D5" w:rsidRDefault="00DA1CA5" w:rsidP="00C51874">
            <w:pPr>
              <w:spacing w:after="0" w:line="240" w:lineRule="auto"/>
              <w:rPr>
                <w:rFonts w:ascii="Arial" w:eastAsia="Times New Roman" w:hAnsi="Arial" w:cs="Arial"/>
                <w:b/>
                <w:bCs/>
                <w:color w:val="000000"/>
                <w:sz w:val="20"/>
                <w:szCs w:val="20"/>
                <w:lang w:val="en-US" w:eastAsia="da-DK"/>
              </w:rPr>
            </w:pPr>
            <w:r w:rsidRPr="00EA21D5">
              <w:rPr>
                <w:rFonts w:ascii="Arial" w:eastAsia="Times New Roman" w:hAnsi="Arial" w:cs="Arial"/>
                <w:b/>
                <w:bCs/>
                <w:color w:val="000000"/>
                <w:sz w:val="20"/>
                <w:szCs w:val="20"/>
                <w:lang w:val="en-US" w:eastAsia="da-DK"/>
              </w:rPr>
              <w:t> </w:t>
            </w:r>
          </w:p>
        </w:tc>
        <w:tc>
          <w:tcPr>
            <w:tcW w:w="2180" w:type="dxa"/>
            <w:tcBorders>
              <w:top w:val="single" w:sz="4" w:space="0" w:color="auto"/>
              <w:left w:val="nil"/>
              <w:bottom w:val="single" w:sz="4" w:space="0" w:color="auto"/>
              <w:right w:val="nil"/>
            </w:tcBorders>
            <w:shd w:val="clear" w:color="auto" w:fill="auto"/>
            <w:vAlign w:val="center"/>
            <w:hideMark/>
          </w:tcPr>
          <w:p w14:paraId="5A55EE56" w14:textId="77777777" w:rsidR="00DA1CA5" w:rsidRPr="00EA21D5" w:rsidRDefault="00DA1CA5" w:rsidP="00C51874">
            <w:pPr>
              <w:spacing w:after="0" w:line="240" w:lineRule="auto"/>
              <w:rPr>
                <w:rFonts w:ascii="Arial" w:eastAsia="Times New Roman" w:hAnsi="Arial" w:cs="Arial"/>
                <w:color w:val="000000"/>
                <w:sz w:val="20"/>
                <w:szCs w:val="20"/>
                <w:lang w:val="en-US" w:eastAsia="da-DK"/>
              </w:rPr>
            </w:pPr>
            <w:r w:rsidRPr="00EA21D5">
              <w:rPr>
                <w:rFonts w:ascii="Arial" w:eastAsia="Times New Roman" w:hAnsi="Arial" w:cs="Arial"/>
                <w:color w:val="000000"/>
                <w:sz w:val="20"/>
                <w:szCs w:val="20"/>
                <w:lang w:val="en-US" w:eastAsia="da-DK"/>
              </w:rPr>
              <w:t> </w:t>
            </w:r>
          </w:p>
        </w:tc>
        <w:tc>
          <w:tcPr>
            <w:tcW w:w="787" w:type="dxa"/>
            <w:tcBorders>
              <w:top w:val="single" w:sz="4" w:space="0" w:color="auto"/>
              <w:left w:val="nil"/>
              <w:bottom w:val="single" w:sz="4" w:space="0" w:color="auto"/>
              <w:right w:val="nil"/>
            </w:tcBorders>
            <w:shd w:val="clear" w:color="auto" w:fill="auto"/>
            <w:noWrap/>
            <w:vAlign w:val="center"/>
            <w:hideMark/>
          </w:tcPr>
          <w:p w14:paraId="2DA53A33" w14:textId="77777777" w:rsidR="00DA1CA5" w:rsidRPr="00C51874" w:rsidRDefault="00DA1CA5" w:rsidP="00C51874">
            <w:pPr>
              <w:spacing w:after="0" w:line="240" w:lineRule="auto"/>
              <w:jc w:val="center"/>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n</w:t>
            </w:r>
          </w:p>
        </w:tc>
        <w:tc>
          <w:tcPr>
            <w:tcW w:w="2513" w:type="dxa"/>
            <w:tcBorders>
              <w:top w:val="single" w:sz="4" w:space="0" w:color="auto"/>
              <w:left w:val="nil"/>
              <w:bottom w:val="single" w:sz="4" w:space="0" w:color="auto"/>
              <w:right w:val="nil"/>
            </w:tcBorders>
            <w:shd w:val="clear" w:color="auto" w:fill="auto"/>
            <w:vAlign w:val="center"/>
            <w:hideMark/>
          </w:tcPr>
          <w:p w14:paraId="36B69204" w14:textId="77777777" w:rsidR="00DA1CA5" w:rsidRPr="00C51874" w:rsidRDefault="00DA1CA5" w:rsidP="00C51874">
            <w:pPr>
              <w:spacing w:after="0" w:line="240" w:lineRule="auto"/>
              <w:jc w:val="center"/>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Risk (95% CI)</w:t>
            </w:r>
          </w:p>
        </w:tc>
        <w:tc>
          <w:tcPr>
            <w:tcW w:w="200" w:type="dxa"/>
            <w:tcBorders>
              <w:top w:val="single" w:sz="4" w:space="0" w:color="auto"/>
              <w:left w:val="nil"/>
              <w:bottom w:val="single" w:sz="4" w:space="0" w:color="auto"/>
              <w:right w:val="nil"/>
            </w:tcBorders>
            <w:shd w:val="clear" w:color="auto" w:fill="auto"/>
            <w:vAlign w:val="center"/>
            <w:hideMark/>
          </w:tcPr>
          <w:p w14:paraId="369061E6" w14:textId="77777777" w:rsidR="00DA1CA5" w:rsidRPr="00C51874" w:rsidRDefault="00DA1CA5" w:rsidP="00C51874">
            <w:pPr>
              <w:spacing w:after="0" w:line="240" w:lineRule="auto"/>
              <w:jc w:val="center"/>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 </w:t>
            </w:r>
          </w:p>
        </w:tc>
        <w:tc>
          <w:tcPr>
            <w:tcW w:w="2627" w:type="dxa"/>
            <w:tcBorders>
              <w:top w:val="single" w:sz="4" w:space="0" w:color="auto"/>
              <w:left w:val="nil"/>
              <w:bottom w:val="single" w:sz="4" w:space="0" w:color="auto"/>
              <w:right w:val="nil"/>
            </w:tcBorders>
            <w:shd w:val="clear" w:color="auto" w:fill="auto"/>
            <w:vAlign w:val="center"/>
            <w:hideMark/>
          </w:tcPr>
          <w:p w14:paraId="5C087F8E" w14:textId="6BA2C00A" w:rsidR="00DA1CA5" w:rsidRPr="00C51874" w:rsidRDefault="00DA1CA5" w:rsidP="00C51874">
            <w:pPr>
              <w:spacing w:after="0" w:line="240" w:lineRule="auto"/>
              <w:jc w:val="center"/>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Abs</w:t>
            </w:r>
            <w:r>
              <w:rPr>
                <w:rFonts w:ascii="Arial" w:eastAsia="Times New Roman" w:hAnsi="Arial" w:cs="Arial"/>
                <w:color w:val="000000"/>
                <w:sz w:val="20"/>
                <w:szCs w:val="20"/>
                <w:lang w:eastAsia="da-DK"/>
              </w:rPr>
              <w:t>o</w:t>
            </w:r>
            <w:r w:rsidRPr="00C51874">
              <w:rPr>
                <w:rFonts w:ascii="Arial" w:eastAsia="Times New Roman" w:hAnsi="Arial" w:cs="Arial"/>
                <w:color w:val="000000"/>
                <w:sz w:val="20"/>
                <w:szCs w:val="20"/>
                <w:lang w:eastAsia="da-DK"/>
              </w:rPr>
              <w:t>lute risk reduction (95% CI)</w:t>
            </w:r>
          </w:p>
        </w:tc>
        <w:tc>
          <w:tcPr>
            <w:tcW w:w="3119" w:type="dxa"/>
            <w:tcBorders>
              <w:top w:val="single" w:sz="4" w:space="0" w:color="auto"/>
              <w:left w:val="nil"/>
              <w:bottom w:val="single" w:sz="4" w:space="0" w:color="auto"/>
              <w:right w:val="nil"/>
            </w:tcBorders>
            <w:shd w:val="clear" w:color="auto" w:fill="auto"/>
            <w:vAlign w:val="center"/>
            <w:hideMark/>
          </w:tcPr>
          <w:p w14:paraId="56047143" w14:textId="77777777" w:rsidR="00E27AA0" w:rsidRDefault="00DA1CA5" w:rsidP="00C51874">
            <w:pPr>
              <w:spacing w:after="0" w:line="240" w:lineRule="auto"/>
              <w:jc w:val="center"/>
              <w:rPr>
                <w:rFonts w:ascii="Arial" w:eastAsia="Times New Roman" w:hAnsi="Arial" w:cs="Arial"/>
                <w:color w:val="000000"/>
                <w:sz w:val="20"/>
                <w:szCs w:val="20"/>
                <w:lang w:val="en-US" w:eastAsia="da-DK"/>
              </w:rPr>
            </w:pPr>
            <w:r w:rsidRPr="00C51874">
              <w:rPr>
                <w:rFonts w:ascii="Arial" w:eastAsia="Times New Roman" w:hAnsi="Arial" w:cs="Arial"/>
                <w:color w:val="000000"/>
                <w:sz w:val="20"/>
                <w:szCs w:val="20"/>
                <w:lang w:val="en-US" w:eastAsia="da-DK"/>
              </w:rPr>
              <w:t xml:space="preserve">Numbers needed to treat </w:t>
            </w:r>
          </w:p>
          <w:p w14:paraId="4D1263F8" w14:textId="7BD5D976" w:rsidR="00DA1CA5" w:rsidRPr="00C51874" w:rsidRDefault="00DA1CA5" w:rsidP="00C51874">
            <w:pPr>
              <w:spacing w:after="0" w:line="240" w:lineRule="auto"/>
              <w:jc w:val="center"/>
              <w:rPr>
                <w:rFonts w:ascii="Arial" w:eastAsia="Times New Roman" w:hAnsi="Arial" w:cs="Arial"/>
                <w:color w:val="000000"/>
                <w:sz w:val="20"/>
                <w:szCs w:val="20"/>
                <w:vertAlign w:val="superscript"/>
                <w:lang w:val="en-US" w:eastAsia="da-DK"/>
              </w:rPr>
            </w:pPr>
            <w:r w:rsidRPr="00C51874">
              <w:rPr>
                <w:rFonts w:ascii="Arial" w:eastAsia="Times New Roman" w:hAnsi="Arial" w:cs="Arial"/>
                <w:color w:val="000000"/>
                <w:sz w:val="20"/>
                <w:szCs w:val="20"/>
                <w:lang w:val="en-US" w:eastAsia="da-DK"/>
              </w:rPr>
              <w:t xml:space="preserve">(95% </w:t>
            </w:r>
            <w:proofErr w:type="gramStart"/>
            <w:r w:rsidRPr="00C51874">
              <w:rPr>
                <w:rFonts w:ascii="Arial" w:eastAsia="Times New Roman" w:hAnsi="Arial" w:cs="Arial"/>
                <w:color w:val="000000"/>
                <w:sz w:val="20"/>
                <w:szCs w:val="20"/>
                <w:lang w:val="en-US" w:eastAsia="da-DK"/>
              </w:rPr>
              <w:t>CI)</w:t>
            </w:r>
            <w:r w:rsidRPr="00DA1CA5">
              <w:rPr>
                <w:rFonts w:ascii="Arial" w:eastAsia="Times New Roman" w:hAnsi="Arial" w:cs="Arial"/>
                <w:color w:val="000000"/>
                <w:sz w:val="20"/>
                <w:szCs w:val="20"/>
                <w:vertAlign w:val="superscript"/>
                <w:lang w:val="en-US" w:eastAsia="da-DK"/>
              </w:rPr>
              <w:t>c</w:t>
            </w:r>
            <w:proofErr w:type="gramEnd"/>
          </w:p>
        </w:tc>
      </w:tr>
      <w:tr w:rsidR="00DA1CA5" w:rsidRPr="00C51874" w14:paraId="533E3221" w14:textId="77777777" w:rsidTr="00DA1CA5">
        <w:trPr>
          <w:trHeight w:val="255"/>
        </w:trPr>
        <w:tc>
          <w:tcPr>
            <w:tcW w:w="2520" w:type="dxa"/>
            <w:gridSpan w:val="2"/>
            <w:tcBorders>
              <w:top w:val="nil"/>
              <w:left w:val="nil"/>
              <w:bottom w:val="nil"/>
              <w:right w:val="nil"/>
            </w:tcBorders>
            <w:shd w:val="clear" w:color="auto" w:fill="auto"/>
            <w:noWrap/>
            <w:vAlign w:val="center"/>
            <w:hideMark/>
          </w:tcPr>
          <w:p w14:paraId="5DCFE36C" w14:textId="512FFEE4" w:rsidR="00DA1CA5" w:rsidRPr="00C51874" w:rsidRDefault="000E77FE" w:rsidP="00C51874">
            <w:pPr>
              <w:spacing w:after="0" w:line="240" w:lineRule="auto"/>
              <w:rPr>
                <w:rFonts w:ascii="Arial" w:eastAsia="Times New Roman" w:hAnsi="Arial" w:cs="Arial"/>
                <w:b/>
                <w:bCs/>
                <w:color w:val="000000"/>
                <w:sz w:val="20"/>
                <w:szCs w:val="20"/>
                <w:lang w:eastAsia="da-DK"/>
              </w:rPr>
            </w:pPr>
            <w:r>
              <w:rPr>
                <w:rFonts w:ascii="Arial" w:eastAsia="Times New Roman" w:hAnsi="Arial" w:cs="Arial"/>
                <w:b/>
                <w:bCs/>
                <w:color w:val="000000"/>
                <w:sz w:val="20"/>
                <w:szCs w:val="20"/>
                <w:lang w:eastAsia="da-DK"/>
              </w:rPr>
              <w:t>Treatment with</w:t>
            </w:r>
          </w:p>
        </w:tc>
        <w:tc>
          <w:tcPr>
            <w:tcW w:w="787" w:type="dxa"/>
            <w:tcBorders>
              <w:top w:val="nil"/>
              <w:left w:val="nil"/>
              <w:bottom w:val="nil"/>
              <w:right w:val="nil"/>
            </w:tcBorders>
            <w:shd w:val="clear" w:color="auto" w:fill="auto"/>
            <w:noWrap/>
            <w:vAlign w:val="center"/>
            <w:hideMark/>
          </w:tcPr>
          <w:p w14:paraId="0B549F19" w14:textId="77777777" w:rsidR="00DA1CA5" w:rsidRPr="00C51874" w:rsidRDefault="00DA1CA5" w:rsidP="00C51874">
            <w:pPr>
              <w:spacing w:after="0" w:line="240" w:lineRule="auto"/>
              <w:rPr>
                <w:rFonts w:ascii="Arial" w:eastAsia="Times New Roman" w:hAnsi="Arial" w:cs="Arial"/>
                <w:b/>
                <w:bCs/>
                <w:color w:val="000000"/>
                <w:sz w:val="20"/>
                <w:szCs w:val="20"/>
                <w:lang w:eastAsia="da-DK"/>
              </w:rPr>
            </w:pPr>
          </w:p>
        </w:tc>
        <w:tc>
          <w:tcPr>
            <w:tcW w:w="2513" w:type="dxa"/>
            <w:tcBorders>
              <w:top w:val="nil"/>
              <w:left w:val="nil"/>
              <w:bottom w:val="nil"/>
              <w:right w:val="nil"/>
            </w:tcBorders>
            <w:shd w:val="clear" w:color="auto" w:fill="auto"/>
            <w:vAlign w:val="center"/>
            <w:hideMark/>
          </w:tcPr>
          <w:p w14:paraId="48683508" w14:textId="77777777" w:rsidR="00DA1CA5" w:rsidRPr="00C51874" w:rsidRDefault="00DA1CA5" w:rsidP="00C51874">
            <w:pPr>
              <w:spacing w:after="0" w:line="240" w:lineRule="auto"/>
              <w:jc w:val="center"/>
              <w:rPr>
                <w:rFonts w:ascii="Times New Roman" w:eastAsia="Times New Roman" w:hAnsi="Times New Roman" w:cs="Times New Roman"/>
                <w:sz w:val="20"/>
                <w:szCs w:val="20"/>
                <w:lang w:eastAsia="da-DK"/>
              </w:rPr>
            </w:pPr>
          </w:p>
        </w:tc>
        <w:tc>
          <w:tcPr>
            <w:tcW w:w="200" w:type="dxa"/>
            <w:tcBorders>
              <w:top w:val="nil"/>
              <w:left w:val="nil"/>
              <w:bottom w:val="nil"/>
              <w:right w:val="nil"/>
            </w:tcBorders>
            <w:shd w:val="clear" w:color="auto" w:fill="auto"/>
            <w:vAlign w:val="center"/>
            <w:hideMark/>
          </w:tcPr>
          <w:p w14:paraId="6BD4CDF9" w14:textId="77777777" w:rsidR="00DA1CA5" w:rsidRPr="00C51874" w:rsidRDefault="00DA1CA5" w:rsidP="00C51874">
            <w:pPr>
              <w:spacing w:after="0" w:line="240" w:lineRule="auto"/>
              <w:jc w:val="center"/>
              <w:rPr>
                <w:rFonts w:ascii="Times New Roman" w:eastAsia="Times New Roman" w:hAnsi="Times New Roman" w:cs="Times New Roman"/>
                <w:sz w:val="20"/>
                <w:szCs w:val="20"/>
                <w:lang w:eastAsia="da-DK"/>
              </w:rPr>
            </w:pPr>
          </w:p>
        </w:tc>
        <w:tc>
          <w:tcPr>
            <w:tcW w:w="2627" w:type="dxa"/>
            <w:tcBorders>
              <w:top w:val="nil"/>
              <w:left w:val="nil"/>
              <w:bottom w:val="nil"/>
              <w:right w:val="nil"/>
            </w:tcBorders>
            <w:shd w:val="clear" w:color="auto" w:fill="auto"/>
            <w:vAlign w:val="center"/>
            <w:hideMark/>
          </w:tcPr>
          <w:p w14:paraId="5DEEADDC" w14:textId="77777777" w:rsidR="00DA1CA5" w:rsidRPr="00C51874" w:rsidRDefault="00DA1CA5" w:rsidP="00C51874">
            <w:pPr>
              <w:spacing w:after="0" w:line="240" w:lineRule="auto"/>
              <w:jc w:val="center"/>
              <w:rPr>
                <w:rFonts w:ascii="Times New Roman" w:eastAsia="Times New Roman" w:hAnsi="Times New Roman" w:cs="Times New Roman"/>
                <w:sz w:val="20"/>
                <w:szCs w:val="20"/>
                <w:lang w:eastAsia="da-DK"/>
              </w:rPr>
            </w:pPr>
          </w:p>
        </w:tc>
        <w:tc>
          <w:tcPr>
            <w:tcW w:w="3119" w:type="dxa"/>
            <w:tcBorders>
              <w:top w:val="nil"/>
              <w:left w:val="nil"/>
              <w:bottom w:val="nil"/>
              <w:right w:val="nil"/>
            </w:tcBorders>
            <w:shd w:val="clear" w:color="auto" w:fill="auto"/>
            <w:vAlign w:val="center"/>
            <w:hideMark/>
          </w:tcPr>
          <w:p w14:paraId="2890BA0C" w14:textId="77777777" w:rsidR="00DA1CA5" w:rsidRPr="00C51874" w:rsidRDefault="00DA1CA5" w:rsidP="00C51874">
            <w:pPr>
              <w:spacing w:after="0" w:line="240" w:lineRule="auto"/>
              <w:jc w:val="center"/>
              <w:rPr>
                <w:rFonts w:ascii="Times New Roman" w:eastAsia="Times New Roman" w:hAnsi="Times New Roman" w:cs="Times New Roman"/>
                <w:sz w:val="20"/>
                <w:szCs w:val="20"/>
                <w:lang w:eastAsia="da-DK"/>
              </w:rPr>
            </w:pPr>
          </w:p>
        </w:tc>
      </w:tr>
      <w:tr w:rsidR="00DA1CA5" w:rsidRPr="00C51874" w14:paraId="032A6EA1" w14:textId="77777777" w:rsidTr="00DA1CA5">
        <w:trPr>
          <w:trHeight w:val="255"/>
        </w:trPr>
        <w:tc>
          <w:tcPr>
            <w:tcW w:w="340" w:type="dxa"/>
            <w:tcBorders>
              <w:top w:val="nil"/>
              <w:left w:val="nil"/>
              <w:bottom w:val="nil"/>
              <w:right w:val="nil"/>
            </w:tcBorders>
            <w:shd w:val="clear" w:color="auto" w:fill="auto"/>
            <w:noWrap/>
            <w:vAlign w:val="bottom"/>
            <w:hideMark/>
          </w:tcPr>
          <w:p w14:paraId="1415F8AD" w14:textId="77777777" w:rsidR="00DA1CA5" w:rsidRPr="00C51874" w:rsidRDefault="00DA1CA5" w:rsidP="00C51874">
            <w:pPr>
              <w:spacing w:after="0" w:line="240" w:lineRule="auto"/>
              <w:jc w:val="center"/>
              <w:rPr>
                <w:rFonts w:ascii="Times New Roman" w:eastAsia="Times New Roman" w:hAnsi="Times New Roman" w:cs="Times New Roman"/>
                <w:sz w:val="20"/>
                <w:szCs w:val="20"/>
                <w:lang w:eastAsia="da-DK"/>
              </w:rPr>
            </w:pPr>
          </w:p>
        </w:tc>
        <w:tc>
          <w:tcPr>
            <w:tcW w:w="2180" w:type="dxa"/>
            <w:tcBorders>
              <w:top w:val="nil"/>
              <w:left w:val="nil"/>
              <w:bottom w:val="nil"/>
              <w:right w:val="nil"/>
            </w:tcBorders>
            <w:shd w:val="clear" w:color="auto" w:fill="auto"/>
            <w:noWrap/>
            <w:vAlign w:val="bottom"/>
            <w:hideMark/>
          </w:tcPr>
          <w:p w14:paraId="29F1D2C6" w14:textId="77777777" w:rsidR="00DA1CA5" w:rsidRPr="00C51874" w:rsidRDefault="00DA1CA5" w:rsidP="00C51874">
            <w:pPr>
              <w:spacing w:after="0" w:line="240" w:lineRule="auto"/>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Lithium</w:t>
            </w:r>
          </w:p>
        </w:tc>
        <w:tc>
          <w:tcPr>
            <w:tcW w:w="787" w:type="dxa"/>
            <w:tcBorders>
              <w:top w:val="nil"/>
              <w:left w:val="nil"/>
              <w:bottom w:val="nil"/>
              <w:right w:val="nil"/>
            </w:tcBorders>
            <w:shd w:val="clear" w:color="auto" w:fill="auto"/>
            <w:noWrap/>
            <w:vAlign w:val="center"/>
            <w:hideMark/>
          </w:tcPr>
          <w:p w14:paraId="3D2FCC2C"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73</w:t>
            </w:r>
          </w:p>
        </w:tc>
        <w:tc>
          <w:tcPr>
            <w:tcW w:w="2513" w:type="dxa"/>
            <w:tcBorders>
              <w:top w:val="nil"/>
              <w:left w:val="nil"/>
              <w:bottom w:val="nil"/>
              <w:right w:val="nil"/>
            </w:tcBorders>
            <w:shd w:val="clear" w:color="auto" w:fill="auto"/>
            <w:noWrap/>
            <w:vAlign w:val="center"/>
            <w:hideMark/>
          </w:tcPr>
          <w:p w14:paraId="6DB89072"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0.007 (0.004-0.010)</w:t>
            </w:r>
          </w:p>
        </w:tc>
        <w:tc>
          <w:tcPr>
            <w:tcW w:w="200" w:type="dxa"/>
            <w:tcBorders>
              <w:top w:val="nil"/>
              <w:left w:val="nil"/>
              <w:bottom w:val="nil"/>
              <w:right w:val="nil"/>
            </w:tcBorders>
            <w:shd w:val="clear" w:color="auto" w:fill="auto"/>
            <w:noWrap/>
            <w:vAlign w:val="center"/>
            <w:hideMark/>
          </w:tcPr>
          <w:p w14:paraId="65EFAFB0"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627" w:type="dxa"/>
            <w:tcBorders>
              <w:top w:val="nil"/>
              <w:left w:val="nil"/>
              <w:bottom w:val="nil"/>
              <w:right w:val="nil"/>
            </w:tcBorders>
            <w:shd w:val="clear" w:color="auto" w:fill="auto"/>
            <w:noWrap/>
            <w:vAlign w:val="center"/>
            <w:hideMark/>
          </w:tcPr>
          <w:p w14:paraId="3733D8C4" w14:textId="493BE66D"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-0.009 (-0.011</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-0.007)</w:t>
            </w:r>
          </w:p>
        </w:tc>
        <w:tc>
          <w:tcPr>
            <w:tcW w:w="3119" w:type="dxa"/>
            <w:tcBorders>
              <w:top w:val="nil"/>
              <w:left w:val="nil"/>
              <w:bottom w:val="nil"/>
              <w:right w:val="nil"/>
            </w:tcBorders>
            <w:shd w:val="clear" w:color="auto" w:fill="auto"/>
            <w:noWrap/>
            <w:vAlign w:val="center"/>
            <w:hideMark/>
          </w:tcPr>
          <w:p w14:paraId="5B0FAB45"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 xml:space="preserve"> 106 (93 to 141) </w:t>
            </w:r>
          </w:p>
        </w:tc>
      </w:tr>
      <w:tr w:rsidR="00DA1CA5" w:rsidRPr="00C51874" w14:paraId="68A034E7" w14:textId="77777777" w:rsidTr="00DA1CA5">
        <w:trPr>
          <w:trHeight w:val="255"/>
        </w:trPr>
        <w:tc>
          <w:tcPr>
            <w:tcW w:w="340" w:type="dxa"/>
            <w:tcBorders>
              <w:top w:val="nil"/>
              <w:left w:val="nil"/>
              <w:bottom w:val="nil"/>
              <w:right w:val="nil"/>
            </w:tcBorders>
            <w:shd w:val="clear" w:color="auto" w:fill="auto"/>
            <w:noWrap/>
            <w:vAlign w:val="bottom"/>
            <w:hideMark/>
          </w:tcPr>
          <w:p w14:paraId="0DE2D3EF"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180" w:type="dxa"/>
            <w:tcBorders>
              <w:top w:val="nil"/>
              <w:left w:val="nil"/>
              <w:bottom w:val="nil"/>
              <w:right w:val="nil"/>
            </w:tcBorders>
            <w:shd w:val="clear" w:color="auto" w:fill="auto"/>
            <w:noWrap/>
            <w:vAlign w:val="bottom"/>
            <w:hideMark/>
          </w:tcPr>
          <w:p w14:paraId="51E92934" w14:textId="77777777" w:rsidR="00DA1CA5" w:rsidRPr="00C51874" w:rsidRDefault="00DA1CA5" w:rsidP="00C51874">
            <w:pPr>
              <w:spacing w:after="0" w:line="240" w:lineRule="auto"/>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Valproate</w:t>
            </w:r>
          </w:p>
        </w:tc>
        <w:tc>
          <w:tcPr>
            <w:tcW w:w="787" w:type="dxa"/>
            <w:tcBorders>
              <w:top w:val="nil"/>
              <w:left w:val="nil"/>
              <w:bottom w:val="nil"/>
              <w:right w:val="nil"/>
            </w:tcBorders>
            <w:shd w:val="clear" w:color="auto" w:fill="auto"/>
            <w:noWrap/>
            <w:vAlign w:val="center"/>
            <w:hideMark/>
          </w:tcPr>
          <w:p w14:paraId="78DE9544"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25</w:t>
            </w:r>
          </w:p>
        </w:tc>
        <w:tc>
          <w:tcPr>
            <w:tcW w:w="2513" w:type="dxa"/>
            <w:tcBorders>
              <w:top w:val="nil"/>
              <w:left w:val="nil"/>
              <w:bottom w:val="nil"/>
              <w:right w:val="nil"/>
            </w:tcBorders>
            <w:shd w:val="clear" w:color="auto" w:fill="auto"/>
            <w:noWrap/>
            <w:vAlign w:val="center"/>
            <w:hideMark/>
          </w:tcPr>
          <w:p w14:paraId="0E1148B1"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0.007 (0.002-0.018)</w:t>
            </w:r>
          </w:p>
        </w:tc>
        <w:tc>
          <w:tcPr>
            <w:tcW w:w="200" w:type="dxa"/>
            <w:tcBorders>
              <w:top w:val="nil"/>
              <w:left w:val="nil"/>
              <w:bottom w:val="nil"/>
              <w:right w:val="nil"/>
            </w:tcBorders>
            <w:shd w:val="clear" w:color="auto" w:fill="auto"/>
            <w:noWrap/>
            <w:vAlign w:val="center"/>
            <w:hideMark/>
          </w:tcPr>
          <w:p w14:paraId="710E8C30"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627" w:type="dxa"/>
            <w:tcBorders>
              <w:top w:val="nil"/>
              <w:left w:val="nil"/>
              <w:bottom w:val="nil"/>
              <w:right w:val="nil"/>
            </w:tcBorders>
            <w:shd w:val="clear" w:color="auto" w:fill="auto"/>
            <w:noWrap/>
            <w:vAlign w:val="center"/>
            <w:hideMark/>
          </w:tcPr>
          <w:p w14:paraId="56250AB7" w14:textId="1EF1478E"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-0.009 (-0.012</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0.000)</w:t>
            </w:r>
          </w:p>
        </w:tc>
        <w:tc>
          <w:tcPr>
            <w:tcW w:w="3119" w:type="dxa"/>
            <w:tcBorders>
              <w:top w:val="nil"/>
              <w:left w:val="nil"/>
              <w:bottom w:val="nil"/>
              <w:right w:val="nil"/>
            </w:tcBorders>
            <w:shd w:val="clear" w:color="auto" w:fill="auto"/>
            <w:noWrap/>
            <w:vAlign w:val="center"/>
            <w:hideMark/>
          </w:tcPr>
          <w:p w14:paraId="6619034B"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 xml:space="preserve"> 114 (81 to ∞ to -3480) </w:t>
            </w:r>
          </w:p>
        </w:tc>
      </w:tr>
      <w:tr w:rsidR="00DA1CA5" w:rsidRPr="00C51874" w14:paraId="407B00B1" w14:textId="77777777" w:rsidTr="00DA1CA5">
        <w:trPr>
          <w:trHeight w:val="255"/>
        </w:trPr>
        <w:tc>
          <w:tcPr>
            <w:tcW w:w="340" w:type="dxa"/>
            <w:tcBorders>
              <w:top w:val="nil"/>
              <w:left w:val="nil"/>
              <w:bottom w:val="nil"/>
              <w:right w:val="nil"/>
            </w:tcBorders>
            <w:shd w:val="clear" w:color="auto" w:fill="auto"/>
            <w:noWrap/>
            <w:vAlign w:val="bottom"/>
            <w:hideMark/>
          </w:tcPr>
          <w:p w14:paraId="651A67E5"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180" w:type="dxa"/>
            <w:tcBorders>
              <w:top w:val="nil"/>
              <w:left w:val="nil"/>
              <w:bottom w:val="nil"/>
              <w:right w:val="nil"/>
            </w:tcBorders>
            <w:shd w:val="clear" w:color="auto" w:fill="auto"/>
            <w:noWrap/>
            <w:vAlign w:val="bottom"/>
            <w:hideMark/>
          </w:tcPr>
          <w:p w14:paraId="41109E33" w14:textId="77777777" w:rsidR="00DA1CA5" w:rsidRPr="00C51874" w:rsidRDefault="00DA1CA5" w:rsidP="00C51874">
            <w:pPr>
              <w:spacing w:after="0" w:line="240" w:lineRule="auto"/>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Other mood stabilisers</w:t>
            </w:r>
          </w:p>
        </w:tc>
        <w:tc>
          <w:tcPr>
            <w:tcW w:w="787" w:type="dxa"/>
            <w:tcBorders>
              <w:top w:val="nil"/>
              <w:left w:val="nil"/>
              <w:bottom w:val="nil"/>
              <w:right w:val="nil"/>
            </w:tcBorders>
            <w:shd w:val="clear" w:color="auto" w:fill="auto"/>
            <w:noWrap/>
            <w:vAlign w:val="center"/>
            <w:hideMark/>
          </w:tcPr>
          <w:p w14:paraId="3591D47C"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73</w:t>
            </w:r>
          </w:p>
        </w:tc>
        <w:tc>
          <w:tcPr>
            <w:tcW w:w="2513" w:type="dxa"/>
            <w:tcBorders>
              <w:top w:val="nil"/>
              <w:left w:val="nil"/>
              <w:bottom w:val="nil"/>
              <w:right w:val="nil"/>
            </w:tcBorders>
            <w:shd w:val="clear" w:color="auto" w:fill="auto"/>
            <w:noWrap/>
            <w:vAlign w:val="center"/>
            <w:hideMark/>
          </w:tcPr>
          <w:p w14:paraId="3691573D"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0.018 (0.008-0.034)</w:t>
            </w:r>
          </w:p>
        </w:tc>
        <w:tc>
          <w:tcPr>
            <w:tcW w:w="200" w:type="dxa"/>
            <w:tcBorders>
              <w:top w:val="nil"/>
              <w:left w:val="nil"/>
              <w:bottom w:val="nil"/>
              <w:right w:val="nil"/>
            </w:tcBorders>
            <w:shd w:val="clear" w:color="auto" w:fill="auto"/>
            <w:noWrap/>
            <w:vAlign w:val="center"/>
            <w:hideMark/>
          </w:tcPr>
          <w:p w14:paraId="1CDF3737"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627" w:type="dxa"/>
            <w:tcBorders>
              <w:top w:val="nil"/>
              <w:left w:val="nil"/>
              <w:bottom w:val="nil"/>
              <w:right w:val="nil"/>
            </w:tcBorders>
            <w:shd w:val="clear" w:color="auto" w:fill="auto"/>
            <w:noWrap/>
            <w:vAlign w:val="center"/>
            <w:hideMark/>
          </w:tcPr>
          <w:p w14:paraId="3A560B54" w14:textId="6CA6CA61"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0.002 (-0.007</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0.017)</w:t>
            </w:r>
          </w:p>
        </w:tc>
        <w:tc>
          <w:tcPr>
            <w:tcW w:w="3119" w:type="dxa"/>
            <w:tcBorders>
              <w:top w:val="nil"/>
              <w:left w:val="nil"/>
              <w:bottom w:val="nil"/>
              <w:right w:val="nil"/>
            </w:tcBorders>
            <w:shd w:val="clear" w:color="auto" w:fill="auto"/>
            <w:noWrap/>
            <w:vAlign w:val="center"/>
            <w:hideMark/>
          </w:tcPr>
          <w:p w14:paraId="11FD60E6"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 xml:space="preserve"> -524 (152 to ∞ to -59) </w:t>
            </w:r>
          </w:p>
        </w:tc>
      </w:tr>
      <w:tr w:rsidR="00DA1CA5" w:rsidRPr="00C51874" w14:paraId="40F77E4A" w14:textId="77777777" w:rsidTr="000E77FE">
        <w:trPr>
          <w:trHeight w:val="255"/>
        </w:trPr>
        <w:tc>
          <w:tcPr>
            <w:tcW w:w="340" w:type="dxa"/>
            <w:tcBorders>
              <w:top w:val="nil"/>
              <w:left w:val="nil"/>
              <w:bottom w:val="nil"/>
              <w:right w:val="nil"/>
            </w:tcBorders>
            <w:shd w:val="clear" w:color="auto" w:fill="auto"/>
            <w:noWrap/>
            <w:vAlign w:val="bottom"/>
            <w:hideMark/>
          </w:tcPr>
          <w:p w14:paraId="49D6556D"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180" w:type="dxa"/>
            <w:tcBorders>
              <w:top w:val="nil"/>
              <w:left w:val="nil"/>
              <w:right w:val="nil"/>
            </w:tcBorders>
            <w:shd w:val="clear" w:color="auto" w:fill="auto"/>
            <w:noWrap/>
            <w:vAlign w:val="bottom"/>
            <w:hideMark/>
          </w:tcPr>
          <w:p w14:paraId="3E98093E" w14:textId="77777777" w:rsidR="00DA1CA5" w:rsidRPr="00C51874" w:rsidRDefault="00DA1CA5" w:rsidP="00C51874">
            <w:pPr>
              <w:spacing w:after="0" w:line="240" w:lineRule="auto"/>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Antipsychotics</w:t>
            </w:r>
          </w:p>
        </w:tc>
        <w:tc>
          <w:tcPr>
            <w:tcW w:w="787" w:type="dxa"/>
            <w:tcBorders>
              <w:top w:val="nil"/>
              <w:left w:val="nil"/>
              <w:right w:val="nil"/>
            </w:tcBorders>
            <w:shd w:val="clear" w:color="auto" w:fill="auto"/>
            <w:noWrap/>
            <w:vAlign w:val="center"/>
            <w:hideMark/>
          </w:tcPr>
          <w:p w14:paraId="69A776C6"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118</w:t>
            </w:r>
          </w:p>
        </w:tc>
        <w:tc>
          <w:tcPr>
            <w:tcW w:w="2513" w:type="dxa"/>
            <w:tcBorders>
              <w:top w:val="nil"/>
              <w:left w:val="nil"/>
              <w:right w:val="nil"/>
            </w:tcBorders>
            <w:shd w:val="clear" w:color="auto" w:fill="auto"/>
            <w:noWrap/>
            <w:vAlign w:val="center"/>
            <w:hideMark/>
          </w:tcPr>
          <w:p w14:paraId="58846F4E"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0.011 (0.008-0.018)</w:t>
            </w:r>
          </w:p>
        </w:tc>
        <w:tc>
          <w:tcPr>
            <w:tcW w:w="200" w:type="dxa"/>
            <w:tcBorders>
              <w:top w:val="nil"/>
              <w:left w:val="nil"/>
              <w:right w:val="nil"/>
            </w:tcBorders>
            <w:shd w:val="clear" w:color="auto" w:fill="auto"/>
            <w:noWrap/>
            <w:vAlign w:val="center"/>
            <w:hideMark/>
          </w:tcPr>
          <w:p w14:paraId="71FC55BF"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627" w:type="dxa"/>
            <w:tcBorders>
              <w:top w:val="nil"/>
              <w:left w:val="nil"/>
              <w:right w:val="nil"/>
            </w:tcBorders>
            <w:shd w:val="clear" w:color="auto" w:fill="auto"/>
            <w:noWrap/>
            <w:vAlign w:val="center"/>
            <w:hideMark/>
          </w:tcPr>
          <w:p w14:paraId="78727439" w14:textId="31F2C6BA"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-0.005 (-0.007</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w:t>
            </w:r>
            <w:r>
              <w:rPr>
                <w:rFonts w:ascii="Arial" w:eastAsia="Times New Roman" w:hAnsi="Arial" w:cs="Arial"/>
                <w:color w:val="000000"/>
                <w:sz w:val="20"/>
                <w:szCs w:val="20"/>
                <w:lang w:eastAsia="da-DK"/>
              </w:rPr>
              <w:t xml:space="preserve"> </w:t>
            </w:r>
            <w:r w:rsidRPr="00C51874">
              <w:rPr>
                <w:rFonts w:ascii="Arial" w:eastAsia="Times New Roman" w:hAnsi="Arial" w:cs="Arial"/>
                <w:color w:val="000000"/>
                <w:sz w:val="20"/>
                <w:szCs w:val="20"/>
                <w:lang w:eastAsia="da-DK"/>
              </w:rPr>
              <w:t>0.000)</w:t>
            </w:r>
          </w:p>
        </w:tc>
        <w:tc>
          <w:tcPr>
            <w:tcW w:w="3119" w:type="dxa"/>
            <w:tcBorders>
              <w:top w:val="nil"/>
              <w:left w:val="nil"/>
              <w:right w:val="nil"/>
            </w:tcBorders>
            <w:shd w:val="clear" w:color="auto" w:fill="auto"/>
            <w:noWrap/>
            <w:vAlign w:val="center"/>
            <w:hideMark/>
          </w:tcPr>
          <w:p w14:paraId="59E1A804"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 xml:space="preserve"> 206 (145 to ∞ to -3048) </w:t>
            </w:r>
          </w:p>
        </w:tc>
      </w:tr>
      <w:tr w:rsidR="00DA1CA5" w:rsidRPr="00C51874" w14:paraId="7DC6C8F3" w14:textId="77777777" w:rsidTr="000E77FE">
        <w:trPr>
          <w:trHeight w:val="255"/>
        </w:trPr>
        <w:tc>
          <w:tcPr>
            <w:tcW w:w="340" w:type="dxa"/>
            <w:tcBorders>
              <w:top w:val="nil"/>
              <w:left w:val="nil"/>
              <w:bottom w:val="nil"/>
              <w:right w:val="nil"/>
            </w:tcBorders>
            <w:shd w:val="clear" w:color="auto" w:fill="auto"/>
            <w:noWrap/>
            <w:vAlign w:val="bottom"/>
            <w:hideMark/>
          </w:tcPr>
          <w:p w14:paraId="1D012D55" w14:textId="77777777" w:rsidR="00DA1CA5" w:rsidRPr="00C51874" w:rsidRDefault="00DA1CA5" w:rsidP="001901EC">
            <w:pPr>
              <w:spacing w:after="0" w:line="240" w:lineRule="auto"/>
              <w:ind w:firstLineChars="100" w:firstLine="200"/>
              <w:jc w:val="right"/>
              <w:rPr>
                <w:rFonts w:ascii="Arial" w:eastAsia="Times New Roman" w:hAnsi="Arial" w:cs="Arial"/>
                <w:color w:val="000000"/>
                <w:sz w:val="20"/>
                <w:szCs w:val="20"/>
                <w:lang w:eastAsia="da-DK"/>
              </w:rPr>
            </w:pPr>
          </w:p>
        </w:tc>
        <w:tc>
          <w:tcPr>
            <w:tcW w:w="2180" w:type="dxa"/>
            <w:tcBorders>
              <w:top w:val="nil"/>
              <w:left w:val="nil"/>
              <w:bottom w:val="single" w:sz="4" w:space="0" w:color="auto"/>
              <w:right w:val="nil"/>
            </w:tcBorders>
            <w:shd w:val="clear" w:color="auto" w:fill="auto"/>
            <w:noWrap/>
            <w:vAlign w:val="bottom"/>
            <w:hideMark/>
          </w:tcPr>
          <w:p w14:paraId="5134DE55" w14:textId="5FD61332" w:rsidR="00DA1CA5" w:rsidRPr="00C51874" w:rsidRDefault="00DA1CA5" w:rsidP="001901EC">
            <w:pPr>
              <w:spacing w:after="0" w:line="240" w:lineRule="auto"/>
              <w:rPr>
                <w:rFonts w:ascii="Arial" w:eastAsia="Times New Roman" w:hAnsi="Arial" w:cs="Arial"/>
                <w:color w:val="000000"/>
                <w:sz w:val="20"/>
                <w:szCs w:val="20"/>
                <w:lang w:eastAsia="da-DK"/>
              </w:rPr>
            </w:pPr>
            <w:r>
              <w:rPr>
                <w:rFonts w:ascii="Arial" w:eastAsia="Times New Roman" w:hAnsi="Arial" w:cs="Arial"/>
                <w:color w:val="000000"/>
                <w:sz w:val="20"/>
                <w:szCs w:val="20"/>
                <w:lang w:eastAsia="da-DK"/>
              </w:rPr>
              <w:t>No treatment</w:t>
            </w:r>
            <w:r w:rsidRPr="00DA1CA5">
              <w:rPr>
                <w:rFonts w:ascii="Arial" w:eastAsia="Times New Roman" w:hAnsi="Arial" w:cs="Arial"/>
                <w:color w:val="000000"/>
                <w:sz w:val="20"/>
                <w:szCs w:val="20"/>
                <w:vertAlign w:val="superscript"/>
                <w:lang w:eastAsia="da-DK"/>
              </w:rPr>
              <w:t>b</w:t>
            </w:r>
          </w:p>
        </w:tc>
        <w:tc>
          <w:tcPr>
            <w:tcW w:w="787" w:type="dxa"/>
            <w:tcBorders>
              <w:top w:val="nil"/>
              <w:left w:val="nil"/>
              <w:bottom w:val="single" w:sz="4" w:space="0" w:color="auto"/>
              <w:right w:val="nil"/>
            </w:tcBorders>
            <w:shd w:val="clear" w:color="auto" w:fill="auto"/>
            <w:noWrap/>
            <w:vAlign w:val="center"/>
            <w:hideMark/>
          </w:tcPr>
          <w:p w14:paraId="74425584" w14:textId="37A0D21E" w:rsidR="00DA1CA5" w:rsidRPr="00C51874" w:rsidRDefault="00DA1CA5" w:rsidP="001901EC">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4083</w:t>
            </w:r>
          </w:p>
        </w:tc>
        <w:tc>
          <w:tcPr>
            <w:tcW w:w="2513" w:type="dxa"/>
            <w:tcBorders>
              <w:top w:val="nil"/>
              <w:left w:val="nil"/>
              <w:bottom w:val="single" w:sz="4" w:space="0" w:color="auto"/>
              <w:right w:val="nil"/>
            </w:tcBorders>
            <w:shd w:val="clear" w:color="auto" w:fill="auto"/>
            <w:noWrap/>
            <w:vAlign w:val="center"/>
            <w:hideMark/>
          </w:tcPr>
          <w:p w14:paraId="2FD7A5B6" w14:textId="7AE0C454" w:rsidR="00DA1CA5" w:rsidRPr="00C51874" w:rsidRDefault="00DA1CA5" w:rsidP="001901EC">
            <w:pPr>
              <w:spacing w:after="0" w:line="240" w:lineRule="auto"/>
              <w:ind w:firstLineChars="100" w:firstLine="200"/>
              <w:jc w:val="right"/>
              <w:rPr>
                <w:rFonts w:ascii="Arial" w:eastAsia="Times New Roman" w:hAnsi="Arial" w:cs="Arial"/>
                <w:color w:val="000000"/>
                <w:sz w:val="20"/>
                <w:szCs w:val="20"/>
                <w:lang w:eastAsia="da-DK"/>
              </w:rPr>
            </w:pPr>
            <w:r w:rsidRPr="00C51874">
              <w:rPr>
                <w:rFonts w:ascii="Arial" w:eastAsia="Times New Roman" w:hAnsi="Arial" w:cs="Arial"/>
                <w:color w:val="000000"/>
                <w:sz w:val="20"/>
                <w:szCs w:val="20"/>
                <w:lang w:eastAsia="da-DK"/>
              </w:rPr>
              <w:t>0.016 (0.015-0.017)</w:t>
            </w:r>
          </w:p>
        </w:tc>
        <w:tc>
          <w:tcPr>
            <w:tcW w:w="200" w:type="dxa"/>
            <w:tcBorders>
              <w:top w:val="nil"/>
              <w:left w:val="nil"/>
              <w:bottom w:val="single" w:sz="4" w:space="0" w:color="auto"/>
              <w:right w:val="nil"/>
            </w:tcBorders>
            <w:shd w:val="clear" w:color="auto" w:fill="auto"/>
            <w:noWrap/>
            <w:vAlign w:val="center"/>
            <w:hideMark/>
          </w:tcPr>
          <w:p w14:paraId="6412C9F1" w14:textId="77777777" w:rsidR="00DA1CA5" w:rsidRPr="00C51874" w:rsidRDefault="00DA1CA5" w:rsidP="001901EC">
            <w:pPr>
              <w:spacing w:after="0" w:line="240" w:lineRule="auto"/>
              <w:ind w:firstLineChars="100" w:firstLine="200"/>
              <w:jc w:val="right"/>
              <w:rPr>
                <w:rFonts w:ascii="Arial" w:eastAsia="Times New Roman" w:hAnsi="Arial" w:cs="Arial"/>
                <w:color w:val="000000"/>
                <w:sz w:val="20"/>
                <w:szCs w:val="20"/>
                <w:lang w:eastAsia="da-DK"/>
              </w:rPr>
            </w:pPr>
          </w:p>
        </w:tc>
        <w:tc>
          <w:tcPr>
            <w:tcW w:w="2627" w:type="dxa"/>
            <w:tcBorders>
              <w:top w:val="nil"/>
              <w:left w:val="nil"/>
              <w:bottom w:val="single" w:sz="4" w:space="0" w:color="auto"/>
              <w:right w:val="nil"/>
            </w:tcBorders>
            <w:shd w:val="clear" w:color="auto" w:fill="auto"/>
            <w:noWrap/>
            <w:vAlign w:val="center"/>
          </w:tcPr>
          <w:p w14:paraId="3FDA1D95" w14:textId="7494ACD4" w:rsidR="00DA1CA5" w:rsidRPr="00C51874" w:rsidRDefault="00DA1CA5" w:rsidP="001901EC">
            <w:pPr>
              <w:spacing w:after="0" w:line="240" w:lineRule="auto"/>
              <w:ind w:firstLineChars="100" w:firstLine="200"/>
              <w:jc w:val="right"/>
              <w:rPr>
                <w:rFonts w:ascii="Arial" w:eastAsia="Times New Roman" w:hAnsi="Arial" w:cs="Arial"/>
                <w:color w:val="000000"/>
                <w:sz w:val="20"/>
                <w:szCs w:val="20"/>
                <w:lang w:eastAsia="da-DK"/>
              </w:rPr>
            </w:pPr>
          </w:p>
        </w:tc>
        <w:tc>
          <w:tcPr>
            <w:tcW w:w="3119" w:type="dxa"/>
            <w:tcBorders>
              <w:top w:val="nil"/>
              <w:left w:val="nil"/>
              <w:bottom w:val="single" w:sz="4" w:space="0" w:color="auto"/>
              <w:right w:val="nil"/>
            </w:tcBorders>
            <w:shd w:val="clear" w:color="auto" w:fill="auto"/>
            <w:noWrap/>
            <w:vAlign w:val="center"/>
          </w:tcPr>
          <w:p w14:paraId="2DADC0B6" w14:textId="73C8ACA8" w:rsidR="00DA1CA5" w:rsidRPr="00C51874" w:rsidRDefault="00DA1CA5" w:rsidP="001901EC">
            <w:pPr>
              <w:spacing w:after="0" w:line="240" w:lineRule="auto"/>
              <w:ind w:firstLineChars="100" w:firstLine="200"/>
              <w:jc w:val="right"/>
              <w:rPr>
                <w:rFonts w:ascii="Arial" w:eastAsia="Times New Roman" w:hAnsi="Arial" w:cs="Arial"/>
                <w:color w:val="000000"/>
                <w:sz w:val="20"/>
                <w:szCs w:val="20"/>
                <w:lang w:eastAsia="da-DK"/>
              </w:rPr>
            </w:pPr>
          </w:p>
        </w:tc>
      </w:tr>
      <w:tr w:rsidR="00DA1CA5" w:rsidRPr="00C51874" w14:paraId="224CED41" w14:textId="77777777" w:rsidTr="00DA1CA5">
        <w:trPr>
          <w:trHeight w:val="255"/>
        </w:trPr>
        <w:tc>
          <w:tcPr>
            <w:tcW w:w="340" w:type="dxa"/>
            <w:tcBorders>
              <w:top w:val="nil"/>
              <w:left w:val="nil"/>
              <w:bottom w:val="nil"/>
              <w:right w:val="nil"/>
            </w:tcBorders>
            <w:shd w:val="clear" w:color="auto" w:fill="auto"/>
            <w:noWrap/>
            <w:vAlign w:val="bottom"/>
          </w:tcPr>
          <w:p w14:paraId="5C613DC7"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180" w:type="dxa"/>
            <w:tcBorders>
              <w:top w:val="nil"/>
              <w:left w:val="nil"/>
              <w:bottom w:val="nil"/>
              <w:right w:val="nil"/>
            </w:tcBorders>
            <w:shd w:val="clear" w:color="auto" w:fill="auto"/>
            <w:noWrap/>
            <w:vAlign w:val="bottom"/>
          </w:tcPr>
          <w:p w14:paraId="198BE47F" w14:textId="77777777" w:rsidR="00DA1CA5" w:rsidRPr="00C51874" w:rsidRDefault="00DA1CA5" w:rsidP="00C51874">
            <w:pPr>
              <w:spacing w:after="0" w:line="240" w:lineRule="auto"/>
              <w:rPr>
                <w:rFonts w:ascii="Arial" w:eastAsia="Times New Roman" w:hAnsi="Arial" w:cs="Arial"/>
                <w:color w:val="000000"/>
                <w:sz w:val="20"/>
                <w:szCs w:val="20"/>
                <w:lang w:eastAsia="da-DK"/>
              </w:rPr>
            </w:pPr>
          </w:p>
        </w:tc>
        <w:tc>
          <w:tcPr>
            <w:tcW w:w="787" w:type="dxa"/>
            <w:tcBorders>
              <w:top w:val="nil"/>
              <w:left w:val="nil"/>
              <w:bottom w:val="nil"/>
              <w:right w:val="nil"/>
            </w:tcBorders>
            <w:shd w:val="clear" w:color="auto" w:fill="auto"/>
            <w:noWrap/>
            <w:vAlign w:val="center"/>
          </w:tcPr>
          <w:p w14:paraId="26C99083"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513" w:type="dxa"/>
            <w:tcBorders>
              <w:top w:val="nil"/>
              <w:left w:val="nil"/>
              <w:bottom w:val="nil"/>
              <w:right w:val="nil"/>
            </w:tcBorders>
            <w:shd w:val="clear" w:color="auto" w:fill="auto"/>
            <w:noWrap/>
            <w:vAlign w:val="center"/>
          </w:tcPr>
          <w:p w14:paraId="1DB9CA28"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00" w:type="dxa"/>
            <w:tcBorders>
              <w:top w:val="nil"/>
              <w:left w:val="nil"/>
              <w:bottom w:val="nil"/>
              <w:right w:val="nil"/>
            </w:tcBorders>
            <w:shd w:val="clear" w:color="auto" w:fill="auto"/>
            <w:noWrap/>
            <w:vAlign w:val="center"/>
          </w:tcPr>
          <w:p w14:paraId="2D54D14E"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2627" w:type="dxa"/>
            <w:tcBorders>
              <w:top w:val="nil"/>
              <w:left w:val="nil"/>
              <w:bottom w:val="nil"/>
              <w:right w:val="nil"/>
            </w:tcBorders>
            <w:shd w:val="clear" w:color="auto" w:fill="auto"/>
            <w:noWrap/>
            <w:vAlign w:val="center"/>
          </w:tcPr>
          <w:p w14:paraId="29EE584E"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c>
          <w:tcPr>
            <w:tcW w:w="3119" w:type="dxa"/>
            <w:tcBorders>
              <w:top w:val="nil"/>
              <w:left w:val="nil"/>
              <w:bottom w:val="nil"/>
              <w:right w:val="nil"/>
            </w:tcBorders>
            <w:shd w:val="clear" w:color="auto" w:fill="auto"/>
            <w:noWrap/>
            <w:vAlign w:val="center"/>
          </w:tcPr>
          <w:p w14:paraId="37BE804D" w14:textId="77777777" w:rsidR="00DA1CA5" w:rsidRPr="00C51874" w:rsidRDefault="00DA1CA5" w:rsidP="00C51874">
            <w:pPr>
              <w:spacing w:after="0" w:line="240" w:lineRule="auto"/>
              <w:ind w:firstLineChars="100" w:firstLine="200"/>
              <w:jc w:val="right"/>
              <w:rPr>
                <w:rFonts w:ascii="Arial" w:eastAsia="Times New Roman" w:hAnsi="Arial" w:cs="Arial"/>
                <w:color w:val="000000"/>
                <w:sz w:val="20"/>
                <w:szCs w:val="20"/>
                <w:lang w:eastAsia="da-DK"/>
              </w:rPr>
            </w:pPr>
          </w:p>
        </w:tc>
      </w:tr>
    </w:tbl>
    <w:p w14:paraId="20110C17" w14:textId="32AB5D46" w:rsidR="00C435E8" w:rsidRDefault="00C435E8" w:rsidP="00DA1CA5">
      <w:pPr>
        <w:spacing w:after="0"/>
        <w:rPr>
          <w:rFonts w:ascii="Times New Roman" w:hAnsi="Times New Roman" w:cs="Times New Roman"/>
          <w:sz w:val="20"/>
          <w:szCs w:val="20"/>
          <w:lang w:val="en-GB"/>
        </w:rPr>
      </w:pPr>
      <w:r w:rsidRPr="00FA6366">
        <w:rPr>
          <w:rFonts w:ascii="Times New Roman" w:hAnsi="Times New Roman" w:cs="Times New Roman"/>
          <w:sz w:val="24"/>
          <w:szCs w:val="24"/>
          <w:vertAlign w:val="superscript"/>
          <w:lang w:val="en-GB"/>
        </w:rPr>
        <w:t xml:space="preserve">a </w:t>
      </w:r>
      <w:r w:rsidR="009D624E" w:rsidRPr="00FA6366">
        <w:rPr>
          <w:rFonts w:ascii="Times New Roman" w:hAnsi="Times New Roman" w:cs="Times New Roman"/>
          <w:sz w:val="20"/>
          <w:szCs w:val="20"/>
          <w:lang w:val="en-GB"/>
        </w:rPr>
        <w:t>Based on the full follow-up, one suicide death would be prevented for every 93 individuals with bipolar disorders who were treated with lithium when compared to individuals not in treatment. I</w:t>
      </w:r>
      <w:r w:rsidRPr="00FA6366">
        <w:rPr>
          <w:rFonts w:ascii="Times New Roman" w:hAnsi="Times New Roman" w:cs="Times New Roman"/>
          <w:sz w:val="20"/>
          <w:szCs w:val="20"/>
          <w:lang w:val="en-GB"/>
        </w:rPr>
        <w:t xml:space="preserve">n the time to event analyses, we </w:t>
      </w:r>
      <w:r w:rsidR="00FA6366" w:rsidRPr="00FA6366">
        <w:rPr>
          <w:rFonts w:ascii="Times New Roman" w:hAnsi="Times New Roman" w:cs="Times New Roman"/>
          <w:sz w:val="20"/>
          <w:szCs w:val="20"/>
          <w:lang w:val="en-GB"/>
        </w:rPr>
        <w:t>studied</w:t>
      </w:r>
      <w:r w:rsidRPr="00FA6366">
        <w:rPr>
          <w:rFonts w:ascii="Times New Roman" w:hAnsi="Times New Roman" w:cs="Times New Roman"/>
          <w:sz w:val="20"/>
          <w:szCs w:val="20"/>
          <w:lang w:val="en-GB"/>
        </w:rPr>
        <w:t xml:space="preserve"> individual trea</w:t>
      </w:r>
      <w:r w:rsidR="004D3E0B" w:rsidRPr="00FA6366">
        <w:rPr>
          <w:rFonts w:ascii="Times New Roman" w:hAnsi="Times New Roman" w:cs="Times New Roman"/>
          <w:sz w:val="20"/>
          <w:szCs w:val="20"/>
          <w:lang w:val="en-GB"/>
        </w:rPr>
        <w:t>t</w:t>
      </w:r>
      <w:r w:rsidRPr="00FA6366">
        <w:rPr>
          <w:rFonts w:ascii="Times New Roman" w:hAnsi="Times New Roman" w:cs="Times New Roman"/>
          <w:sz w:val="20"/>
          <w:szCs w:val="20"/>
          <w:lang w:val="en-GB"/>
        </w:rPr>
        <w:t>ment courses. A treatment start</w:t>
      </w:r>
      <w:r w:rsidR="00FA6366" w:rsidRPr="00FA6366">
        <w:rPr>
          <w:rFonts w:ascii="Times New Roman" w:hAnsi="Times New Roman" w:cs="Times New Roman"/>
          <w:sz w:val="20"/>
          <w:szCs w:val="20"/>
          <w:lang w:val="en-GB"/>
        </w:rPr>
        <w:t>ed</w:t>
      </w:r>
      <w:r w:rsidRPr="00FA6366">
        <w:rPr>
          <w:rFonts w:ascii="Times New Roman" w:hAnsi="Times New Roman" w:cs="Times New Roman"/>
          <w:sz w:val="20"/>
          <w:szCs w:val="20"/>
          <w:lang w:val="en-GB"/>
        </w:rPr>
        <w:t xml:space="preserve"> on the date when a first prescription of a mood stab</w:t>
      </w:r>
      <w:r w:rsidR="004D3E0B" w:rsidRPr="00FA6366">
        <w:rPr>
          <w:rFonts w:ascii="Times New Roman" w:hAnsi="Times New Roman" w:cs="Times New Roman"/>
          <w:sz w:val="20"/>
          <w:szCs w:val="20"/>
          <w:lang w:val="en-GB"/>
        </w:rPr>
        <w:t>i</w:t>
      </w:r>
      <w:r w:rsidRPr="00FA6366">
        <w:rPr>
          <w:rFonts w:ascii="Times New Roman" w:hAnsi="Times New Roman" w:cs="Times New Roman"/>
          <w:sz w:val="20"/>
          <w:szCs w:val="20"/>
          <w:lang w:val="en-GB"/>
        </w:rPr>
        <w:t xml:space="preserve">liser </w:t>
      </w:r>
      <w:r w:rsidR="00FA6366">
        <w:rPr>
          <w:rFonts w:ascii="Times New Roman" w:hAnsi="Times New Roman" w:cs="Times New Roman"/>
          <w:sz w:val="20"/>
          <w:szCs w:val="20"/>
          <w:lang w:val="en-GB"/>
        </w:rPr>
        <w:t>was</w:t>
      </w:r>
      <w:r w:rsidRPr="00FA6366">
        <w:rPr>
          <w:rFonts w:ascii="Times New Roman" w:hAnsi="Times New Roman" w:cs="Times New Roman"/>
          <w:sz w:val="20"/>
          <w:szCs w:val="20"/>
          <w:lang w:val="en-GB"/>
        </w:rPr>
        <w:t xml:space="preserve"> redeemed and end</w:t>
      </w:r>
      <w:r w:rsidR="00FA6366">
        <w:rPr>
          <w:rFonts w:ascii="Times New Roman" w:hAnsi="Times New Roman" w:cs="Times New Roman"/>
          <w:sz w:val="20"/>
          <w:szCs w:val="20"/>
          <w:lang w:val="en-GB"/>
        </w:rPr>
        <w:t>ed</w:t>
      </w:r>
      <w:r w:rsidRPr="00FA6366">
        <w:rPr>
          <w:rFonts w:ascii="Times New Roman" w:hAnsi="Times New Roman" w:cs="Times New Roman"/>
          <w:sz w:val="20"/>
          <w:szCs w:val="20"/>
          <w:lang w:val="en-GB"/>
        </w:rPr>
        <w:t xml:space="preserve"> on the date when it </w:t>
      </w:r>
      <w:r w:rsidR="00FA6366">
        <w:rPr>
          <w:rFonts w:ascii="Times New Roman" w:hAnsi="Times New Roman" w:cs="Times New Roman"/>
          <w:sz w:val="20"/>
          <w:szCs w:val="20"/>
          <w:lang w:val="en-GB"/>
        </w:rPr>
        <w:t>wa</w:t>
      </w:r>
      <w:r w:rsidRPr="00FA6366">
        <w:rPr>
          <w:rFonts w:ascii="Times New Roman" w:hAnsi="Times New Roman" w:cs="Times New Roman"/>
          <w:sz w:val="20"/>
          <w:szCs w:val="20"/>
          <w:lang w:val="en-GB"/>
        </w:rPr>
        <w:t xml:space="preserve">s estimated that all pills </w:t>
      </w:r>
      <w:r w:rsidR="00FA6366">
        <w:rPr>
          <w:rFonts w:ascii="Times New Roman" w:hAnsi="Times New Roman" w:cs="Times New Roman"/>
          <w:sz w:val="20"/>
          <w:szCs w:val="20"/>
          <w:lang w:val="en-GB"/>
        </w:rPr>
        <w:t>we</w:t>
      </w:r>
      <w:r w:rsidRPr="00FA6366">
        <w:rPr>
          <w:rFonts w:ascii="Times New Roman" w:hAnsi="Times New Roman" w:cs="Times New Roman"/>
          <w:sz w:val="20"/>
          <w:szCs w:val="20"/>
          <w:lang w:val="en-GB"/>
        </w:rPr>
        <w:t xml:space="preserve">re </w:t>
      </w:r>
      <w:proofErr w:type="gramStart"/>
      <w:r w:rsidRPr="00FA6366">
        <w:rPr>
          <w:rFonts w:ascii="Times New Roman" w:hAnsi="Times New Roman" w:cs="Times New Roman"/>
          <w:sz w:val="20"/>
          <w:szCs w:val="20"/>
          <w:lang w:val="en-GB"/>
        </w:rPr>
        <w:t>consumed</w:t>
      </w:r>
      <w:proofErr w:type="gramEnd"/>
      <w:r w:rsidRPr="00FA6366">
        <w:rPr>
          <w:rFonts w:ascii="Times New Roman" w:hAnsi="Times New Roman" w:cs="Times New Roman"/>
          <w:sz w:val="20"/>
          <w:szCs w:val="20"/>
          <w:lang w:val="en-GB"/>
        </w:rPr>
        <w:t xml:space="preserve"> and no new prescription </w:t>
      </w:r>
      <w:r w:rsidR="00FA6366">
        <w:rPr>
          <w:rFonts w:ascii="Times New Roman" w:hAnsi="Times New Roman" w:cs="Times New Roman"/>
          <w:sz w:val="20"/>
          <w:szCs w:val="20"/>
          <w:lang w:val="en-GB"/>
        </w:rPr>
        <w:t>had</w:t>
      </w:r>
      <w:r w:rsidRPr="00FA6366">
        <w:rPr>
          <w:rFonts w:ascii="Times New Roman" w:hAnsi="Times New Roman" w:cs="Times New Roman"/>
          <w:sz w:val="20"/>
          <w:szCs w:val="20"/>
          <w:lang w:val="en-GB"/>
        </w:rPr>
        <w:t xml:space="preserve"> been redeemed. If participants </w:t>
      </w:r>
      <w:r w:rsidR="00FA6366">
        <w:rPr>
          <w:rFonts w:ascii="Times New Roman" w:hAnsi="Times New Roman" w:cs="Times New Roman"/>
          <w:sz w:val="20"/>
          <w:szCs w:val="20"/>
          <w:lang w:val="en-GB"/>
        </w:rPr>
        <w:t>we</w:t>
      </w:r>
      <w:r w:rsidRPr="00FA6366">
        <w:rPr>
          <w:rFonts w:ascii="Times New Roman" w:hAnsi="Times New Roman" w:cs="Times New Roman"/>
          <w:sz w:val="20"/>
          <w:szCs w:val="20"/>
          <w:lang w:val="en-GB"/>
        </w:rPr>
        <w:t xml:space="preserve">re following two treatment courses at the same </w:t>
      </w:r>
      <w:r w:rsidR="003540F5" w:rsidRPr="00FA6366">
        <w:rPr>
          <w:rFonts w:ascii="Times New Roman" w:hAnsi="Times New Roman" w:cs="Times New Roman"/>
          <w:sz w:val="20"/>
          <w:szCs w:val="20"/>
          <w:lang w:val="en-GB"/>
        </w:rPr>
        <w:t>time,</w:t>
      </w:r>
      <w:r w:rsidRPr="00FA6366">
        <w:rPr>
          <w:rFonts w:ascii="Times New Roman" w:hAnsi="Times New Roman" w:cs="Times New Roman"/>
          <w:sz w:val="20"/>
          <w:szCs w:val="20"/>
          <w:lang w:val="en-GB"/>
        </w:rPr>
        <w:t xml:space="preserve"> then they contributed with at-risk time to both types of mood stab</w:t>
      </w:r>
      <w:r w:rsidR="004D3E0B" w:rsidRPr="00FA6366">
        <w:rPr>
          <w:rFonts w:ascii="Times New Roman" w:hAnsi="Times New Roman" w:cs="Times New Roman"/>
          <w:sz w:val="20"/>
          <w:szCs w:val="20"/>
          <w:lang w:val="en-GB"/>
        </w:rPr>
        <w:t>i</w:t>
      </w:r>
      <w:r w:rsidRPr="00FA6366">
        <w:rPr>
          <w:rFonts w:ascii="Times New Roman" w:hAnsi="Times New Roman" w:cs="Times New Roman"/>
          <w:sz w:val="20"/>
          <w:szCs w:val="20"/>
          <w:lang w:val="en-GB"/>
        </w:rPr>
        <w:t xml:space="preserve">lisers. Each individual in a treatment course was matched with two individuals who were not in treatment on the date of the start of the treatment course. The matching was conducted with respect to sex and year of birth (5 year intervals). </w:t>
      </w:r>
      <w:r w:rsidR="00FA6366">
        <w:rPr>
          <w:rFonts w:ascii="Times New Roman" w:hAnsi="Times New Roman" w:cs="Times New Roman"/>
          <w:sz w:val="20"/>
          <w:szCs w:val="20"/>
          <w:lang w:val="en-GB"/>
        </w:rPr>
        <w:t>For the outcome of suicide, there were 15 treatment courses, which could not be matched to comparisons.</w:t>
      </w:r>
    </w:p>
    <w:p w14:paraId="0A402549" w14:textId="306B764D" w:rsidR="00DA1CA5" w:rsidRDefault="00DA1CA5" w:rsidP="00DA1CA5">
      <w:pPr>
        <w:spacing w:after="0"/>
        <w:rPr>
          <w:rFonts w:ascii="Times New Roman" w:hAnsi="Times New Roman" w:cs="Times New Roman"/>
          <w:sz w:val="20"/>
          <w:szCs w:val="20"/>
          <w:vertAlign w:val="superscript"/>
          <w:lang w:val="en-GB"/>
        </w:rPr>
      </w:pPr>
      <w:r>
        <w:rPr>
          <w:rFonts w:ascii="Times New Roman" w:hAnsi="Times New Roman" w:cs="Times New Roman"/>
          <w:sz w:val="24"/>
          <w:szCs w:val="24"/>
          <w:vertAlign w:val="superscript"/>
          <w:lang w:val="en-GB"/>
        </w:rPr>
        <w:t>b</w:t>
      </w:r>
      <w:r w:rsidRPr="00FA6366">
        <w:rPr>
          <w:rFonts w:ascii="Times New Roman" w:hAnsi="Times New Roman" w:cs="Times New Roman"/>
          <w:sz w:val="24"/>
          <w:szCs w:val="24"/>
          <w:vertAlign w:val="superscript"/>
          <w:lang w:val="en-GB"/>
        </w:rPr>
        <w:t xml:space="preserve"> </w:t>
      </w:r>
      <w:r>
        <w:rPr>
          <w:rFonts w:ascii="Times New Roman" w:hAnsi="Times New Roman" w:cs="Times New Roman"/>
          <w:sz w:val="20"/>
          <w:szCs w:val="20"/>
          <w:lang w:val="en-GB"/>
        </w:rPr>
        <w:t>In</w:t>
      </w:r>
      <w:r w:rsidRPr="00FA6366">
        <w:rPr>
          <w:rFonts w:ascii="Times New Roman" w:hAnsi="Times New Roman" w:cs="Times New Roman"/>
          <w:sz w:val="20"/>
          <w:szCs w:val="20"/>
          <w:lang w:val="en-GB"/>
        </w:rPr>
        <w:t>dividuals with bipolar disorders who were</w:t>
      </w:r>
      <w:r>
        <w:rPr>
          <w:rFonts w:ascii="Times New Roman" w:hAnsi="Times New Roman" w:cs="Times New Roman"/>
          <w:sz w:val="20"/>
          <w:szCs w:val="20"/>
          <w:lang w:val="en-GB"/>
        </w:rPr>
        <w:t xml:space="preserve"> not in treatment with mood </w:t>
      </w:r>
      <w:r w:rsidRPr="00DA1CA5">
        <w:rPr>
          <w:rFonts w:ascii="Times New Roman" w:hAnsi="Times New Roman" w:cs="Times New Roman"/>
          <w:sz w:val="20"/>
          <w:szCs w:val="20"/>
          <w:lang w:val="en-GB"/>
        </w:rPr>
        <w:t>stabilisers</w:t>
      </w:r>
      <w:r>
        <w:rPr>
          <w:rFonts w:ascii="Times New Roman" w:hAnsi="Times New Roman" w:cs="Times New Roman"/>
          <w:sz w:val="20"/>
          <w:szCs w:val="20"/>
          <w:lang w:val="en-GB"/>
        </w:rPr>
        <w:t xml:space="preserve"> were used as comparison group.</w:t>
      </w:r>
    </w:p>
    <w:p w14:paraId="1A12C441" w14:textId="02324AD6" w:rsidR="00C51874" w:rsidRPr="00DA1CA5" w:rsidRDefault="00DA1CA5" w:rsidP="00DA1CA5">
      <w:pPr>
        <w:spacing w:after="0"/>
        <w:rPr>
          <w:rFonts w:ascii="Times New Roman" w:hAnsi="Times New Roman" w:cs="Times New Roman"/>
          <w:sz w:val="20"/>
          <w:szCs w:val="20"/>
          <w:lang w:val="en-GB"/>
        </w:rPr>
      </w:pPr>
      <w:r>
        <w:rPr>
          <w:rFonts w:ascii="Times New Roman" w:hAnsi="Times New Roman" w:cs="Times New Roman"/>
          <w:sz w:val="20"/>
          <w:szCs w:val="20"/>
          <w:vertAlign w:val="superscript"/>
          <w:lang w:val="en-GB"/>
        </w:rPr>
        <w:t xml:space="preserve">c </w:t>
      </w:r>
      <w:r w:rsidR="00EA21D5">
        <w:rPr>
          <w:rFonts w:ascii="Times New Roman" w:hAnsi="Times New Roman" w:cs="Times New Roman"/>
          <w:sz w:val="20"/>
          <w:szCs w:val="20"/>
          <w:lang w:val="en-GB"/>
        </w:rPr>
        <w:t>Annotation</w:t>
      </w:r>
      <w:r w:rsidR="00C51874">
        <w:rPr>
          <w:rFonts w:ascii="Times New Roman" w:hAnsi="Times New Roman" w:cs="Times New Roman"/>
          <w:sz w:val="20"/>
          <w:szCs w:val="20"/>
          <w:lang w:val="en-GB"/>
        </w:rPr>
        <w:t xml:space="preserve"> according to Altman, 1998 (DOI</w:t>
      </w:r>
      <w:r w:rsidR="00C51874" w:rsidRPr="00C51874">
        <w:rPr>
          <w:rFonts w:ascii="Times New Roman" w:hAnsi="Times New Roman" w:cs="Times New Roman"/>
          <w:sz w:val="20"/>
          <w:szCs w:val="20"/>
          <w:lang w:val="en-GB"/>
        </w:rPr>
        <w:t xml:space="preserve">: </w:t>
      </w:r>
      <w:r w:rsidR="00C51874" w:rsidRPr="00DA1CA5">
        <w:rPr>
          <w:rFonts w:ascii="Times New Roman" w:hAnsi="Times New Roman" w:cs="Times New Roman"/>
          <w:sz w:val="20"/>
          <w:szCs w:val="20"/>
          <w:lang w:val="en-GB"/>
        </w:rPr>
        <w:t>10.1136/bmj.317.7168.1309)</w:t>
      </w:r>
      <w:r>
        <w:rPr>
          <w:rFonts w:ascii="Times New Roman" w:hAnsi="Times New Roman" w:cs="Times New Roman"/>
          <w:sz w:val="20"/>
          <w:szCs w:val="20"/>
          <w:lang w:val="en-GB"/>
        </w:rPr>
        <w:t>.</w:t>
      </w:r>
    </w:p>
    <w:p w14:paraId="0C9ED418" w14:textId="4909A26D" w:rsidR="00605AE1" w:rsidRPr="00FA6366" w:rsidRDefault="00605AE1" w:rsidP="00DA1CA5">
      <w:pPr>
        <w:spacing w:after="0"/>
        <w:rPr>
          <w:rFonts w:ascii="Times New Roman" w:hAnsi="Times New Roman" w:cs="Times New Roman"/>
          <w:sz w:val="24"/>
          <w:szCs w:val="24"/>
          <w:lang w:val="en-GB"/>
        </w:rPr>
      </w:pPr>
    </w:p>
    <w:sectPr w:rsidR="00605AE1" w:rsidRPr="00FA6366" w:rsidSect="00605AE1">
      <w:pgSz w:w="16838" w:h="11906" w:orient="landscape"/>
      <w:pgMar w:top="1134"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AE1"/>
    <w:rsid w:val="000E77FE"/>
    <w:rsid w:val="003540F5"/>
    <w:rsid w:val="003C53A4"/>
    <w:rsid w:val="00416CD7"/>
    <w:rsid w:val="0047685D"/>
    <w:rsid w:val="004D3E0B"/>
    <w:rsid w:val="00534C88"/>
    <w:rsid w:val="00605AE1"/>
    <w:rsid w:val="007970A0"/>
    <w:rsid w:val="00826310"/>
    <w:rsid w:val="009D624E"/>
    <w:rsid w:val="00C002FD"/>
    <w:rsid w:val="00C435E8"/>
    <w:rsid w:val="00C51874"/>
    <w:rsid w:val="00DA1CA5"/>
    <w:rsid w:val="00E27AA0"/>
    <w:rsid w:val="00EA21D5"/>
    <w:rsid w:val="00EC12C0"/>
    <w:rsid w:val="00F857F3"/>
    <w:rsid w:val="00FA63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F78A4"/>
  <w15:chartTrackingRefBased/>
  <w15:docId w15:val="{E5A85A8A-4C5A-49A6-A45F-BD6797749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63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366"/>
    <w:rPr>
      <w:rFonts w:ascii="Segoe UI" w:hAnsi="Segoe UI" w:cs="Segoe UI"/>
      <w:sz w:val="18"/>
      <w:szCs w:val="18"/>
    </w:rPr>
  </w:style>
  <w:style w:type="character" w:styleId="CommentReference">
    <w:name w:val="annotation reference"/>
    <w:basedOn w:val="DefaultParagraphFont"/>
    <w:uiPriority w:val="99"/>
    <w:semiHidden/>
    <w:unhideWhenUsed/>
    <w:rsid w:val="00E27AA0"/>
    <w:rPr>
      <w:sz w:val="16"/>
      <w:szCs w:val="16"/>
    </w:rPr>
  </w:style>
  <w:style w:type="paragraph" w:styleId="CommentText">
    <w:name w:val="annotation text"/>
    <w:basedOn w:val="Normal"/>
    <w:link w:val="CommentTextChar"/>
    <w:uiPriority w:val="99"/>
    <w:semiHidden/>
    <w:unhideWhenUsed/>
    <w:rsid w:val="00E27AA0"/>
    <w:pPr>
      <w:spacing w:line="240" w:lineRule="auto"/>
    </w:pPr>
    <w:rPr>
      <w:sz w:val="20"/>
      <w:szCs w:val="20"/>
    </w:rPr>
  </w:style>
  <w:style w:type="character" w:customStyle="1" w:styleId="CommentTextChar">
    <w:name w:val="Comment Text Char"/>
    <w:basedOn w:val="DefaultParagraphFont"/>
    <w:link w:val="CommentText"/>
    <w:uiPriority w:val="99"/>
    <w:semiHidden/>
    <w:rsid w:val="00E27AA0"/>
    <w:rPr>
      <w:sz w:val="20"/>
      <w:szCs w:val="20"/>
    </w:rPr>
  </w:style>
  <w:style w:type="paragraph" w:styleId="CommentSubject">
    <w:name w:val="annotation subject"/>
    <w:basedOn w:val="CommentText"/>
    <w:next w:val="CommentText"/>
    <w:link w:val="CommentSubjectChar"/>
    <w:uiPriority w:val="99"/>
    <w:semiHidden/>
    <w:unhideWhenUsed/>
    <w:rsid w:val="00E27AA0"/>
    <w:rPr>
      <w:b/>
      <w:bCs/>
    </w:rPr>
  </w:style>
  <w:style w:type="character" w:customStyle="1" w:styleId="CommentSubjectChar">
    <w:name w:val="Comment Subject Char"/>
    <w:basedOn w:val="CommentTextChar"/>
    <w:link w:val="CommentSubject"/>
    <w:uiPriority w:val="99"/>
    <w:semiHidden/>
    <w:rsid w:val="00E27A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789578">
      <w:bodyDiv w:val="1"/>
      <w:marLeft w:val="0"/>
      <w:marRight w:val="0"/>
      <w:marTop w:val="0"/>
      <w:marBottom w:val="0"/>
      <w:divBdr>
        <w:top w:val="none" w:sz="0" w:space="0" w:color="auto"/>
        <w:left w:val="none" w:sz="0" w:space="0" w:color="auto"/>
        <w:bottom w:val="none" w:sz="0" w:space="0" w:color="auto"/>
        <w:right w:val="none" w:sz="0" w:space="0" w:color="auto"/>
      </w:divBdr>
    </w:div>
    <w:div w:id="584463877">
      <w:bodyDiv w:val="1"/>
      <w:marLeft w:val="0"/>
      <w:marRight w:val="0"/>
      <w:marTop w:val="0"/>
      <w:marBottom w:val="0"/>
      <w:divBdr>
        <w:top w:val="none" w:sz="0" w:space="0" w:color="auto"/>
        <w:left w:val="none" w:sz="0" w:space="0" w:color="auto"/>
        <w:bottom w:val="none" w:sz="0" w:space="0" w:color="auto"/>
        <w:right w:val="none" w:sz="0" w:space="0" w:color="auto"/>
      </w:divBdr>
    </w:div>
    <w:div w:id="1452941448">
      <w:bodyDiv w:val="1"/>
      <w:marLeft w:val="0"/>
      <w:marRight w:val="0"/>
      <w:marTop w:val="0"/>
      <w:marBottom w:val="0"/>
      <w:divBdr>
        <w:top w:val="none" w:sz="0" w:space="0" w:color="auto"/>
        <w:left w:val="none" w:sz="0" w:space="0" w:color="auto"/>
        <w:bottom w:val="none" w:sz="0" w:space="0" w:color="auto"/>
        <w:right w:val="none" w:sz="0" w:space="0" w:color="auto"/>
      </w:divBdr>
    </w:div>
    <w:div w:id="1565601123">
      <w:bodyDiv w:val="1"/>
      <w:marLeft w:val="0"/>
      <w:marRight w:val="0"/>
      <w:marTop w:val="0"/>
      <w:marBottom w:val="0"/>
      <w:divBdr>
        <w:top w:val="none" w:sz="0" w:space="0" w:color="auto"/>
        <w:left w:val="none" w:sz="0" w:space="0" w:color="auto"/>
        <w:bottom w:val="none" w:sz="0" w:space="0" w:color="auto"/>
        <w:right w:val="none" w:sz="0" w:space="0" w:color="auto"/>
      </w:divBdr>
    </w:div>
    <w:div w:id="198936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242</Words>
  <Characters>1480</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Cecilie Aalling Husballe</dc:creator>
  <cp:keywords/>
  <dc:description/>
  <cp:lastModifiedBy>Cecilie Aalling</cp:lastModifiedBy>
  <cp:revision>2</cp:revision>
  <dcterms:created xsi:type="dcterms:W3CDTF">2022-03-03T19:59:00Z</dcterms:created>
  <dcterms:modified xsi:type="dcterms:W3CDTF">2022-03-03T19:59:00Z</dcterms:modified>
</cp:coreProperties>
</file>